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F5" w:rsidRPr="00114EBE" w:rsidRDefault="002A1DF5" w:rsidP="002A1DF5">
      <w:pPr>
        <w:adjustRightInd w:val="0"/>
        <w:snapToGrid w:val="0"/>
        <w:spacing w:line="360" w:lineRule="auto"/>
        <w:rPr>
          <w:snapToGrid w:val="0"/>
          <w:color w:val="000000"/>
          <w:lang w:val="en-US" w:eastAsia="de-DE" w:bidi="en-US"/>
        </w:rPr>
      </w:pPr>
      <w:r>
        <w:rPr>
          <w:snapToGrid w:val="0"/>
          <w:color w:val="000000"/>
          <w:lang w:val="en-US" w:eastAsia="de-DE" w:bidi="en-US"/>
        </w:rPr>
        <w:t xml:space="preserve">Additional file 3: </w:t>
      </w:r>
      <w:r w:rsidRPr="00F9438A">
        <w:rPr>
          <w:b/>
          <w:sz w:val="22"/>
          <w:szCs w:val="22"/>
          <w:lang w:val="en-US"/>
        </w:rPr>
        <w:t xml:space="preserve">Table S-3. </w:t>
      </w:r>
      <w:r w:rsidRPr="00F9438A">
        <w:rPr>
          <w:color w:val="000000"/>
          <w:sz w:val="22"/>
          <w:szCs w:val="22"/>
          <w:lang w:val="en-US"/>
        </w:rPr>
        <w:t xml:space="preserve">Summary model of factors associated with </w:t>
      </w:r>
      <w:r w:rsidRPr="00F9438A">
        <w:rPr>
          <w:bCs/>
          <w:sz w:val="22"/>
          <w:szCs w:val="22"/>
          <w:lang w:val="en-US"/>
        </w:rPr>
        <w:t xml:space="preserve">pay $85 for </w:t>
      </w:r>
      <w:proofErr w:type="spellStart"/>
      <w:r w:rsidRPr="00F9438A">
        <w:rPr>
          <w:bCs/>
          <w:sz w:val="22"/>
          <w:szCs w:val="22"/>
          <w:lang w:val="en-US"/>
        </w:rPr>
        <w:t>PrEP</w:t>
      </w:r>
      <w:proofErr w:type="spellEnd"/>
    </w:p>
    <w:tbl>
      <w:tblPr>
        <w:tblW w:w="5000" w:type="pct"/>
        <w:tblLook w:val="0600" w:firstRow="0" w:lastRow="0" w:firstColumn="0" w:lastColumn="0" w:noHBand="1" w:noVBand="1"/>
      </w:tblPr>
      <w:tblGrid>
        <w:gridCol w:w="4805"/>
        <w:gridCol w:w="2925"/>
        <w:gridCol w:w="1846"/>
      </w:tblGrid>
      <w:tr w:rsidR="002A1DF5" w:rsidRPr="00F9438A" w:rsidTr="00C44778">
        <w:tc>
          <w:tcPr>
            <w:tcW w:w="2509" w:type="pct"/>
            <w:vMerge w:val="restart"/>
            <w:shd w:val="clear" w:color="auto" w:fill="auto"/>
            <w:hideMark/>
          </w:tcPr>
          <w:p w:rsidR="002A1DF5" w:rsidRPr="00F9438A" w:rsidRDefault="002A1DF5" w:rsidP="00C44778">
            <w:pPr>
              <w:spacing w:line="360" w:lineRule="auto"/>
              <w:rPr>
                <w:color w:val="000000"/>
                <w:sz w:val="22"/>
                <w:szCs w:val="22"/>
                <w:lang w:val="en-US"/>
              </w:rPr>
            </w:pPr>
            <w:r w:rsidRPr="00F9438A">
              <w:rPr>
                <w:color w:val="000000"/>
                <w:sz w:val="22"/>
                <w:szCs w:val="22"/>
                <w:lang w:val="en-US"/>
              </w:rPr>
              <w:t>Items</w:t>
            </w:r>
          </w:p>
        </w:tc>
        <w:tc>
          <w:tcPr>
            <w:tcW w:w="2491" w:type="pct"/>
            <w:gridSpan w:val="2"/>
            <w:shd w:val="clear" w:color="auto" w:fill="auto"/>
            <w:noWrap/>
            <w:hideMark/>
          </w:tcPr>
          <w:p w:rsidR="002A1DF5" w:rsidRPr="00F9438A" w:rsidRDefault="002A1DF5" w:rsidP="00C44778">
            <w:pPr>
              <w:spacing w:line="360" w:lineRule="auto"/>
              <w:jc w:val="center"/>
              <w:rPr>
                <w:b/>
                <w:bCs/>
                <w:color w:val="000000"/>
                <w:sz w:val="22"/>
                <w:szCs w:val="22"/>
                <w:lang w:val="en-US"/>
              </w:rPr>
            </w:pPr>
            <w:r w:rsidRPr="00F9438A">
              <w:rPr>
                <w:b/>
                <w:bCs/>
                <w:color w:val="000000"/>
                <w:sz w:val="22"/>
                <w:szCs w:val="22"/>
                <w:lang w:val="en-US"/>
              </w:rPr>
              <w:t xml:space="preserve">Pay </w:t>
            </w:r>
            <w:r w:rsidRPr="00F9438A">
              <w:rPr>
                <w:b/>
                <w:bCs/>
                <w:sz w:val="22"/>
                <w:szCs w:val="22"/>
                <w:lang w:val="en-US"/>
              </w:rPr>
              <w:t>$85</w:t>
            </w:r>
          </w:p>
        </w:tc>
      </w:tr>
      <w:tr w:rsidR="002A1DF5" w:rsidRPr="00F9438A" w:rsidTr="00C44778">
        <w:tc>
          <w:tcPr>
            <w:tcW w:w="2509" w:type="pct"/>
            <w:vMerge/>
            <w:shd w:val="clear" w:color="auto" w:fill="auto"/>
            <w:hideMark/>
          </w:tcPr>
          <w:p w:rsidR="002A1DF5" w:rsidRPr="00F9438A" w:rsidRDefault="002A1DF5" w:rsidP="00C44778">
            <w:pPr>
              <w:spacing w:line="360" w:lineRule="auto"/>
              <w:rPr>
                <w:color w:val="000000"/>
                <w:sz w:val="22"/>
                <w:szCs w:val="22"/>
                <w:lang w:val="en-US"/>
              </w:rPr>
            </w:pPr>
          </w:p>
        </w:tc>
        <w:tc>
          <w:tcPr>
            <w:tcW w:w="1527" w:type="pct"/>
            <w:shd w:val="clear" w:color="auto" w:fill="auto"/>
            <w:hideMark/>
          </w:tcPr>
          <w:p w:rsidR="002A1DF5" w:rsidRPr="00F9438A" w:rsidRDefault="002A1DF5" w:rsidP="00C44778">
            <w:pPr>
              <w:spacing w:line="360" w:lineRule="auto"/>
              <w:jc w:val="center"/>
              <w:rPr>
                <w:color w:val="000000"/>
                <w:sz w:val="22"/>
                <w:szCs w:val="22"/>
                <w:lang w:val="en-US"/>
              </w:rPr>
            </w:pPr>
            <w:proofErr w:type="spellStart"/>
            <w:r w:rsidRPr="00F9438A">
              <w:rPr>
                <w:color w:val="000000"/>
                <w:sz w:val="22"/>
                <w:szCs w:val="22"/>
                <w:lang w:val="en-US"/>
              </w:rPr>
              <w:t>ORm</w:t>
            </w:r>
            <w:proofErr w:type="spellEnd"/>
            <w:r w:rsidRPr="00F9438A">
              <w:rPr>
                <w:color w:val="000000"/>
                <w:sz w:val="22"/>
                <w:szCs w:val="22"/>
                <w:lang w:val="en-US"/>
              </w:rPr>
              <w:t xml:space="preserve"> (95% CI)</w:t>
            </w:r>
          </w:p>
        </w:tc>
        <w:tc>
          <w:tcPr>
            <w:tcW w:w="964" w:type="pct"/>
            <w:shd w:val="clear" w:color="auto" w:fill="auto"/>
            <w:noWrap/>
            <w:hideMark/>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 xml:space="preserve">p value </w:t>
            </w:r>
          </w:p>
        </w:tc>
      </w:tr>
      <w:tr w:rsidR="002A1DF5" w:rsidRPr="00F9438A" w:rsidTr="00C44778">
        <w:tc>
          <w:tcPr>
            <w:tcW w:w="2509" w:type="pct"/>
            <w:shd w:val="clear" w:color="auto" w:fill="auto"/>
            <w:hideMark/>
          </w:tcPr>
          <w:p w:rsidR="002A1DF5" w:rsidRPr="00F9438A" w:rsidRDefault="002A1DF5" w:rsidP="00C44778">
            <w:pPr>
              <w:spacing w:line="360" w:lineRule="auto"/>
              <w:rPr>
                <w:b/>
                <w:bCs/>
                <w:color w:val="000000"/>
                <w:sz w:val="22"/>
                <w:szCs w:val="22"/>
                <w:lang w:val="en-US"/>
              </w:rPr>
            </w:pPr>
            <w:r w:rsidRPr="00F9438A">
              <w:rPr>
                <w:b/>
                <w:bCs/>
                <w:color w:val="000000"/>
                <w:sz w:val="22"/>
                <w:szCs w:val="22"/>
                <w:lang w:val="en-US"/>
              </w:rPr>
              <w:t>HIV-related characteristics</w:t>
            </w:r>
          </w:p>
        </w:tc>
        <w:tc>
          <w:tcPr>
            <w:tcW w:w="1527" w:type="pct"/>
            <w:shd w:val="clear" w:color="auto" w:fill="auto"/>
            <w:noWrap/>
            <w:hideMark/>
          </w:tcPr>
          <w:p w:rsidR="002A1DF5" w:rsidRPr="00F9438A" w:rsidRDefault="002A1DF5" w:rsidP="00C44778">
            <w:pPr>
              <w:spacing w:line="360" w:lineRule="auto"/>
              <w:rPr>
                <w:b/>
                <w:bCs/>
                <w:color w:val="000000"/>
                <w:sz w:val="22"/>
                <w:szCs w:val="22"/>
                <w:lang w:val="en-US"/>
              </w:rPr>
            </w:pPr>
          </w:p>
        </w:tc>
        <w:tc>
          <w:tcPr>
            <w:tcW w:w="964" w:type="pct"/>
            <w:shd w:val="clear" w:color="auto" w:fill="auto"/>
            <w:noWrap/>
            <w:hideMark/>
          </w:tcPr>
          <w:p w:rsidR="002A1DF5" w:rsidRPr="00F9438A" w:rsidRDefault="002A1DF5" w:rsidP="00C44778">
            <w:pPr>
              <w:spacing w:line="360" w:lineRule="auto"/>
              <w:jc w:val="center"/>
              <w:rPr>
                <w:sz w:val="22"/>
                <w:szCs w:val="22"/>
                <w:lang w:val="en-US"/>
              </w:rPr>
            </w:pPr>
          </w:p>
        </w:tc>
      </w:tr>
      <w:tr w:rsidR="002A1DF5" w:rsidRPr="00F9438A" w:rsidTr="00C44778">
        <w:tc>
          <w:tcPr>
            <w:tcW w:w="2509" w:type="pct"/>
            <w:shd w:val="clear" w:color="auto" w:fill="auto"/>
            <w:hideMark/>
          </w:tcPr>
          <w:p w:rsidR="002A1DF5" w:rsidRPr="00F9438A" w:rsidRDefault="002A1DF5" w:rsidP="00C44778">
            <w:pPr>
              <w:spacing w:line="360" w:lineRule="auto"/>
              <w:rPr>
                <w:color w:val="000000"/>
                <w:sz w:val="22"/>
                <w:szCs w:val="22"/>
                <w:lang w:val="en-US"/>
              </w:rPr>
            </w:pPr>
            <w:r w:rsidRPr="00F9438A">
              <w:rPr>
                <w:color w:val="000000" w:themeColor="text1"/>
                <w:sz w:val="22"/>
                <w:szCs w:val="22"/>
                <w:lang w:val="en-US"/>
              </w:rPr>
              <w:t>HIV literacy scale</w:t>
            </w:r>
          </w:p>
        </w:tc>
        <w:tc>
          <w:tcPr>
            <w:tcW w:w="1527" w:type="pct"/>
            <w:shd w:val="clear" w:color="auto" w:fill="auto"/>
            <w:noWrap/>
            <w:vAlign w:val="center"/>
            <w:hideMark/>
          </w:tcPr>
          <w:p w:rsidR="002A1DF5" w:rsidRPr="00F9438A" w:rsidRDefault="002A1DF5" w:rsidP="00C44778">
            <w:pPr>
              <w:spacing w:line="360" w:lineRule="auto"/>
              <w:jc w:val="center"/>
              <w:rPr>
                <w:color w:val="000000"/>
                <w:sz w:val="22"/>
                <w:szCs w:val="22"/>
                <w:lang w:val="en-US"/>
              </w:rPr>
            </w:pPr>
          </w:p>
        </w:tc>
        <w:tc>
          <w:tcPr>
            <w:tcW w:w="964" w:type="pct"/>
            <w:shd w:val="clear" w:color="auto" w:fill="auto"/>
            <w:noWrap/>
            <w:vAlign w:val="center"/>
            <w:hideMark/>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0.743</w:t>
            </w:r>
          </w:p>
        </w:tc>
      </w:tr>
      <w:tr w:rsidR="002A1DF5" w:rsidRPr="00F9438A" w:rsidTr="00C44778">
        <w:tc>
          <w:tcPr>
            <w:tcW w:w="2509" w:type="pct"/>
            <w:shd w:val="clear" w:color="auto" w:fill="auto"/>
            <w:noWrap/>
          </w:tcPr>
          <w:p w:rsidR="002A1DF5" w:rsidRPr="00F9438A" w:rsidRDefault="002A1DF5" w:rsidP="00C44778">
            <w:pPr>
              <w:spacing w:line="360" w:lineRule="auto"/>
              <w:rPr>
                <w:b/>
                <w:bCs/>
                <w:color w:val="000000" w:themeColor="text1"/>
                <w:sz w:val="22"/>
                <w:szCs w:val="22"/>
                <w:lang w:val="en-US"/>
              </w:rPr>
            </w:pPr>
            <w:r w:rsidRPr="00F9438A">
              <w:rPr>
                <w:color w:val="000000" w:themeColor="text1"/>
                <w:sz w:val="22"/>
                <w:szCs w:val="22"/>
                <w:lang w:val="en-US"/>
              </w:rPr>
              <w:t>HIV disclosure scale to sexual partners</w:t>
            </w:r>
          </w:p>
        </w:tc>
        <w:tc>
          <w:tcPr>
            <w:tcW w:w="1527" w:type="pct"/>
            <w:shd w:val="clear" w:color="auto" w:fill="auto"/>
            <w:noWrap/>
            <w:vAlign w:val="center"/>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1.08 (1.01, 1.16)*</w:t>
            </w:r>
          </w:p>
        </w:tc>
        <w:tc>
          <w:tcPr>
            <w:tcW w:w="964" w:type="pct"/>
            <w:shd w:val="clear" w:color="auto" w:fill="auto"/>
            <w:noWrap/>
            <w:vAlign w:val="center"/>
          </w:tcPr>
          <w:p w:rsidR="002A1DF5" w:rsidRPr="00F9438A" w:rsidDel="00E1386F" w:rsidRDefault="002A1DF5" w:rsidP="00C44778">
            <w:pPr>
              <w:spacing w:line="360" w:lineRule="auto"/>
              <w:jc w:val="center"/>
              <w:rPr>
                <w:color w:val="000000"/>
                <w:sz w:val="22"/>
                <w:szCs w:val="22"/>
                <w:lang w:val="en-US"/>
              </w:rPr>
            </w:pPr>
            <w:r w:rsidRPr="00F9438A">
              <w:rPr>
                <w:color w:val="000000"/>
                <w:sz w:val="22"/>
                <w:szCs w:val="22"/>
                <w:lang w:val="en-US"/>
              </w:rPr>
              <w:t>0.032</w:t>
            </w:r>
          </w:p>
        </w:tc>
      </w:tr>
      <w:tr w:rsidR="002A1DF5" w:rsidRPr="00F9438A" w:rsidTr="00C44778">
        <w:tc>
          <w:tcPr>
            <w:tcW w:w="2509" w:type="pct"/>
            <w:shd w:val="clear" w:color="auto" w:fill="auto"/>
            <w:noWrap/>
          </w:tcPr>
          <w:p w:rsidR="002A1DF5" w:rsidRPr="00F9438A" w:rsidRDefault="002A1DF5" w:rsidP="00C44778">
            <w:pPr>
              <w:spacing w:line="360" w:lineRule="auto"/>
              <w:rPr>
                <w:b/>
                <w:bCs/>
                <w:color w:val="000000" w:themeColor="text1"/>
                <w:sz w:val="22"/>
                <w:szCs w:val="22"/>
                <w:lang w:val="en-US"/>
              </w:rPr>
            </w:pPr>
          </w:p>
        </w:tc>
        <w:tc>
          <w:tcPr>
            <w:tcW w:w="1527" w:type="pct"/>
            <w:shd w:val="clear" w:color="auto" w:fill="auto"/>
            <w:noWrap/>
            <w:vAlign w:val="center"/>
          </w:tcPr>
          <w:p w:rsidR="002A1DF5" w:rsidRPr="00F9438A" w:rsidRDefault="002A1DF5" w:rsidP="00C44778">
            <w:pPr>
              <w:spacing w:line="360" w:lineRule="auto"/>
              <w:rPr>
                <w:color w:val="000000"/>
                <w:sz w:val="22"/>
                <w:szCs w:val="22"/>
                <w:lang w:val="en-US"/>
              </w:rPr>
            </w:pPr>
          </w:p>
        </w:tc>
        <w:tc>
          <w:tcPr>
            <w:tcW w:w="964" w:type="pct"/>
            <w:shd w:val="clear" w:color="auto" w:fill="auto"/>
            <w:noWrap/>
            <w:vAlign w:val="center"/>
          </w:tcPr>
          <w:p w:rsidR="002A1DF5" w:rsidRPr="00F9438A" w:rsidRDefault="002A1DF5" w:rsidP="00C44778">
            <w:pPr>
              <w:spacing w:line="360" w:lineRule="auto"/>
              <w:jc w:val="center"/>
              <w:rPr>
                <w:sz w:val="22"/>
                <w:szCs w:val="22"/>
                <w:lang w:val="en-US"/>
              </w:rPr>
            </w:pPr>
          </w:p>
        </w:tc>
      </w:tr>
      <w:tr w:rsidR="002A1DF5" w:rsidRPr="00F9438A" w:rsidTr="00C44778">
        <w:tc>
          <w:tcPr>
            <w:tcW w:w="2509" w:type="pct"/>
            <w:shd w:val="clear" w:color="auto" w:fill="auto"/>
            <w:noWrap/>
            <w:hideMark/>
          </w:tcPr>
          <w:p w:rsidR="002A1DF5" w:rsidRPr="00F9438A" w:rsidRDefault="002A1DF5" w:rsidP="00C44778">
            <w:pPr>
              <w:spacing w:line="360" w:lineRule="auto"/>
              <w:rPr>
                <w:b/>
                <w:bCs/>
                <w:color w:val="000000"/>
                <w:sz w:val="22"/>
                <w:szCs w:val="22"/>
                <w:lang w:val="en-US"/>
              </w:rPr>
            </w:pPr>
            <w:proofErr w:type="spellStart"/>
            <w:r w:rsidRPr="00F9438A">
              <w:rPr>
                <w:b/>
                <w:bCs/>
                <w:color w:val="000000" w:themeColor="text1"/>
                <w:sz w:val="22"/>
                <w:szCs w:val="22"/>
                <w:lang w:val="en-US"/>
              </w:rPr>
              <w:t>PrEP</w:t>
            </w:r>
            <w:proofErr w:type="spellEnd"/>
            <w:r w:rsidRPr="00F9438A">
              <w:rPr>
                <w:b/>
                <w:bCs/>
                <w:color w:val="000000" w:themeColor="text1"/>
                <w:sz w:val="22"/>
                <w:szCs w:val="22"/>
                <w:lang w:val="en-US"/>
              </w:rPr>
              <w:t>-related cognition</w:t>
            </w:r>
          </w:p>
        </w:tc>
        <w:tc>
          <w:tcPr>
            <w:tcW w:w="1527" w:type="pct"/>
            <w:shd w:val="clear" w:color="auto" w:fill="auto"/>
            <w:noWrap/>
            <w:hideMark/>
          </w:tcPr>
          <w:p w:rsidR="002A1DF5" w:rsidRPr="00F9438A" w:rsidRDefault="002A1DF5" w:rsidP="00C44778">
            <w:pPr>
              <w:spacing w:line="360" w:lineRule="auto"/>
              <w:rPr>
                <w:color w:val="000000"/>
                <w:sz w:val="22"/>
                <w:szCs w:val="22"/>
                <w:lang w:val="en-US"/>
              </w:rPr>
            </w:pPr>
          </w:p>
        </w:tc>
        <w:tc>
          <w:tcPr>
            <w:tcW w:w="964" w:type="pct"/>
            <w:shd w:val="clear" w:color="auto" w:fill="auto"/>
            <w:noWrap/>
            <w:hideMark/>
          </w:tcPr>
          <w:p w:rsidR="002A1DF5" w:rsidRPr="00F9438A" w:rsidRDefault="002A1DF5" w:rsidP="00C44778">
            <w:pPr>
              <w:spacing w:line="360" w:lineRule="auto"/>
              <w:jc w:val="center"/>
              <w:rPr>
                <w:sz w:val="22"/>
                <w:szCs w:val="22"/>
                <w:lang w:val="en-US"/>
              </w:rPr>
            </w:pPr>
          </w:p>
        </w:tc>
      </w:tr>
      <w:tr w:rsidR="002A1DF5" w:rsidRPr="00F9438A" w:rsidTr="00C44778">
        <w:tc>
          <w:tcPr>
            <w:tcW w:w="2509" w:type="pct"/>
            <w:shd w:val="clear" w:color="auto" w:fill="auto"/>
            <w:noWrap/>
            <w:hideMark/>
          </w:tcPr>
          <w:p w:rsidR="002A1DF5" w:rsidRPr="00F9438A" w:rsidRDefault="002A1DF5" w:rsidP="00C44778">
            <w:pPr>
              <w:spacing w:line="360" w:lineRule="auto"/>
              <w:rPr>
                <w:color w:val="000000"/>
                <w:sz w:val="22"/>
                <w:szCs w:val="22"/>
                <w:lang w:val="en-US"/>
              </w:rPr>
            </w:pPr>
            <w:proofErr w:type="spellStart"/>
            <w:r w:rsidRPr="00F9438A">
              <w:rPr>
                <w:bCs/>
                <w:color w:val="000000" w:themeColor="text1"/>
                <w:sz w:val="22"/>
                <w:szCs w:val="22"/>
                <w:lang w:val="en-US"/>
              </w:rPr>
              <w:t>PrEP</w:t>
            </w:r>
            <w:proofErr w:type="spellEnd"/>
            <w:r w:rsidRPr="00F9438A">
              <w:rPr>
                <w:bCs/>
                <w:color w:val="000000" w:themeColor="text1"/>
                <w:sz w:val="22"/>
                <w:szCs w:val="22"/>
                <w:lang w:val="en-US"/>
              </w:rPr>
              <w:t xml:space="preserve"> awareness scale </w:t>
            </w:r>
          </w:p>
        </w:tc>
        <w:tc>
          <w:tcPr>
            <w:tcW w:w="1527" w:type="pct"/>
            <w:shd w:val="clear" w:color="auto" w:fill="auto"/>
            <w:noWrap/>
            <w:vAlign w:val="center"/>
            <w:hideMark/>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1.38 (1.11, 1.71)**</w:t>
            </w:r>
          </w:p>
        </w:tc>
        <w:tc>
          <w:tcPr>
            <w:tcW w:w="964" w:type="pct"/>
            <w:shd w:val="clear" w:color="auto" w:fill="auto"/>
            <w:noWrap/>
            <w:vAlign w:val="center"/>
            <w:hideMark/>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0.004</w:t>
            </w:r>
          </w:p>
        </w:tc>
      </w:tr>
      <w:tr w:rsidR="002A1DF5" w:rsidRPr="00F9438A" w:rsidTr="00C44778">
        <w:tc>
          <w:tcPr>
            <w:tcW w:w="2509" w:type="pct"/>
            <w:shd w:val="clear" w:color="auto" w:fill="auto"/>
            <w:noWrap/>
            <w:hideMark/>
          </w:tcPr>
          <w:p w:rsidR="002A1DF5" w:rsidRPr="00F9438A" w:rsidRDefault="002A1DF5" w:rsidP="00C44778">
            <w:pPr>
              <w:spacing w:line="360" w:lineRule="auto"/>
              <w:rPr>
                <w:color w:val="000000"/>
                <w:sz w:val="22"/>
                <w:szCs w:val="22"/>
                <w:lang w:val="en-US"/>
              </w:rPr>
            </w:pPr>
            <w:proofErr w:type="spellStart"/>
            <w:r w:rsidRPr="00F9438A">
              <w:rPr>
                <w:bCs/>
                <w:color w:val="000000" w:themeColor="text1"/>
                <w:sz w:val="22"/>
                <w:szCs w:val="22"/>
                <w:lang w:val="en-US"/>
              </w:rPr>
              <w:t>PrEP</w:t>
            </w:r>
            <w:proofErr w:type="spellEnd"/>
            <w:r w:rsidRPr="00F9438A">
              <w:rPr>
                <w:bCs/>
                <w:color w:val="000000" w:themeColor="text1"/>
                <w:sz w:val="22"/>
                <w:szCs w:val="22"/>
                <w:lang w:val="en-US"/>
              </w:rPr>
              <w:t xml:space="preserve"> acceptability scale </w:t>
            </w:r>
          </w:p>
        </w:tc>
        <w:tc>
          <w:tcPr>
            <w:tcW w:w="1527" w:type="pct"/>
            <w:shd w:val="clear" w:color="auto" w:fill="auto"/>
            <w:noWrap/>
            <w:vAlign w:val="center"/>
            <w:hideMark/>
          </w:tcPr>
          <w:p w:rsidR="002A1DF5" w:rsidRPr="00F9438A" w:rsidRDefault="002A1DF5" w:rsidP="00C44778">
            <w:pPr>
              <w:spacing w:line="360" w:lineRule="auto"/>
              <w:jc w:val="center"/>
              <w:rPr>
                <w:color w:val="000000"/>
                <w:sz w:val="22"/>
                <w:szCs w:val="22"/>
                <w:lang w:val="en-US"/>
              </w:rPr>
            </w:pPr>
          </w:p>
        </w:tc>
        <w:tc>
          <w:tcPr>
            <w:tcW w:w="964" w:type="pct"/>
            <w:shd w:val="clear" w:color="auto" w:fill="auto"/>
            <w:noWrap/>
            <w:vAlign w:val="center"/>
            <w:hideMark/>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0.938</w:t>
            </w:r>
          </w:p>
        </w:tc>
      </w:tr>
      <w:tr w:rsidR="002A1DF5" w:rsidRPr="00F9438A" w:rsidTr="00C44778">
        <w:tc>
          <w:tcPr>
            <w:tcW w:w="2509" w:type="pct"/>
            <w:shd w:val="clear" w:color="auto" w:fill="auto"/>
            <w:noWrap/>
          </w:tcPr>
          <w:p w:rsidR="002A1DF5" w:rsidRPr="00F9438A" w:rsidRDefault="002A1DF5" w:rsidP="00C44778">
            <w:pPr>
              <w:spacing w:line="360" w:lineRule="auto"/>
              <w:rPr>
                <w:bCs/>
                <w:color w:val="000000" w:themeColor="text1"/>
                <w:sz w:val="22"/>
                <w:szCs w:val="22"/>
                <w:lang w:val="en-US"/>
              </w:rPr>
            </w:pPr>
            <w:r w:rsidRPr="00F9438A">
              <w:rPr>
                <w:bCs/>
                <w:color w:val="000000" w:themeColor="text1"/>
                <w:sz w:val="22"/>
                <w:szCs w:val="22"/>
                <w:lang w:val="en-US"/>
              </w:rPr>
              <w:t xml:space="preserve">Perceived </w:t>
            </w:r>
            <w:proofErr w:type="spellStart"/>
            <w:r w:rsidRPr="00F9438A">
              <w:rPr>
                <w:bCs/>
                <w:color w:val="000000" w:themeColor="text1"/>
                <w:sz w:val="22"/>
                <w:szCs w:val="22"/>
                <w:lang w:val="en-US"/>
              </w:rPr>
              <w:t>PrEP</w:t>
            </w:r>
            <w:proofErr w:type="spellEnd"/>
            <w:r w:rsidRPr="00F9438A">
              <w:rPr>
                <w:bCs/>
                <w:color w:val="000000" w:themeColor="text1"/>
                <w:sz w:val="22"/>
                <w:szCs w:val="22"/>
                <w:lang w:val="en-US"/>
              </w:rPr>
              <w:t xml:space="preserve"> adherence scale</w:t>
            </w:r>
          </w:p>
        </w:tc>
        <w:tc>
          <w:tcPr>
            <w:tcW w:w="1527" w:type="pct"/>
            <w:shd w:val="clear" w:color="auto" w:fill="auto"/>
            <w:noWrap/>
            <w:vAlign w:val="center"/>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1.11 (1.01, 1.21)*</w:t>
            </w:r>
          </w:p>
        </w:tc>
        <w:tc>
          <w:tcPr>
            <w:tcW w:w="964" w:type="pct"/>
            <w:shd w:val="clear" w:color="auto" w:fill="auto"/>
            <w:noWrap/>
            <w:vAlign w:val="center"/>
          </w:tcPr>
          <w:p w:rsidR="002A1DF5" w:rsidRPr="00F9438A" w:rsidRDefault="002A1DF5" w:rsidP="00C44778">
            <w:pPr>
              <w:spacing w:line="360" w:lineRule="auto"/>
              <w:jc w:val="center"/>
              <w:rPr>
                <w:color w:val="000000"/>
                <w:sz w:val="22"/>
                <w:szCs w:val="22"/>
                <w:lang w:val="en-US"/>
              </w:rPr>
            </w:pPr>
            <w:r w:rsidRPr="00F9438A">
              <w:rPr>
                <w:color w:val="000000"/>
                <w:sz w:val="22"/>
                <w:szCs w:val="22"/>
                <w:lang w:val="en-US"/>
              </w:rPr>
              <w:t>0.031</w:t>
            </w:r>
          </w:p>
        </w:tc>
      </w:tr>
    </w:tbl>
    <w:p w:rsidR="002A1DF5" w:rsidRPr="00F9438A" w:rsidRDefault="002A1DF5" w:rsidP="002A1DF5">
      <w:pPr>
        <w:spacing w:line="360" w:lineRule="auto"/>
        <w:rPr>
          <w:color w:val="000000" w:themeColor="text1"/>
          <w:sz w:val="22"/>
          <w:szCs w:val="22"/>
          <w:lang w:val="en-US"/>
        </w:rPr>
      </w:pPr>
      <w:r w:rsidRPr="00F9438A">
        <w:rPr>
          <w:color w:val="000000"/>
          <w:sz w:val="22"/>
          <w:szCs w:val="22"/>
          <w:lang w:val="en-US" w:eastAsia="en-US"/>
        </w:rPr>
        <w:t>†</w:t>
      </w:r>
      <w:r w:rsidRPr="00F9438A">
        <w:rPr>
          <w:noProof/>
          <w:color w:val="000000"/>
          <w:sz w:val="22"/>
          <w:szCs w:val="22"/>
          <w:lang w:val="en-US" w:eastAsia="en-US"/>
        </w:rPr>
        <w:t>P&lt;0.10, *P&lt;0.05, **P&lt;0.01, ***P&lt;0.001;</w:t>
      </w:r>
    </w:p>
    <w:p w:rsidR="002A1DF5" w:rsidRPr="00F9438A" w:rsidRDefault="002A1DF5" w:rsidP="002A1DF5">
      <w:pPr>
        <w:spacing w:line="360" w:lineRule="auto"/>
        <w:rPr>
          <w:color w:val="000000"/>
          <w:sz w:val="22"/>
          <w:szCs w:val="22"/>
          <w:lang w:val="en-US" w:eastAsia="en-US"/>
        </w:rPr>
      </w:pPr>
      <w:proofErr w:type="spellStart"/>
      <w:r w:rsidRPr="00F9438A">
        <w:rPr>
          <w:color w:val="000000"/>
          <w:sz w:val="22"/>
          <w:szCs w:val="22"/>
          <w:lang w:val="en-US" w:eastAsia="en-US"/>
        </w:rPr>
        <w:t>PrEP</w:t>
      </w:r>
      <w:proofErr w:type="spellEnd"/>
      <w:r w:rsidRPr="00F9438A">
        <w:rPr>
          <w:color w:val="000000"/>
          <w:sz w:val="22"/>
          <w:szCs w:val="22"/>
          <w:lang w:val="en-US" w:eastAsia="en-US"/>
        </w:rPr>
        <w:t>: Pre-exposure prophylaxis;</w:t>
      </w:r>
    </w:p>
    <w:p w:rsidR="002A1DF5" w:rsidRPr="00F9438A" w:rsidRDefault="002A1DF5" w:rsidP="002A1DF5">
      <w:pPr>
        <w:spacing w:line="360" w:lineRule="auto"/>
        <w:rPr>
          <w:color w:val="000000"/>
          <w:sz w:val="22"/>
          <w:szCs w:val="22"/>
          <w:lang w:val="en-US" w:eastAsia="en-US"/>
        </w:rPr>
      </w:pPr>
      <w:proofErr w:type="spellStart"/>
      <w:r w:rsidRPr="00F9438A">
        <w:rPr>
          <w:color w:val="000000"/>
          <w:sz w:val="22"/>
          <w:szCs w:val="22"/>
          <w:lang w:val="en-US" w:eastAsia="en-US"/>
        </w:rPr>
        <w:t>ORm</w:t>
      </w:r>
      <w:proofErr w:type="spellEnd"/>
      <w:r w:rsidRPr="00F9438A">
        <w:rPr>
          <w:color w:val="000000"/>
          <w:sz w:val="22"/>
          <w:szCs w:val="22"/>
          <w:lang w:val="en-US" w:eastAsia="en-US"/>
        </w:rPr>
        <w:t>: multivariate odds ratio;</w:t>
      </w:r>
    </w:p>
    <w:p w:rsidR="002A1DF5" w:rsidRPr="00F9438A" w:rsidRDefault="002A1DF5" w:rsidP="002A1DF5">
      <w:pPr>
        <w:spacing w:line="360" w:lineRule="auto"/>
        <w:rPr>
          <w:color w:val="000000"/>
          <w:sz w:val="22"/>
          <w:szCs w:val="22"/>
          <w:lang w:val="en-US" w:eastAsia="en-US"/>
        </w:rPr>
      </w:pPr>
      <w:r w:rsidRPr="00F9438A">
        <w:rPr>
          <w:color w:val="000000"/>
          <w:sz w:val="22"/>
          <w:szCs w:val="22"/>
          <w:lang w:val="en-US" w:eastAsia="en-US"/>
        </w:rPr>
        <w:t xml:space="preserve">Three significant background variables (marital status, personal monthly income, and age of first homosexual intercourse) were forced entered in the first step, then five variables (HIV literacy scale, HIV disclosure scale to sexual partners, </w:t>
      </w:r>
      <w:proofErr w:type="spellStart"/>
      <w:r w:rsidRPr="00F9438A">
        <w:rPr>
          <w:color w:val="000000"/>
          <w:sz w:val="22"/>
          <w:szCs w:val="22"/>
          <w:lang w:val="en-US" w:eastAsia="en-US"/>
        </w:rPr>
        <w:t>PrEP</w:t>
      </w:r>
      <w:proofErr w:type="spellEnd"/>
      <w:r w:rsidRPr="00F9438A">
        <w:rPr>
          <w:color w:val="000000"/>
          <w:sz w:val="22"/>
          <w:szCs w:val="22"/>
          <w:lang w:val="en-US" w:eastAsia="en-US"/>
        </w:rPr>
        <w:t xml:space="preserve"> awareness scale, </w:t>
      </w:r>
      <w:proofErr w:type="spellStart"/>
      <w:r w:rsidRPr="00F9438A">
        <w:rPr>
          <w:color w:val="000000"/>
          <w:sz w:val="22"/>
          <w:szCs w:val="22"/>
          <w:lang w:val="en-US" w:eastAsia="en-US"/>
        </w:rPr>
        <w:t>PrEP</w:t>
      </w:r>
      <w:proofErr w:type="spellEnd"/>
      <w:r w:rsidRPr="00F9438A">
        <w:rPr>
          <w:color w:val="000000"/>
          <w:sz w:val="22"/>
          <w:szCs w:val="22"/>
          <w:lang w:val="en-US" w:eastAsia="en-US"/>
        </w:rPr>
        <w:t xml:space="preserve"> acceptability scale, and self-efficacy scale of keeping adherence to </w:t>
      </w:r>
      <w:proofErr w:type="spellStart"/>
      <w:r w:rsidRPr="00F9438A">
        <w:rPr>
          <w:color w:val="000000"/>
          <w:sz w:val="22"/>
          <w:szCs w:val="22"/>
          <w:lang w:val="en-US" w:eastAsia="en-US"/>
        </w:rPr>
        <w:t>PrEP</w:t>
      </w:r>
      <w:proofErr w:type="spellEnd"/>
      <w:r w:rsidRPr="00F9438A">
        <w:rPr>
          <w:color w:val="000000"/>
          <w:sz w:val="22"/>
          <w:szCs w:val="22"/>
          <w:lang w:val="en-US" w:eastAsia="en-US"/>
        </w:rPr>
        <w:t>) were put in the multivariate model. The Forward Stepwise (Wald) Method ((Entry: p&lt;0.05, exclude: p&gt;0.10)) was used to select variables in this model.</w:t>
      </w:r>
    </w:p>
    <w:p w:rsidR="005B14E0" w:rsidRPr="002A1DF5" w:rsidRDefault="005B14E0" w:rsidP="002A1DF5">
      <w:bookmarkStart w:id="0" w:name="_GoBack"/>
      <w:bookmarkEnd w:id="0"/>
    </w:p>
    <w:sectPr w:rsidR="005B14E0" w:rsidRPr="002A1D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4E0"/>
    <w:rsid w:val="00174354"/>
    <w:rsid w:val="002A1DF5"/>
    <w:rsid w:val="005B14E0"/>
    <w:rsid w:val="00B8508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4E0"/>
    <w:pPr>
      <w:spacing w:after="0" w:line="240" w:lineRule="auto"/>
    </w:pPr>
    <w:rPr>
      <w:rFonts w:ascii="Times New Roman" w:eastAsia="Times New Roman" w:hAnsi="Times New Roman" w:cs="Times New Roman"/>
      <w:sz w:val="24"/>
      <w:szCs w:val="24"/>
      <w:lang w:val="en-HK"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4E0"/>
    <w:pPr>
      <w:spacing w:after="0" w:line="240" w:lineRule="auto"/>
    </w:pPr>
    <w:rPr>
      <w:rFonts w:ascii="Times New Roman" w:eastAsia="Times New Roman" w:hAnsi="Times New Roman" w:cs="Times New Roman"/>
      <w:sz w:val="24"/>
      <w:szCs w:val="24"/>
      <w:lang w:val="en-HK"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864</Characters>
  <Application>Microsoft Office Word</Application>
  <DocSecurity>0</DocSecurity>
  <Lines>16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2</cp:revision>
  <dcterms:created xsi:type="dcterms:W3CDTF">2020-03-11T21:56:00Z</dcterms:created>
  <dcterms:modified xsi:type="dcterms:W3CDTF">2020-03-11T21:56:00Z</dcterms:modified>
</cp:coreProperties>
</file>