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E3F66" w14:textId="1B449994" w:rsidR="00A50331" w:rsidRPr="00A50331" w:rsidRDefault="00A50331" w:rsidP="003C1F25">
      <w:pPr>
        <w:spacing w:line="480" w:lineRule="auto"/>
        <w:jc w:val="center"/>
        <w:rPr>
          <w:rFonts w:ascii="Times New Roman" w:hAnsi="Times New Roman" w:cs="Times New Roman"/>
          <w:b/>
          <w:bCs/>
        </w:rPr>
      </w:pPr>
      <w:r w:rsidRPr="00A50331">
        <w:rPr>
          <w:rFonts w:ascii="Times New Roman" w:hAnsi="Times New Roman" w:cs="Times New Roman"/>
          <w:b/>
          <w:bCs/>
        </w:rPr>
        <w:t xml:space="preserve">Additional File </w:t>
      </w:r>
      <w:r w:rsidR="00AF5578">
        <w:rPr>
          <w:rFonts w:ascii="Times New Roman" w:hAnsi="Times New Roman" w:cs="Times New Roman"/>
          <w:b/>
          <w:bCs/>
        </w:rPr>
        <w:t>1</w:t>
      </w:r>
    </w:p>
    <w:p w14:paraId="2D3774FC" w14:textId="48B38E2B" w:rsidR="00A50331" w:rsidRDefault="00A50331" w:rsidP="003C1F25">
      <w:pPr>
        <w:spacing w:line="480" w:lineRule="auto"/>
        <w:rPr>
          <w:rFonts w:ascii="Times New Roman" w:hAnsi="Times New Roman" w:cs="Times New Roman"/>
        </w:rPr>
      </w:pPr>
    </w:p>
    <w:p w14:paraId="2B61EB6D" w14:textId="66918C56" w:rsidR="0058072F" w:rsidRDefault="0058072F" w:rsidP="003C1F25">
      <w:pPr>
        <w:spacing w:line="480" w:lineRule="auto"/>
        <w:rPr>
          <w:rFonts w:ascii="Times New Roman" w:hAnsi="Times New Roman" w:cs="Times New Roman"/>
        </w:rPr>
      </w:pPr>
      <w:r w:rsidRPr="006D6653">
        <w:rPr>
          <w:rFonts w:ascii="Times New Roman" w:hAnsi="Times New Roman" w:cs="Times New Roman"/>
          <w:b/>
          <w:lang w:eastAsia="zh-CN"/>
        </w:rPr>
        <w:t>Appendix</w:t>
      </w:r>
    </w:p>
    <w:p w14:paraId="7C4B6C86" w14:textId="77777777" w:rsidR="00A50331" w:rsidRDefault="00A50331" w:rsidP="003C1F25">
      <w:pPr>
        <w:spacing w:line="480" w:lineRule="auto"/>
        <w:rPr>
          <w:rFonts w:ascii="Times New Roman" w:hAnsi="Times New Roman" w:cs="Times New Roman"/>
        </w:rPr>
      </w:pPr>
    </w:p>
    <w:p w14:paraId="5D43F9EC" w14:textId="2DCB9110" w:rsidR="0047138B" w:rsidRPr="0047138B" w:rsidRDefault="0047138B" w:rsidP="003C1F25">
      <w:pPr>
        <w:spacing w:line="480" w:lineRule="auto"/>
        <w:jc w:val="both"/>
        <w:rPr>
          <w:rFonts w:ascii="Times New Roman" w:hAnsi="Times New Roman" w:cs="Times New Roman"/>
          <w:lang w:val="en-GB"/>
        </w:rPr>
      </w:pPr>
      <w:r w:rsidRPr="0047138B">
        <w:rPr>
          <w:rFonts w:ascii="Times New Roman" w:hAnsi="Times New Roman" w:cs="Times New Roman"/>
          <w:lang w:val="en-GB"/>
        </w:rPr>
        <w:t xml:space="preserve">The predictors in this study were derived from the UNICEF model, which conceptualises the determinants of malnourishment.  They are divided, according to the pathway of their influence on nutritional status, into three different levels: immediate, underlying and basic.  They also operate at various levels in a society, such as individual-, household- and community-level </w:t>
      </w:r>
      <w:r w:rsidRPr="0047138B">
        <w:rPr>
          <w:rFonts w:ascii="Times New Roman" w:hAnsi="Times New Roman" w:cs="Times New Roman"/>
          <w:bCs/>
          <w:lang w:val="en-GB"/>
        </w:rPr>
        <w:fldChar w:fldCharType="begin" w:fldLock="1"/>
      </w:r>
      <w:r w:rsidR="009D0C28">
        <w:rPr>
          <w:rFonts w:ascii="Times New Roman" w:hAnsi="Times New Roman" w:cs="Times New Roman"/>
          <w:bCs/>
          <w:lang w:val="en-GB"/>
        </w:rPr>
        <w:instrText>ADDIN CSL_CITATION {"citationItems":[{"id":"ITEM-1","itemData":{"ISBN":"1013-3194","abstract":"Freedom from hunger is a basic human right. Continued malnutrition is unacceptable. Goals are proposed for the 1990s for the control of protein-energy malnutrition and micronutrient deficiency disorders. This strategy, based on previous nutrition-oriented programmes, proposed to reduce and ultimately eliminate malnutrition in developing countries. It proposes a methodology for the identification of appropriate actions in a given context through situation assessment and analysis, rather than through a predetermined set of technical interventions. Central to the methodology is a conceptual framework reflecting the multisectoral nature of malnutrition, and a community-based monitoring system is key to that assessment. The strategy is applicable at household, community, district and national levels. Important strategy components include the promotion of breast-feeding and attention to outreach and urbanization. Potentially important components, identified through analysis, are discussed in terms of whether they address immediate causes of malnutrition, underlying causes, or basic causes.","author":[{"dropping-particle":"","family":"UNICEF","given":"","non-dropping-particle":"","parse-names":false,"suffix":""}],"id":"ITEM-1","issued":{"date-parts":[["1990"]]},"publisher-place":"A UNICEF Policy Review. The United Nations Children's Fund. New York: N.Y","title":"Strategy for improved nutrition of children and women in developing countries","type":"report"},"uris":["http://www.mendeley.com/documents/?uuid=87cb7ec2-697a-4abb-9e76-10f87bd5c255"]}],"mendeley":{"formattedCitation":"(1)","plainTextFormattedCitation":"(1)","previouslyFormattedCitation":"(1)"},"properties":{"noteIndex":0},"schema":"https://github.com/citation-style-language/schema/raw/master/csl-citation.json"}</w:instrText>
      </w:r>
      <w:r w:rsidRPr="0047138B">
        <w:rPr>
          <w:rFonts w:ascii="Times New Roman" w:hAnsi="Times New Roman" w:cs="Times New Roman"/>
          <w:bCs/>
          <w:lang w:val="en-GB"/>
        </w:rPr>
        <w:fldChar w:fldCharType="separate"/>
      </w:r>
      <w:r w:rsidR="009D0C28" w:rsidRPr="009D0C28">
        <w:rPr>
          <w:rFonts w:ascii="Times New Roman" w:hAnsi="Times New Roman" w:cs="Times New Roman"/>
          <w:bCs/>
          <w:noProof/>
          <w:lang w:val="en-GB"/>
        </w:rPr>
        <w:t>(1)</w:t>
      </w:r>
      <w:r w:rsidRPr="0047138B">
        <w:rPr>
          <w:rFonts w:ascii="Times New Roman" w:hAnsi="Times New Roman" w:cs="Times New Roman"/>
        </w:rPr>
        <w:fldChar w:fldCharType="end"/>
      </w:r>
      <w:r w:rsidRPr="0047138B">
        <w:rPr>
          <w:rFonts w:ascii="Times New Roman" w:hAnsi="Times New Roman" w:cs="Times New Roman"/>
          <w:lang w:val="en-GB"/>
        </w:rPr>
        <w:t xml:space="preserve">.  In this study, these predictors were conceptualised as measuring nutritional status based on child, household, cluster and state characteristics.  </w:t>
      </w:r>
    </w:p>
    <w:p w14:paraId="13D7A9A7" w14:textId="085223DC" w:rsidR="0047138B" w:rsidRPr="0047138B" w:rsidRDefault="0047138B" w:rsidP="003C1F25">
      <w:pPr>
        <w:spacing w:line="480" w:lineRule="auto"/>
        <w:jc w:val="both"/>
        <w:rPr>
          <w:rFonts w:ascii="Times New Roman" w:hAnsi="Times New Roman" w:cs="Times New Roman"/>
          <w:lang w:val="en-GB"/>
        </w:rPr>
      </w:pPr>
      <w:r w:rsidRPr="0047138B">
        <w:rPr>
          <w:rFonts w:ascii="Times New Roman" w:hAnsi="Times New Roman" w:cs="Times New Roman"/>
          <w:lang w:val="en-GB"/>
        </w:rPr>
        <w:t>As suggested by the UNICEF</w:t>
      </w:r>
      <w:r w:rsidRPr="0047138B" w:rsidDel="000D1AF0">
        <w:rPr>
          <w:rFonts w:ascii="Times New Roman" w:hAnsi="Times New Roman" w:cs="Times New Roman"/>
          <w:lang w:val="en-GB"/>
        </w:rPr>
        <w:t xml:space="preserve"> </w:t>
      </w:r>
      <w:r w:rsidRPr="0047138B">
        <w:rPr>
          <w:rFonts w:ascii="Times New Roman" w:hAnsi="Times New Roman" w:cs="Times New Roman"/>
          <w:lang w:val="en-GB"/>
        </w:rPr>
        <w:t xml:space="preserve">model, the basic determinants are factors within the political, economic, social, physical and environmental context at a national level.  In our study, these factors were categorised as cluster- and state-level characteristics and can be summarised into two main categories: political factors and socioeconomic factors.  The first category, which included only state-level characteristics, contains the central predictor: armed conflict.  This variable measured intensity level/year of eruption of a conflict and was generated using the classification of conflict intensity defined by the Heidelberg Institute for International Conflict Research (HIIK) </w:t>
      </w:r>
      <w:r w:rsidRPr="0047138B">
        <w:rPr>
          <w:rFonts w:ascii="Times New Roman" w:hAnsi="Times New Roman" w:cs="Times New Roman"/>
          <w:bCs/>
          <w:lang w:val="en-GB"/>
        </w:rPr>
        <w:fldChar w:fldCharType="begin" w:fldLock="1"/>
      </w:r>
      <w:r w:rsidR="009D0C28">
        <w:rPr>
          <w:rFonts w:ascii="Times New Roman" w:hAnsi="Times New Roman" w:cs="Times New Roman"/>
          <w:bCs/>
          <w:lang w:val="en-GB"/>
        </w:rPr>
        <w:instrText>ADDIN CSL_CITATION {"citationItems":[{"id":"ITEM-1","itemData":{"author":[{"dropping-particle":"","family":"Barometer","given":"C.","non-dropping-particle":"","parse-names":false,"suffix":""}],"id":"ITEM-1","issued":{"date-parts":[["2014"]]},"publisher-place":"Heidelberg Institute for International Research (HIIK). Heidelberg","title":"Disputes, non-violent crises, violent crises, limited wars, wars","type":"report"},"uris":["http://www.mendeley.com/documents/?uuid=83ee45e7-55e4-47a6-b80b-32365c026e91"]}],"mendeley":{"formattedCitation":"(2)","plainTextFormattedCitation":"(2)","previouslyFormattedCitation":"(2)"},"properties":{"noteIndex":0},"schema":"https://github.com/citation-style-language/schema/raw/master/csl-citation.json"}</w:instrText>
      </w:r>
      <w:r w:rsidRPr="0047138B">
        <w:rPr>
          <w:rFonts w:ascii="Times New Roman" w:hAnsi="Times New Roman" w:cs="Times New Roman"/>
          <w:bCs/>
          <w:lang w:val="en-GB"/>
        </w:rPr>
        <w:fldChar w:fldCharType="separate"/>
      </w:r>
      <w:r w:rsidR="009D0C28" w:rsidRPr="009D0C28">
        <w:rPr>
          <w:rFonts w:ascii="Times New Roman" w:hAnsi="Times New Roman" w:cs="Times New Roman"/>
          <w:bCs/>
          <w:noProof/>
          <w:lang w:val="en-GB"/>
        </w:rPr>
        <w:t>(2)</w:t>
      </w:r>
      <w:r w:rsidRPr="0047138B">
        <w:rPr>
          <w:rFonts w:ascii="Times New Roman" w:hAnsi="Times New Roman" w:cs="Times New Roman"/>
        </w:rPr>
        <w:fldChar w:fldCharType="end"/>
      </w:r>
      <w:r w:rsidRPr="0047138B">
        <w:rPr>
          <w:rFonts w:ascii="Times New Roman" w:hAnsi="Times New Roman" w:cs="Times New Roman"/>
          <w:lang w:val="en-GB"/>
        </w:rPr>
        <w:t>.</w:t>
      </w:r>
    </w:p>
    <w:p w14:paraId="53943A1E" w14:textId="000B6AEA" w:rsidR="0047138B" w:rsidRPr="0047138B" w:rsidRDefault="0047138B" w:rsidP="003C1F25">
      <w:pPr>
        <w:spacing w:line="480" w:lineRule="auto"/>
        <w:jc w:val="both"/>
        <w:rPr>
          <w:rFonts w:ascii="Times New Roman" w:hAnsi="Times New Roman" w:cs="Times New Roman"/>
          <w:lang w:val="en-GB"/>
        </w:rPr>
      </w:pPr>
      <w:r w:rsidRPr="0047138B">
        <w:rPr>
          <w:rFonts w:ascii="Times New Roman" w:hAnsi="Times New Roman" w:cs="Times New Roman"/>
          <w:lang w:val="en-GB"/>
        </w:rPr>
        <w:t xml:space="preserve">The literature also portrays the association between armed conflict and children’s nutritional status according to two different pathways.  The first is direct, appearing in the form of malnourishment through a conflict’s effect on household food security and hence, children’s food consumption </w:t>
      </w:r>
      <w:r w:rsidRPr="0047138B">
        <w:rPr>
          <w:rFonts w:ascii="Times New Roman" w:hAnsi="Times New Roman" w:cs="Times New Roman"/>
          <w:bCs/>
          <w:lang w:val="en-GB"/>
        </w:rPr>
        <w:fldChar w:fldCharType="begin" w:fldLock="1"/>
      </w:r>
      <w:r w:rsidR="009D0C28">
        <w:rPr>
          <w:rFonts w:ascii="Times New Roman" w:hAnsi="Times New Roman" w:cs="Times New Roman"/>
          <w:bCs/>
          <w:lang w:val="en-GB"/>
        </w:rPr>
        <w:instrText>ADDIN CSL_CITATION {"citationItems":[{"id":"ITEM-1","itemData":{"DOI":"10.1016/S0277-9536(02)00286-1","ISBN":"0277-9536, 0277-9536","ISSN":"02779536","PMID":"12742614","abstract":"This study arises from a general proposition that different levels and types of exposure to war are crucial in shaping health outcomes in a population under war-induced duress. We analyze civil war-related regional and ethnolinguistic differentials in age-adequate immunization (complete vaccination for age) and levels of malnutrition in Angola. Our analysis is based on data from a nationally representative survey conducted in 1996, some 2 years after the end of one of the most destructive periods of hostilities in the history of Angolan civil war. The data show that despite Angola's unique mineral wealth, the nation's levels of child age-adequate immunization is lower and malnutrition rates are higher than in most of sub-Saharan Africa. To examine age-adequate immunization and chronic malnutrition we fit logistic regression models that include the regional degree of war impact and ethnolinguistic group, in addition to rural-urban differences and other conventional sociodemographic characteristics. The tests reveal a significant disadvantage of rural children relative to urban children in both immunization and chronic malnutrition. Net of the rural-urban differences, we also detect a significant disadvantage of children residing in parts of the country that had been most affected by the fighting. The tests also point to a lower level of immunization and higher level of chronic malnutrition among children from the ethnolinguistic group commonly identified with the opposition. These associations tend to be stronger among children who were born and/or grew up during war than among children who were born after peace was re-established. © 2003 Elsevier Science Ltd. All rights reserved.","author":[{"dropping-particle":"","family":"Agadjanian, V. &amp; Prata","given":"N.","non-dropping-particle":"","parse-names":false,"suffix":""}],"container-title":"Social Science and Medicine","id":"ITEM-1","issue":"12","issued":{"date-parts":[["2003"]]},"page":"2515-2527","title":"Civil war and child health: regional and ethnic dimensions of child immunization and malnutrition in Angola","type":"article-journal","volume":"56"},"uris":["http://www.mendeley.com/documents/?uuid=cc4f1ec6-b742-473d-b72c-b90050ad36a1"]}],"mendeley":{"formattedCitation":"(3)","plainTextFormattedCitation":"(3)","previouslyFormattedCitation":"(3)"},"properties":{"noteIndex":0},"schema":"https://github.com/citation-style-language/schema/raw/master/csl-citation.json"}</w:instrText>
      </w:r>
      <w:r w:rsidRPr="0047138B">
        <w:rPr>
          <w:rFonts w:ascii="Times New Roman" w:hAnsi="Times New Roman" w:cs="Times New Roman"/>
          <w:bCs/>
          <w:lang w:val="en-GB"/>
        </w:rPr>
        <w:fldChar w:fldCharType="separate"/>
      </w:r>
      <w:r w:rsidR="009D0C28" w:rsidRPr="009D0C28">
        <w:rPr>
          <w:rFonts w:ascii="Times New Roman" w:hAnsi="Times New Roman" w:cs="Times New Roman"/>
          <w:bCs/>
          <w:noProof/>
          <w:lang w:val="en-GB"/>
        </w:rPr>
        <w:t>(3)</w:t>
      </w:r>
      <w:r w:rsidRPr="0047138B">
        <w:rPr>
          <w:rFonts w:ascii="Times New Roman" w:hAnsi="Times New Roman" w:cs="Times New Roman"/>
        </w:rPr>
        <w:fldChar w:fldCharType="end"/>
      </w:r>
      <w:r w:rsidRPr="0047138B">
        <w:rPr>
          <w:rFonts w:ascii="Times New Roman" w:hAnsi="Times New Roman" w:cs="Times New Roman"/>
          <w:lang w:val="en-GB"/>
        </w:rPr>
        <w:t xml:space="preserve">.  The second pathway operates indirectly through its influence on other socio-demographic factors such as education, wealth, availability of health services and infrastructure </w:t>
      </w:r>
      <w:r w:rsidRPr="0047138B">
        <w:rPr>
          <w:rFonts w:ascii="Times New Roman" w:hAnsi="Times New Roman" w:cs="Times New Roman"/>
          <w:bCs/>
          <w:lang w:val="en-GB"/>
        </w:rPr>
        <w:fldChar w:fldCharType="begin" w:fldLock="1"/>
      </w:r>
      <w:r w:rsidR="009D0C28">
        <w:rPr>
          <w:rFonts w:ascii="Times New Roman" w:hAnsi="Times New Roman" w:cs="Times New Roman"/>
          <w:bCs/>
          <w:lang w:val="en-GB"/>
        </w:rPr>
        <w:instrText>ADDIN CSL_CITATION {"citationItems":[{"id":"ITEM-1","itemData":{"DOI":"10.1016/j.worlddev.2012.04.031","ISBN":"0305-750X","ISSN":"0305750X","abstract":"This paper conducts the first analysis of the effect of armed conflict on progress in meeting the United Nation's Millennium Development Goals. We also examine the effect of conflict on economic growth. Conflict has clear detrimental effects on the reduction of poverty and hunger, on primary education, on the reduction of child mortality, and on access to potable water. A medium-sized conflict with 2500 battle deaths is estimated to increase undernourishment an additional 3.3%, reduce life expectancy by about 1 year, increases infant mortality by 10%, and deprives an additional 1.8% of the population from access to potable water. ?? 2012 Elsevier Ltd.","author":[{"dropping-particle":"","family":"Gates, S., Hegre, H., Nygård, H. M., &amp; Strand, H.","given":"","non-dropping-particle":"","parse-names":false,"suffix":""}],"container-title":"World Development","id":"ITEM-1","issue":"9","issued":{"date-parts":[["2012"]]},"page":"1713-1722","title":"Development consequences of armed conflict","type":"article-journal","volume":"40"},"uris":["http://www.mendeley.com/documents/?uuid=a85b768e-fc0d-49c7-bb32-2bd6f4866266"]},{"id":"ITEM-2","itemData":{"DOI":"10.1016/0277-9536(90)90251-M","ISBN":"0277-9536 (Print)","ISSN":"02779536","PMID":"2122523","abstract":"Civil war disrupted agriculture and trade in Uganda and Sudan. This reduced tax revenues and drained scarce resources away from health budgets to finance increased military expenditures. Hundreds and thousands of people were driven from their homes either as internally displaced people or as refugees. Normal health service delivery systems were broken down forcing doctors, nurses and other health professionals into towns, cities or neighbouring countries in search of peace and employment. Scores of hospitals, health centres and dispensaries were abandoned, destroyed or looted, rendering even the limited physical facilities useless. Preventive public health services such as immunization and provision of potable drinking water were discontinued leaving huge populations susceptible to controllable infections diseases and epidemics. © 1990.","author":[{"dropping-particle":"","family":"Dodge, C.P.","given":"","non-dropping-particle":"","parse-names":false,"suffix":""}],"container-title":"Social Science and Medicine","id":"ITEM-2","issue":"6","issued":{"date-parts":[["1990"]]},"page":"691-698","title":"Health implications of war in Uganda and Sudan","type":"article-journal","volume":"31"},"uris":["http://www.mendeley.com/documents/?uuid=04589ac1-899a-4fe5-a195-ababc7bc0cc0"]}],"mendeley":{"formattedCitation":"(4,5)","plainTextFormattedCitation":"(4,5)","previouslyFormattedCitation":"(4,5)"},"properties":{"noteIndex":0},"schema":"https://github.com/citation-style-language/schema/raw/master/csl-citation.json"}</w:instrText>
      </w:r>
      <w:r w:rsidRPr="0047138B">
        <w:rPr>
          <w:rFonts w:ascii="Times New Roman" w:hAnsi="Times New Roman" w:cs="Times New Roman"/>
          <w:bCs/>
          <w:lang w:val="en-GB"/>
        </w:rPr>
        <w:fldChar w:fldCharType="separate"/>
      </w:r>
      <w:r w:rsidR="009D0C28" w:rsidRPr="009D0C28">
        <w:rPr>
          <w:rFonts w:ascii="Times New Roman" w:hAnsi="Times New Roman" w:cs="Times New Roman"/>
          <w:bCs/>
          <w:noProof/>
          <w:lang w:val="en-GB"/>
        </w:rPr>
        <w:t>(4,5)</w:t>
      </w:r>
      <w:r w:rsidRPr="0047138B">
        <w:rPr>
          <w:rFonts w:ascii="Times New Roman" w:hAnsi="Times New Roman" w:cs="Times New Roman"/>
        </w:rPr>
        <w:fldChar w:fldCharType="end"/>
      </w:r>
      <w:r w:rsidRPr="0047138B">
        <w:rPr>
          <w:rFonts w:ascii="Times New Roman" w:hAnsi="Times New Roman" w:cs="Times New Roman"/>
          <w:lang w:val="en-GB"/>
        </w:rPr>
        <w:t xml:space="preserve">.  These two pathways were taken </w:t>
      </w:r>
      <w:r w:rsidRPr="0047138B">
        <w:rPr>
          <w:rFonts w:ascii="Times New Roman" w:hAnsi="Times New Roman" w:cs="Times New Roman"/>
          <w:lang w:val="en-GB"/>
        </w:rPr>
        <w:lastRenderedPageBreak/>
        <w:t>into consideration for selecting the other socio-demographic predictors.  Accordingly, the second category of the basic determinants comprised measures at cluster- and state-level.  These were variables assessing socioeconomic and residential status. The state-level variables measured state-level principle component score (PCS)</w:t>
      </w:r>
      <w:r w:rsidRPr="009D0C28">
        <w:rPr>
          <w:rStyle w:val="FootnoteReference"/>
        </w:rPr>
        <w:footnoteReference w:id="1"/>
      </w:r>
      <w:r w:rsidRPr="0047138B">
        <w:rPr>
          <w:rFonts w:ascii="Times New Roman" w:hAnsi="Times New Roman" w:cs="Times New Roman"/>
          <w:lang w:val="en-GB"/>
        </w:rPr>
        <w:t>, whereas cluster-level variables measured area of residence (urban-rural); immunisation coverage; source of water and type of sanitation (at the cluster-level); as well as cluster-level PCS</w:t>
      </w:r>
      <w:r w:rsidRPr="009D0C28">
        <w:rPr>
          <w:rStyle w:val="FootnoteReference"/>
        </w:rPr>
        <w:footnoteReference w:id="2"/>
      </w:r>
      <w:r w:rsidRPr="0047138B">
        <w:rPr>
          <w:rFonts w:ascii="Times New Roman" w:hAnsi="Times New Roman" w:cs="Times New Roman"/>
          <w:lang w:val="en-GB"/>
        </w:rPr>
        <w:t xml:space="preserve">. </w:t>
      </w:r>
    </w:p>
    <w:p w14:paraId="7886718E" w14:textId="06110AB3" w:rsidR="0047138B" w:rsidRPr="0047138B" w:rsidRDefault="0047138B" w:rsidP="003C1F25">
      <w:pPr>
        <w:spacing w:line="480" w:lineRule="auto"/>
        <w:jc w:val="both"/>
        <w:rPr>
          <w:rFonts w:ascii="Times New Roman" w:hAnsi="Times New Roman" w:cs="Times New Roman"/>
          <w:lang w:val="en-GB"/>
        </w:rPr>
      </w:pPr>
      <w:r w:rsidRPr="0047138B">
        <w:rPr>
          <w:rFonts w:ascii="Times New Roman" w:hAnsi="Times New Roman" w:cs="Times New Roman"/>
          <w:lang w:val="en-GB"/>
        </w:rPr>
        <w:t xml:space="preserve">The underlying determinants were combination of child and household characteristics. These were stratified into two main categories: biological factors at child-level, as well as socioeconomic and biological indicators at household-level.  The former </w:t>
      </w:r>
      <w:proofErr w:type="gramStart"/>
      <w:r w:rsidRPr="0047138B">
        <w:rPr>
          <w:rFonts w:ascii="Times New Roman" w:hAnsi="Times New Roman" w:cs="Times New Roman"/>
          <w:lang w:val="en-GB"/>
        </w:rPr>
        <w:t>were</w:t>
      </w:r>
      <w:proofErr w:type="gramEnd"/>
      <w:r w:rsidRPr="0047138B">
        <w:rPr>
          <w:rFonts w:ascii="Times New Roman" w:hAnsi="Times New Roman" w:cs="Times New Roman"/>
          <w:lang w:val="en-GB"/>
        </w:rPr>
        <w:t xml:space="preserve"> measured by child age and gender.  These factors are not specified by the UNICEF model; however, the literature emphasises their role as biological factors that may affect children’s nutritional outcomes </w:t>
      </w:r>
      <w:r w:rsidRPr="0047138B">
        <w:rPr>
          <w:rFonts w:ascii="Times New Roman" w:hAnsi="Times New Roman" w:cs="Times New Roman"/>
          <w:lang w:val="en-GB"/>
        </w:rPr>
        <w:fldChar w:fldCharType="begin" w:fldLock="1"/>
      </w:r>
      <w:r w:rsidR="009D0C28">
        <w:rPr>
          <w:rFonts w:ascii="Times New Roman" w:hAnsi="Times New Roman" w:cs="Times New Roman"/>
          <w:lang w:val="en-GB"/>
        </w:rPr>
        <w:instrText>ADDIN CSL_CITATION {"citationItems":[{"id":"ITEM-1","itemData":{"DOI":"10.1590/S0034-8910.2014048004828","ISBN":"0034-8910","ISSN":"00348910","PMID":"24789633","abstract":"OBJECTIVE: To analyze the evolution in the prevalence and determinants of malnutrition in children in the semiarid region of Brazil., METHODS: Data were collected from two cross-sectional population-based household surveys that used the same methodology. Clustering sampling was used to collect data from 8,000 families in Ceara, Northeastern Brazil, for the years 1987 and 2007. Acute undernutrition was calculated as weight/age &lt; -2 standard deviation (SD); stunting as height/age &lt; -2 SD; wasting as weight/height &lt; -2 SD. Data on biological and sociodemographic determinants were analyzed using hierarchical multivariate analyses based on a theoretical model., RESULTS: A sample of 4,513 and 1,533 children under three years of age, in 1987 and 2007, respectively, were included in the analyses. The prevalence of acute malnutrition was reduced by 60.0%, from 12.6% in 1987 to 4.7% in 2007, while prevalence of stunting was reduced by 50.0%, from 27.0% in 1987 to 13.0% in 2007. Prevalence of wasting changed little in the period. In 1987, socioeconomic and biological characteristics (family income, mother's education, toilet and tap water availability, children's medical consultation and hospitalization, age, sex and birth weight) were significantly associated with undernutrition, stunting and wasting. In 2007, the determinants of malnutrition were restricted to biological characteristics (age, sex and birth weight). Only one socioeconomic characteristic, toilet availability, remained associated with stunting., CONCLUSIONS: Socioeconomic development, along with health interventions, may have contributed to improvements in children's nutritional status. Birth weight, especially extremely low weight (&lt; 1,500 g), appears as the most important risk factor for early childhood malnutrition.","author":[{"dropping-particle":"","family":"Correia, L.L., Campos, J.S., Andrade, F.M.D.O., Machado, M.M.T., Lindsay, A.C., Leite, Á.J.M., Rocha, H.A.L. &amp; Cunha, A.J.L.A.D.","given":"","non-dropping-particle":"","parse-names":false,"suffix":""}],"container-title":"Revista de Saude Publica","id":"ITEM-1","issue":"1","issued":{"date-parts":[["2014"]]},"page":"19-28","title":"Prevalence and determinants of child undernutrition and stunting in semiarid region of Brazil","type":"article-journal","volume":"48"},"uris":["http://www.mendeley.com/documents/?uuid=a155b57a-8003-4d05-b533-15c24e5d9afd"]}],"mendeley":{"formattedCitation":"(6)","plainTextFormattedCitation":"(6)","previouslyFormattedCitation":"(6)"},"properties":{"noteIndex":0},"schema":"https://github.com/citation-style-language/schema/raw/master/csl-citation.json"}</w:instrText>
      </w:r>
      <w:r w:rsidRPr="0047138B">
        <w:rPr>
          <w:rFonts w:ascii="Times New Roman" w:hAnsi="Times New Roman" w:cs="Times New Roman"/>
          <w:lang w:val="en-GB"/>
        </w:rPr>
        <w:fldChar w:fldCharType="separate"/>
      </w:r>
      <w:r w:rsidR="009D0C28" w:rsidRPr="009D0C28">
        <w:rPr>
          <w:rFonts w:ascii="Times New Roman" w:hAnsi="Times New Roman" w:cs="Times New Roman"/>
          <w:noProof/>
          <w:lang w:val="en-GB"/>
        </w:rPr>
        <w:t>(6)</w:t>
      </w:r>
      <w:r w:rsidRPr="0047138B">
        <w:rPr>
          <w:rFonts w:ascii="Times New Roman" w:hAnsi="Times New Roman" w:cs="Times New Roman"/>
        </w:rPr>
        <w:fldChar w:fldCharType="end"/>
      </w:r>
      <w:r w:rsidRPr="0047138B">
        <w:rPr>
          <w:rFonts w:ascii="Times New Roman" w:hAnsi="Times New Roman" w:cs="Times New Roman"/>
          <w:lang w:val="en-GB"/>
        </w:rPr>
        <w:t xml:space="preserve">.  In terms of the underlying determinants at household-level, these were biological, socioeconomic and environmental factors that were expected to influence children’s nutritional status.  They included mother’s age at childbirth, number of children under-5 living in the same household, household food consumption profile (FCP), as well as mother’s education, father’s education, wealth index (quintile), and risk of contamination from sources of drinking water and types of sanitation facilities (RCWS) (at household-level).   </w:t>
      </w:r>
    </w:p>
    <w:p w14:paraId="60DFE81C" w14:textId="77777777" w:rsidR="00EA232D" w:rsidRDefault="0047138B" w:rsidP="003C1F25">
      <w:pPr>
        <w:spacing w:line="480" w:lineRule="auto"/>
        <w:jc w:val="both"/>
        <w:rPr>
          <w:rFonts w:ascii="Times New Roman" w:hAnsi="Times New Roman" w:cs="Times New Roman"/>
          <w:lang w:val="en-GB"/>
        </w:rPr>
      </w:pPr>
      <w:r w:rsidRPr="0047138B">
        <w:rPr>
          <w:rFonts w:ascii="Times New Roman" w:hAnsi="Times New Roman" w:cs="Times New Roman"/>
          <w:lang w:val="en-GB"/>
        </w:rPr>
        <w:t xml:space="preserve">Finally, the immediate determinants were attributable only to child-level characteristics.  In this study, infectious diseases, which are specified by the UNICEF </w:t>
      </w:r>
      <w:r w:rsidRPr="0047138B">
        <w:rPr>
          <w:rFonts w:ascii="Times New Roman" w:hAnsi="Times New Roman" w:cs="Times New Roman"/>
          <w:lang w:val="en-GB"/>
        </w:rPr>
        <w:lastRenderedPageBreak/>
        <w:t>model as one of the direct determinants were measured by incidence of diarrhoea in the two weeks prior to the survey.</w:t>
      </w:r>
      <w:r w:rsidR="00EA232D">
        <w:rPr>
          <w:rFonts w:ascii="Times New Roman" w:hAnsi="Times New Roman" w:cs="Times New Roman"/>
          <w:lang w:val="en-GB"/>
        </w:rPr>
        <w:t xml:space="preserve"> </w:t>
      </w:r>
    </w:p>
    <w:p w14:paraId="47C677E6" w14:textId="48C505DB" w:rsidR="00263E4B" w:rsidRDefault="0047138B" w:rsidP="003C1F25">
      <w:pPr>
        <w:spacing w:line="480" w:lineRule="auto"/>
        <w:jc w:val="both"/>
        <w:rPr>
          <w:rFonts w:ascii="Times New Roman" w:hAnsi="Times New Roman" w:cs="Times New Roman"/>
        </w:rPr>
      </w:pPr>
      <w:r>
        <w:rPr>
          <w:rFonts w:ascii="Times New Roman" w:hAnsi="Times New Roman" w:cs="Times New Roman"/>
        </w:rPr>
        <w:t>The c</w:t>
      </w:r>
      <w:r w:rsidR="00020884" w:rsidRPr="0047138B">
        <w:rPr>
          <w:rFonts w:ascii="Times New Roman" w:hAnsi="Times New Roman" w:cs="Times New Roman"/>
        </w:rPr>
        <w:t>onstruction of the</w:t>
      </w:r>
      <w:r>
        <w:rPr>
          <w:rFonts w:ascii="Times New Roman" w:hAnsi="Times New Roman" w:cs="Times New Roman"/>
        </w:rPr>
        <w:t>se</w:t>
      </w:r>
      <w:r w:rsidR="00020884" w:rsidRPr="0047138B">
        <w:rPr>
          <w:rFonts w:ascii="Times New Roman" w:hAnsi="Times New Roman" w:cs="Times New Roman"/>
        </w:rPr>
        <w:t xml:space="preserve"> predictors</w:t>
      </w:r>
      <w:r>
        <w:rPr>
          <w:rFonts w:ascii="Times New Roman" w:hAnsi="Times New Roman" w:cs="Times New Roman"/>
        </w:rPr>
        <w:t xml:space="preserve"> </w:t>
      </w:r>
      <w:r w:rsidR="00556EF9">
        <w:rPr>
          <w:rFonts w:ascii="Times New Roman" w:hAnsi="Times New Roman" w:cs="Times New Roman"/>
        </w:rPr>
        <w:t>is</w:t>
      </w:r>
      <w:r>
        <w:rPr>
          <w:rFonts w:ascii="Times New Roman" w:hAnsi="Times New Roman" w:cs="Times New Roman"/>
        </w:rPr>
        <w:t xml:space="preserve"> described below</w:t>
      </w:r>
      <w:r w:rsidR="00EA232D">
        <w:rPr>
          <w:rFonts w:ascii="Times New Roman" w:hAnsi="Times New Roman" w:cs="Times New Roman"/>
        </w:rPr>
        <w:t>.</w:t>
      </w:r>
    </w:p>
    <w:p w14:paraId="458DCFBF" w14:textId="77777777" w:rsidR="003C1F25" w:rsidRPr="00EA232D" w:rsidRDefault="003C1F25" w:rsidP="003C1F25">
      <w:pPr>
        <w:spacing w:line="480" w:lineRule="auto"/>
        <w:jc w:val="both"/>
        <w:rPr>
          <w:rFonts w:ascii="Times New Roman" w:hAnsi="Times New Roman" w:cs="Times New Roman"/>
          <w:lang w:val="en-GB"/>
        </w:rPr>
      </w:pPr>
    </w:p>
    <w:p w14:paraId="1D7251B1" w14:textId="17E296A5" w:rsidR="00683158" w:rsidRPr="00683158" w:rsidRDefault="00683158" w:rsidP="003C1F25">
      <w:pPr>
        <w:spacing w:line="480" w:lineRule="auto"/>
        <w:rPr>
          <w:rFonts w:ascii="Times New Roman" w:hAnsi="Times New Roman" w:cs="Times New Roman"/>
          <w:b/>
          <w:bCs/>
        </w:rPr>
      </w:pPr>
      <w:r w:rsidRPr="00683158">
        <w:rPr>
          <w:rFonts w:ascii="Times New Roman" w:hAnsi="Times New Roman" w:cs="Times New Roman"/>
          <w:b/>
          <w:bCs/>
        </w:rPr>
        <w:t>The predictors</w:t>
      </w:r>
    </w:p>
    <w:p w14:paraId="2B2ECE4C" w14:textId="5C5A649B" w:rsidR="00622518" w:rsidRPr="002750B8" w:rsidRDefault="00263E4B" w:rsidP="003C1F25">
      <w:pPr>
        <w:spacing w:line="480" w:lineRule="auto"/>
        <w:rPr>
          <w:rFonts w:ascii="Times New Roman" w:hAnsi="Times New Roman" w:cs="Times New Roman"/>
        </w:rPr>
      </w:pPr>
      <w:r w:rsidRPr="002750B8">
        <w:rPr>
          <w:rFonts w:ascii="Times New Roman" w:hAnsi="Times New Roman" w:cs="Times New Roman"/>
        </w:rPr>
        <w:t xml:space="preserve">Child-level </w:t>
      </w:r>
      <w:r w:rsidR="00016692">
        <w:rPr>
          <w:rFonts w:ascii="Times New Roman" w:hAnsi="Times New Roman" w:cs="Times New Roman"/>
        </w:rPr>
        <w:t>predictors</w:t>
      </w:r>
    </w:p>
    <w:p w14:paraId="3DACF76D" w14:textId="445072A3" w:rsidR="002750B8"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 xml:space="preserve">Age </w:t>
      </w:r>
      <w:r w:rsidR="00020884" w:rsidRPr="002750B8">
        <w:rPr>
          <w:rFonts w:ascii="Times New Roman" w:hAnsi="Times New Roman" w:cs="Times New Roman"/>
        </w:rPr>
        <w:t xml:space="preserve">in years </w:t>
      </w:r>
      <w:r w:rsidRPr="002750B8">
        <w:rPr>
          <w:rFonts w:ascii="Times New Roman" w:hAnsi="Times New Roman" w:cs="Times New Roman"/>
        </w:rPr>
        <w:t>(</w:t>
      </w:r>
      <w:r w:rsidR="00FF4161">
        <w:rPr>
          <w:rFonts w:ascii="Times New Roman" w:hAnsi="Times New Roman" w:cs="Times New Roman"/>
        </w:rPr>
        <w:t xml:space="preserve">a </w:t>
      </w:r>
      <w:r w:rsidRPr="002750B8">
        <w:rPr>
          <w:rFonts w:ascii="Times New Roman" w:hAnsi="Times New Roman" w:cs="Times New Roman"/>
        </w:rPr>
        <w:t xml:space="preserve">continuous </w:t>
      </w:r>
      <w:r w:rsidR="002750B8" w:rsidRPr="002750B8">
        <w:rPr>
          <w:rFonts w:ascii="Times New Roman" w:hAnsi="Times New Roman" w:cs="Times New Roman"/>
        </w:rPr>
        <w:t>variable)</w:t>
      </w:r>
      <w:r w:rsidR="00FF4161">
        <w:rPr>
          <w:rFonts w:ascii="Times New Roman" w:hAnsi="Times New Roman" w:cs="Times New Roman"/>
        </w:rPr>
        <w:t>.</w:t>
      </w:r>
    </w:p>
    <w:p w14:paraId="2F9CE4D2" w14:textId="78A16077" w:rsidR="002750B8" w:rsidRPr="002750B8" w:rsidRDefault="002750B8"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Gender (boys, girls)</w:t>
      </w:r>
      <w:r w:rsidR="00FF4161">
        <w:rPr>
          <w:rFonts w:ascii="Times New Roman" w:hAnsi="Times New Roman" w:cs="Times New Roman"/>
        </w:rPr>
        <w:t>.</w:t>
      </w:r>
    </w:p>
    <w:p w14:paraId="3103060F" w14:textId="77777777" w:rsidR="00263E4B" w:rsidRPr="002750B8" w:rsidRDefault="002750B8"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P</w:t>
      </w:r>
      <w:r w:rsidR="00263E4B" w:rsidRPr="002750B8">
        <w:rPr>
          <w:rFonts w:ascii="Times New Roman" w:hAnsi="Times New Roman" w:cs="Times New Roman"/>
        </w:rPr>
        <w:t>resence of diarrhea in the two weeks before the survey (yes, no).</w:t>
      </w:r>
    </w:p>
    <w:p w14:paraId="5C0C4903" w14:textId="77777777" w:rsidR="00263E4B" w:rsidRPr="002750B8" w:rsidRDefault="00263E4B" w:rsidP="003C1F25">
      <w:pPr>
        <w:spacing w:line="480" w:lineRule="auto"/>
        <w:rPr>
          <w:rFonts w:ascii="Times New Roman" w:hAnsi="Times New Roman" w:cs="Times New Roman"/>
        </w:rPr>
      </w:pPr>
    </w:p>
    <w:p w14:paraId="5E59D094" w14:textId="31A0F58D" w:rsidR="00263E4B" w:rsidRPr="002750B8" w:rsidRDefault="00263E4B" w:rsidP="003C1F25">
      <w:pPr>
        <w:spacing w:line="480" w:lineRule="auto"/>
        <w:rPr>
          <w:rFonts w:ascii="Times New Roman" w:hAnsi="Times New Roman" w:cs="Times New Roman"/>
        </w:rPr>
      </w:pPr>
      <w:r w:rsidRPr="002750B8">
        <w:rPr>
          <w:rFonts w:ascii="Times New Roman" w:hAnsi="Times New Roman" w:cs="Times New Roman"/>
        </w:rPr>
        <w:t xml:space="preserve">Household-level </w:t>
      </w:r>
      <w:r w:rsidR="00016692">
        <w:rPr>
          <w:rFonts w:ascii="Times New Roman" w:hAnsi="Times New Roman" w:cs="Times New Roman"/>
        </w:rPr>
        <w:t>predictors</w:t>
      </w:r>
    </w:p>
    <w:p w14:paraId="36A3AB76" w14:textId="61FEBC66"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Age of mother at birth (15-19, 20-29, 30-39, 40-49 years)</w:t>
      </w:r>
      <w:r w:rsidR="00FF4161">
        <w:rPr>
          <w:rFonts w:ascii="Times New Roman" w:hAnsi="Times New Roman" w:cs="Times New Roman"/>
        </w:rPr>
        <w:t>.</w:t>
      </w:r>
    </w:p>
    <w:p w14:paraId="3FF5A4B6" w14:textId="048E88F9" w:rsidR="002750B8"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 xml:space="preserve">Mother’s education </w:t>
      </w:r>
      <w:r w:rsidR="002750B8" w:rsidRPr="002750B8">
        <w:rPr>
          <w:rFonts w:ascii="Times New Roman" w:hAnsi="Times New Roman" w:cs="Times New Roman"/>
        </w:rPr>
        <w:t>(none, primary, secondary+)</w:t>
      </w:r>
      <w:r w:rsidR="00FF4161">
        <w:rPr>
          <w:rFonts w:ascii="Times New Roman" w:hAnsi="Times New Roman" w:cs="Times New Roman"/>
        </w:rPr>
        <w:t>.</w:t>
      </w:r>
    </w:p>
    <w:p w14:paraId="4DBCA199" w14:textId="6B296BDB" w:rsidR="00263E4B" w:rsidRPr="002750B8" w:rsidRDefault="002750B8"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F</w:t>
      </w:r>
      <w:r w:rsidR="00263E4B" w:rsidRPr="002750B8">
        <w:rPr>
          <w:rFonts w:ascii="Times New Roman" w:hAnsi="Times New Roman" w:cs="Times New Roman"/>
        </w:rPr>
        <w:t>ather</w:t>
      </w:r>
      <w:r w:rsidRPr="002750B8">
        <w:rPr>
          <w:rFonts w:ascii="Times New Roman" w:hAnsi="Times New Roman" w:cs="Times New Roman"/>
        </w:rPr>
        <w:t>’</w:t>
      </w:r>
      <w:r w:rsidR="00263E4B" w:rsidRPr="002750B8">
        <w:rPr>
          <w:rFonts w:ascii="Times New Roman" w:hAnsi="Times New Roman" w:cs="Times New Roman"/>
        </w:rPr>
        <w:t>s education</w:t>
      </w:r>
      <w:r w:rsidRPr="002750B8">
        <w:rPr>
          <w:rFonts w:ascii="Times New Roman" w:hAnsi="Times New Roman" w:cs="Times New Roman"/>
        </w:rPr>
        <w:t xml:space="preserve"> (none, primary, secondary+, father not in household)</w:t>
      </w:r>
      <w:r w:rsidR="00FF4161">
        <w:rPr>
          <w:rFonts w:ascii="Times New Roman" w:hAnsi="Times New Roman" w:cs="Times New Roman"/>
        </w:rPr>
        <w:t>.</w:t>
      </w:r>
    </w:p>
    <w:p w14:paraId="58904F5C" w14:textId="2F1BA1A0"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Household wealth index quintile</w:t>
      </w:r>
      <w:r w:rsidR="002750B8" w:rsidRPr="002750B8">
        <w:rPr>
          <w:rFonts w:ascii="Times New Roman" w:hAnsi="Times New Roman" w:cs="Times New Roman"/>
        </w:rPr>
        <w:t xml:space="preserve"> (poorest, second, middle, fourth, richest)</w:t>
      </w:r>
      <w:r w:rsidR="00FF4161">
        <w:rPr>
          <w:rFonts w:ascii="Times New Roman" w:hAnsi="Times New Roman" w:cs="Times New Roman"/>
        </w:rPr>
        <w:t>.</w:t>
      </w:r>
    </w:p>
    <w:p w14:paraId="33416207" w14:textId="521454B6"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Food consumption profile</w:t>
      </w:r>
      <w:r w:rsidR="002750B8" w:rsidRPr="002750B8">
        <w:rPr>
          <w:rFonts w:ascii="Times New Roman" w:hAnsi="Times New Roman" w:cs="Times New Roman"/>
        </w:rPr>
        <w:t xml:space="preserve"> (poor consumption, borderline consumption, acceptable consumption)</w:t>
      </w:r>
      <w:r w:rsidR="00FF4161">
        <w:rPr>
          <w:rFonts w:ascii="Times New Roman" w:hAnsi="Times New Roman" w:cs="Times New Roman"/>
        </w:rPr>
        <w:t>.</w:t>
      </w:r>
    </w:p>
    <w:p w14:paraId="6E5A65B4" w14:textId="0C982858"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Number of children under-5 living in the same household (</w:t>
      </w:r>
      <w:r w:rsidR="00FF4161">
        <w:rPr>
          <w:rFonts w:ascii="Times New Roman" w:hAnsi="Times New Roman" w:cs="Times New Roman"/>
        </w:rPr>
        <w:t xml:space="preserve">a </w:t>
      </w:r>
      <w:r w:rsidRPr="002750B8">
        <w:rPr>
          <w:rFonts w:ascii="Times New Roman" w:hAnsi="Times New Roman" w:cs="Times New Roman"/>
        </w:rPr>
        <w:t>continuous variable)</w:t>
      </w:r>
      <w:r w:rsidR="00FF4161">
        <w:rPr>
          <w:rFonts w:ascii="Times New Roman" w:hAnsi="Times New Roman" w:cs="Times New Roman"/>
        </w:rPr>
        <w:t>.</w:t>
      </w:r>
    </w:p>
    <w:p w14:paraId="1CFCAF51" w14:textId="5D4AB9AB"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Risk of contamination from water and sanitation facilities (no risk, medium risk, high risk)</w:t>
      </w:r>
      <w:r w:rsidR="00FF4161">
        <w:rPr>
          <w:rFonts w:ascii="Times New Roman" w:hAnsi="Times New Roman" w:cs="Times New Roman"/>
        </w:rPr>
        <w:t>.</w:t>
      </w:r>
    </w:p>
    <w:p w14:paraId="04EA8513" w14:textId="77777777" w:rsidR="00263E4B" w:rsidRPr="002750B8" w:rsidRDefault="00263E4B" w:rsidP="003C1F25">
      <w:pPr>
        <w:spacing w:line="480" w:lineRule="auto"/>
        <w:rPr>
          <w:rFonts w:ascii="Times New Roman" w:hAnsi="Times New Roman" w:cs="Times New Roman"/>
        </w:rPr>
      </w:pPr>
    </w:p>
    <w:p w14:paraId="33FFE120" w14:textId="4E7E1D29" w:rsidR="00263E4B" w:rsidRPr="002750B8" w:rsidRDefault="00263E4B" w:rsidP="003C1F25">
      <w:pPr>
        <w:spacing w:line="480" w:lineRule="auto"/>
        <w:rPr>
          <w:rFonts w:ascii="Times New Roman" w:hAnsi="Times New Roman" w:cs="Times New Roman"/>
        </w:rPr>
      </w:pPr>
      <w:r w:rsidRPr="002750B8">
        <w:rPr>
          <w:rFonts w:ascii="Times New Roman" w:hAnsi="Times New Roman" w:cs="Times New Roman"/>
        </w:rPr>
        <w:t xml:space="preserve">Cluster-level </w:t>
      </w:r>
      <w:r w:rsidR="00016692">
        <w:rPr>
          <w:rFonts w:ascii="Times New Roman" w:hAnsi="Times New Roman" w:cs="Times New Roman"/>
        </w:rPr>
        <w:t>predictors</w:t>
      </w:r>
    </w:p>
    <w:p w14:paraId="7A6C5D71" w14:textId="16C1C8E3"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Area of residence (rural, urban)</w:t>
      </w:r>
      <w:r w:rsidR="00FF4161">
        <w:rPr>
          <w:rFonts w:ascii="Times New Roman" w:hAnsi="Times New Roman" w:cs="Times New Roman"/>
        </w:rPr>
        <w:t>.</w:t>
      </w:r>
    </w:p>
    <w:p w14:paraId="2A49A992" w14:textId="33291E23" w:rsidR="00263E4B" w:rsidRPr="002750B8" w:rsidRDefault="00FF4161" w:rsidP="003C1F25">
      <w:pPr>
        <w:pStyle w:val="ListParagraph"/>
        <w:numPr>
          <w:ilvl w:val="0"/>
          <w:numId w:val="1"/>
        </w:numPr>
        <w:spacing w:line="480" w:lineRule="auto"/>
        <w:rPr>
          <w:rFonts w:ascii="Times New Roman" w:hAnsi="Times New Roman" w:cs="Times New Roman"/>
        </w:rPr>
      </w:pPr>
      <w:r>
        <w:rPr>
          <w:rFonts w:ascii="Times New Roman" w:hAnsi="Times New Roman" w:cs="Times New Roman"/>
        </w:rPr>
        <w:lastRenderedPageBreak/>
        <w:t>Cluster-level r</w:t>
      </w:r>
      <w:r w:rsidR="00263E4B" w:rsidRPr="002750B8">
        <w:rPr>
          <w:rFonts w:ascii="Times New Roman" w:hAnsi="Times New Roman" w:cs="Times New Roman"/>
        </w:rPr>
        <w:t>isk of contamination from water and sanitation facilities (no risk, medium risk, high risk)</w:t>
      </w:r>
      <w:r>
        <w:rPr>
          <w:rFonts w:ascii="Times New Roman" w:hAnsi="Times New Roman" w:cs="Times New Roman"/>
        </w:rPr>
        <w:t>.</w:t>
      </w:r>
    </w:p>
    <w:p w14:paraId="66FB00B5" w14:textId="4B75FCFB" w:rsidR="00263E4B" w:rsidRPr="002750B8" w:rsidRDefault="00FF4161" w:rsidP="003C1F25">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Cluster-level </w:t>
      </w:r>
      <w:proofErr w:type="spellStart"/>
      <w:r>
        <w:rPr>
          <w:rFonts w:ascii="Times New Roman" w:hAnsi="Times New Roman" w:cs="Times New Roman"/>
        </w:rPr>
        <w:t>immunisation</w:t>
      </w:r>
      <w:proofErr w:type="spellEnd"/>
      <w:r>
        <w:rPr>
          <w:rFonts w:ascii="Times New Roman" w:hAnsi="Times New Roman" w:cs="Times New Roman"/>
        </w:rPr>
        <w:t xml:space="preserve"> status (fully </w:t>
      </w:r>
      <w:proofErr w:type="spellStart"/>
      <w:r>
        <w:rPr>
          <w:rFonts w:ascii="Times New Roman" w:hAnsi="Times New Roman" w:cs="Times New Roman"/>
        </w:rPr>
        <w:t>immunis</w:t>
      </w:r>
      <w:r w:rsidR="00263E4B" w:rsidRPr="002750B8">
        <w:rPr>
          <w:rFonts w:ascii="Times New Roman" w:hAnsi="Times New Roman" w:cs="Times New Roman"/>
        </w:rPr>
        <w:t>ed</w:t>
      </w:r>
      <w:proofErr w:type="spellEnd"/>
      <w:r w:rsidR="00263E4B" w:rsidRPr="002750B8">
        <w:rPr>
          <w:rFonts w:ascii="Times New Roman" w:hAnsi="Times New Roman" w:cs="Times New Roman"/>
        </w:rPr>
        <w:t xml:space="preserve">, has some </w:t>
      </w:r>
      <w:proofErr w:type="spellStart"/>
      <w:r>
        <w:rPr>
          <w:rFonts w:ascii="Times New Roman" w:hAnsi="Times New Roman" w:cs="Times New Roman"/>
        </w:rPr>
        <w:t>immunis</w:t>
      </w:r>
      <w:r w:rsidR="00263E4B" w:rsidRPr="002750B8">
        <w:rPr>
          <w:rFonts w:ascii="Times New Roman" w:hAnsi="Times New Roman" w:cs="Times New Roman"/>
        </w:rPr>
        <w:t>ation</w:t>
      </w:r>
      <w:proofErr w:type="spellEnd"/>
      <w:r w:rsidR="00263E4B" w:rsidRPr="002750B8">
        <w:rPr>
          <w:rFonts w:ascii="Times New Roman" w:hAnsi="Times New Roman" w:cs="Times New Roman"/>
        </w:rPr>
        <w:t xml:space="preserve">, never received any </w:t>
      </w:r>
      <w:proofErr w:type="spellStart"/>
      <w:r>
        <w:rPr>
          <w:rFonts w:ascii="Times New Roman" w:hAnsi="Times New Roman" w:cs="Times New Roman"/>
        </w:rPr>
        <w:t>immunis</w:t>
      </w:r>
      <w:r w:rsidR="002750B8" w:rsidRPr="002750B8">
        <w:rPr>
          <w:rFonts w:ascii="Times New Roman" w:hAnsi="Times New Roman" w:cs="Times New Roman"/>
        </w:rPr>
        <w:t>ation</w:t>
      </w:r>
      <w:proofErr w:type="spellEnd"/>
      <w:r w:rsidR="00263E4B" w:rsidRPr="002750B8">
        <w:rPr>
          <w:rFonts w:ascii="Times New Roman" w:hAnsi="Times New Roman" w:cs="Times New Roman"/>
        </w:rPr>
        <w:t>)</w:t>
      </w:r>
      <w:r>
        <w:rPr>
          <w:rFonts w:ascii="Times New Roman" w:hAnsi="Times New Roman" w:cs="Times New Roman"/>
        </w:rPr>
        <w:t>.</w:t>
      </w:r>
    </w:p>
    <w:p w14:paraId="46570236" w14:textId="7AA7A934" w:rsidR="00263E4B" w:rsidRPr="002750B8" w:rsidRDefault="00263E4B"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Cluster-level principle component score</w:t>
      </w:r>
      <w:r w:rsidR="00020884">
        <w:rPr>
          <w:rFonts w:ascii="Times New Roman" w:hAnsi="Times New Roman" w:cs="Times New Roman"/>
        </w:rPr>
        <w:t xml:space="preserve"> defined as cluster-level socioeconomic status index</w:t>
      </w:r>
      <w:r w:rsidR="00FF4161">
        <w:rPr>
          <w:rFonts w:ascii="Times New Roman" w:hAnsi="Times New Roman" w:cs="Times New Roman"/>
        </w:rPr>
        <w:t>.</w:t>
      </w:r>
    </w:p>
    <w:p w14:paraId="12FC9F05" w14:textId="77777777" w:rsidR="00263E4B" w:rsidRPr="002750B8" w:rsidRDefault="00263E4B" w:rsidP="003C1F25">
      <w:pPr>
        <w:spacing w:line="480" w:lineRule="auto"/>
        <w:rPr>
          <w:rFonts w:ascii="Times New Roman" w:hAnsi="Times New Roman" w:cs="Times New Roman"/>
        </w:rPr>
      </w:pPr>
    </w:p>
    <w:p w14:paraId="006D4EA6" w14:textId="20AFDA4D" w:rsidR="00263E4B" w:rsidRPr="002750B8" w:rsidRDefault="00263E4B" w:rsidP="003C1F25">
      <w:pPr>
        <w:spacing w:line="480" w:lineRule="auto"/>
        <w:rPr>
          <w:rFonts w:ascii="Times New Roman" w:hAnsi="Times New Roman" w:cs="Times New Roman"/>
        </w:rPr>
      </w:pPr>
      <w:r w:rsidRPr="002750B8">
        <w:rPr>
          <w:rFonts w:ascii="Times New Roman" w:hAnsi="Times New Roman" w:cs="Times New Roman"/>
        </w:rPr>
        <w:t xml:space="preserve">State-level </w:t>
      </w:r>
      <w:r w:rsidR="00016692">
        <w:rPr>
          <w:rFonts w:ascii="Times New Roman" w:hAnsi="Times New Roman" w:cs="Times New Roman"/>
        </w:rPr>
        <w:t>predictors</w:t>
      </w:r>
    </w:p>
    <w:p w14:paraId="7C6EE2E2" w14:textId="77777777" w:rsidR="002750B8" w:rsidRPr="002750B8" w:rsidRDefault="002750B8"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Conflict intensity</w:t>
      </w:r>
      <w:r w:rsidR="001C7EBF">
        <w:rPr>
          <w:rFonts w:ascii="Times New Roman" w:hAnsi="Times New Roman" w:cs="Times New Roman"/>
        </w:rPr>
        <w:t xml:space="preserve"> level</w:t>
      </w:r>
      <w:r w:rsidRPr="002750B8">
        <w:rPr>
          <w:rFonts w:ascii="Times New Roman" w:hAnsi="Times New Roman" w:cs="Times New Roman"/>
        </w:rPr>
        <w:t xml:space="preserve">/year of eruption (conflict-free, low intensity/2005, high intensity/2011, high intensity/2003) </w:t>
      </w:r>
    </w:p>
    <w:p w14:paraId="4502FB3A" w14:textId="528B5725" w:rsidR="002750B8" w:rsidRDefault="002750B8" w:rsidP="003C1F25">
      <w:pPr>
        <w:pStyle w:val="ListParagraph"/>
        <w:numPr>
          <w:ilvl w:val="0"/>
          <w:numId w:val="1"/>
        </w:numPr>
        <w:spacing w:line="480" w:lineRule="auto"/>
        <w:rPr>
          <w:rFonts w:ascii="Times New Roman" w:hAnsi="Times New Roman" w:cs="Times New Roman"/>
        </w:rPr>
      </w:pPr>
      <w:r w:rsidRPr="002750B8">
        <w:rPr>
          <w:rFonts w:ascii="Times New Roman" w:hAnsi="Times New Roman" w:cs="Times New Roman"/>
        </w:rPr>
        <w:t>State-level principle component score</w:t>
      </w:r>
      <w:r w:rsidR="00020884">
        <w:rPr>
          <w:rFonts w:ascii="Times New Roman" w:hAnsi="Times New Roman" w:cs="Times New Roman"/>
        </w:rPr>
        <w:t xml:space="preserve"> defined as state-level healthcare index</w:t>
      </w:r>
      <w:r w:rsidR="00FF4161">
        <w:rPr>
          <w:rFonts w:ascii="Times New Roman" w:hAnsi="Times New Roman" w:cs="Times New Roman"/>
        </w:rPr>
        <w:t>.</w:t>
      </w:r>
    </w:p>
    <w:p w14:paraId="469B1363" w14:textId="2043F6AA" w:rsidR="00FB396A" w:rsidRDefault="00FB396A" w:rsidP="00FB396A">
      <w:pPr>
        <w:spacing w:line="480" w:lineRule="auto"/>
        <w:rPr>
          <w:rFonts w:ascii="Times New Roman" w:hAnsi="Times New Roman" w:cs="Times New Roman"/>
        </w:rPr>
      </w:pPr>
    </w:p>
    <w:p w14:paraId="6A5AAAB4" w14:textId="34361CCC" w:rsidR="00FB396A" w:rsidRDefault="00FB396A" w:rsidP="00FB396A">
      <w:pPr>
        <w:spacing w:line="480" w:lineRule="auto"/>
        <w:rPr>
          <w:rFonts w:ascii="Times New Roman" w:hAnsi="Times New Roman" w:cs="Times New Roman"/>
          <w:b/>
          <w:bCs/>
        </w:rPr>
      </w:pPr>
      <w:r w:rsidRPr="00FB396A">
        <w:rPr>
          <w:rFonts w:ascii="Times New Roman" w:hAnsi="Times New Roman" w:cs="Times New Roman"/>
          <w:b/>
          <w:bCs/>
        </w:rPr>
        <w:t xml:space="preserve">References: </w:t>
      </w:r>
    </w:p>
    <w:p w14:paraId="1A9107C1" w14:textId="65666D81"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Pr="009D0C28">
        <w:rPr>
          <w:rFonts w:ascii="Times New Roman" w:hAnsi="Times New Roman" w:cs="Times New Roman"/>
          <w:noProof/>
        </w:rPr>
        <w:t xml:space="preserve">1. </w:t>
      </w:r>
      <w:r w:rsidRPr="009D0C28">
        <w:rPr>
          <w:rFonts w:ascii="Times New Roman" w:hAnsi="Times New Roman" w:cs="Times New Roman"/>
          <w:noProof/>
        </w:rPr>
        <w:tab/>
        <w:t xml:space="preserve">UNICEF. Strategy for improved nutrition of children and women in developing countries. A UNICEF Policy Review. The United Nations Children’s Fund. New York: N.Y; 1990. </w:t>
      </w:r>
    </w:p>
    <w:p w14:paraId="48E33CA6" w14:textId="4F8D2491"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sidRPr="009D0C28">
        <w:rPr>
          <w:rFonts w:ascii="Times New Roman" w:hAnsi="Times New Roman" w:cs="Times New Roman"/>
          <w:noProof/>
        </w:rPr>
        <w:t xml:space="preserve">2. </w:t>
      </w:r>
      <w:r w:rsidRPr="009D0C28">
        <w:rPr>
          <w:rFonts w:ascii="Times New Roman" w:hAnsi="Times New Roman" w:cs="Times New Roman"/>
          <w:noProof/>
        </w:rPr>
        <w:tab/>
        <w:t>Barometer C. Disputes, non-violent crises, violent crises, limited wars, wars</w:t>
      </w:r>
      <w:bookmarkStart w:id="0" w:name="_GoBack"/>
      <w:bookmarkEnd w:id="0"/>
      <w:r w:rsidRPr="009D0C28">
        <w:rPr>
          <w:rFonts w:ascii="Times New Roman" w:hAnsi="Times New Roman" w:cs="Times New Roman"/>
          <w:noProof/>
        </w:rPr>
        <w:t xml:space="preserve">. Heidelberg Institute for International Research (HIIK). Heidelberg; 2014. </w:t>
      </w:r>
    </w:p>
    <w:p w14:paraId="509A755C" w14:textId="355271C1"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sidRPr="009D0C28">
        <w:rPr>
          <w:rFonts w:ascii="Times New Roman" w:hAnsi="Times New Roman" w:cs="Times New Roman"/>
          <w:noProof/>
        </w:rPr>
        <w:t xml:space="preserve">3. </w:t>
      </w:r>
      <w:r w:rsidRPr="009D0C28">
        <w:rPr>
          <w:rFonts w:ascii="Times New Roman" w:hAnsi="Times New Roman" w:cs="Times New Roman"/>
          <w:noProof/>
        </w:rPr>
        <w:tab/>
      </w:r>
      <w:r w:rsidR="00EA2844" w:rsidRPr="002B3697">
        <w:rPr>
          <w:rFonts w:ascii="Times New Roman" w:hAnsi="Times New Roman" w:cs="Times New Roman"/>
          <w:noProof/>
        </w:rPr>
        <w:t>Agadjanian V</w:t>
      </w:r>
      <w:r w:rsidR="00EA2844">
        <w:rPr>
          <w:rFonts w:ascii="Times New Roman" w:hAnsi="Times New Roman" w:cs="Times New Roman"/>
          <w:noProof/>
        </w:rPr>
        <w:t>,</w:t>
      </w:r>
      <w:r w:rsidR="00EA2844" w:rsidRPr="002B3697">
        <w:rPr>
          <w:rFonts w:ascii="Times New Roman" w:hAnsi="Times New Roman" w:cs="Times New Roman"/>
          <w:noProof/>
        </w:rPr>
        <w:t xml:space="preserve">  Prata N. Civil war and child health: regional and ethnic dimensions of child immunization and malnutrition in Angola. Soc</w:t>
      </w:r>
      <w:r w:rsidR="00EA2844">
        <w:rPr>
          <w:rFonts w:ascii="Times New Roman" w:hAnsi="Times New Roman" w:cs="Times New Roman"/>
          <w:noProof/>
        </w:rPr>
        <w:t>ial</w:t>
      </w:r>
      <w:r w:rsidR="00EA2844" w:rsidRPr="002B3697">
        <w:rPr>
          <w:rFonts w:ascii="Times New Roman" w:hAnsi="Times New Roman" w:cs="Times New Roman"/>
          <w:noProof/>
        </w:rPr>
        <w:t xml:space="preserve"> Sci</w:t>
      </w:r>
      <w:r w:rsidR="00EA2844">
        <w:rPr>
          <w:rFonts w:ascii="Times New Roman" w:hAnsi="Times New Roman" w:cs="Times New Roman"/>
          <w:noProof/>
        </w:rPr>
        <w:t>ence &amp;</w:t>
      </w:r>
      <w:r w:rsidR="00EA2844" w:rsidRPr="002B3697">
        <w:rPr>
          <w:rFonts w:ascii="Times New Roman" w:hAnsi="Times New Roman" w:cs="Times New Roman"/>
          <w:noProof/>
        </w:rPr>
        <w:t xml:space="preserve"> Med</w:t>
      </w:r>
      <w:r w:rsidR="00EA2844">
        <w:rPr>
          <w:rFonts w:ascii="Times New Roman" w:hAnsi="Times New Roman" w:cs="Times New Roman"/>
          <w:noProof/>
        </w:rPr>
        <w:t>icine</w:t>
      </w:r>
      <w:r w:rsidR="00EA2844" w:rsidRPr="002B3697">
        <w:rPr>
          <w:rFonts w:ascii="Times New Roman" w:hAnsi="Times New Roman" w:cs="Times New Roman"/>
          <w:noProof/>
        </w:rPr>
        <w:t>. 2003;56(12):2515–27</w:t>
      </w:r>
      <w:r w:rsidRPr="009D0C28">
        <w:rPr>
          <w:rFonts w:ascii="Times New Roman" w:hAnsi="Times New Roman" w:cs="Times New Roman"/>
          <w:noProof/>
        </w:rPr>
        <w:t xml:space="preserve">. </w:t>
      </w:r>
    </w:p>
    <w:p w14:paraId="50952815" w14:textId="1E1400C1"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sidRPr="009D0C28">
        <w:rPr>
          <w:rFonts w:ascii="Times New Roman" w:hAnsi="Times New Roman" w:cs="Times New Roman"/>
          <w:noProof/>
        </w:rPr>
        <w:t xml:space="preserve">4. </w:t>
      </w:r>
      <w:r w:rsidRPr="009D0C28">
        <w:rPr>
          <w:rFonts w:ascii="Times New Roman" w:hAnsi="Times New Roman" w:cs="Times New Roman"/>
          <w:noProof/>
        </w:rPr>
        <w:tab/>
        <w:t>Gates S, Hegre H, Nygård HM, Strand H. Development consequences of armed conflict. World Dev</w:t>
      </w:r>
      <w:r w:rsidR="00EA2844">
        <w:rPr>
          <w:rFonts w:ascii="Times New Roman" w:hAnsi="Times New Roman" w:cs="Times New Roman"/>
          <w:noProof/>
        </w:rPr>
        <w:t>eloment</w:t>
      </w:r>
      <w:r w:rsidRPr="009D0C28">
        <w:rPr>
          <w:rFonts w:ascii="Times New Roman" w:hAnsi="Times New Roman" w:cs="Times New Roman"/>
          <w:noProof/>
        </w:rPr>
        <w:t xml:space="preserve">. 2012;40(9):1713–22. </w:t>
      </w:r>
    </w:p>
    <w:p w14:paraId="052F896C" w14:textId="4B08AD63"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sidRPr="009D0C28">
        <w:rPr>
          <w:rFonts w:ascii="Times New Roman" w:hAnsi="Times New Roman" w:cs="Times New Roman"/>
          <w:noProof/>
        </w:rPr>
        <w:t xml:space="preserve">5. </w:t>
      </w:r>
      <w:r w:rsidRPr="009D0C28">
        <w:rPr>
          <w:rFonts w:ascii="Times New Roman" w:hAnsi="Times New Roman" w:cs="Times New Roman"/>
          <w:noProof/>
        </w:rPr>
        <w:tab/>
        <w:t>Dodge C.P. Health implications of war in Uganda and Sudan. Soc</w:t>
      </w:r>
      <w:r w:rsidR="00EA2844">
        <w:rPr>
          <w:rFonts w:ascii="Times New Roman" w:hAnsi="Times New Roman" w:cs="Times New Roman"/>
          <w:noProof/>
        </w:rPr>
        <w:t>ial</w:t>
      </w:r>
      <w:r w:rsidRPr="009D0C28">
        <w:rPr>
          <w:rFonts w:ascii="Times New Roman" w:hAnsi="Times New Roman" w:cs="Times New Roman"/>
          <w:noProof/>
        </w:rPr>
        <w:t xml:space="preserve"> Sci</w:t>
      </w:r>
      <w:r w:rsidR="00EA2844">
        <w:rPr>
          <w:rFonts w:ascii="Times New Roman" w:hAnsi="Times New Roman" w:cs="Times New Roman"/>
          <w:noProof/>
        </w:rPr>
        <w:t>ence &amp;</w:t>
      </w:r>
      <w:r w:rsidRPr="009D0C28">
        <w:rPr>
          <w:rFonts w:ascii="Times New Roman" w:hAnsi="Times New Roman" w:cs="Times New Roman"/>
          <w:noProof/>
        </w:rPr>
        <w:t xml:space="preserve"> Med</w:t>
      </w:r>
      <w:r w:rsidR="00EA2844">
        <w:rPr>
          <w:rFonts w:ascii="Times New Roman" w:hAnsi="Times New Roman" w:cs="Times New Roman"/>
          <w:noProof/>
        </w:rPr>
        <w:t>icine</w:t>
      </w:r>
      <w:r w:rsidRPr="009D0C28">
        <w:rPr>
          <w:rFonts w:ascii="Times New Roman" w:hAnsi="Times New Roman" w:cs="Times New Roman"/>
          <w:noProof/>
        </w:rPr>
        <w:t xml:space="preserve">. 1990;31(6):691–8. </w:t>
      </w:r>
    </w:p>
    <w:p w14:paraId="0BB794E8" w14:textId="07A904ED" w:rsidR="009D0C28" w:rsidRPr="009D0C28" w:rsidRDefault="009D0C28" w:rsidP="009D0C28">
      <w:pPr>
        <w:widowControl w:val="0"/>
        <w:autoSpaceDE w:val="0"/>
        <w:autoSpaceDN w:val="0"/>
        <w:adjustRightInd w:val="0"/>
        <w:spacing w:line="480" w:lineRule="auto"/>
        <w:ind w:left="640" w:hanging="640"/>
        <w:rPr>
          <w:rFonts w:ascii="Times New Roman" w:hAnsi="Times New Roman" w:cs="Times New Roman"/>
          <w:noProof/>
        </w:rPr>
      </w:pPr>
      <w:r w:rsidRPr="009D0C28">
        <w:rPr>
          <w:rFonts w:ascii="Times New Roman" w:hAnsi="Times New Roman" w:cs="Times New Roman"/>
          <w:noProof/>
        </w:rPr>
        <w:lastRenderedPageBreak/>
        <w:t xml:space="preserve">6. </w:t>
      </w:r>
      <w:r w:rsidRPr="009D0C28">
        <w:rPr>
          <w:rFonts w:ascii="Times New Roman" w:hAnsi="Times New Roman" w:cs="Times New Roman"/>
          <w:noProof/>
        </w:rPr>
        <w:tab/>
      </w:r>
      <w:r w:rsidR="00570D3F" w:rsidRPr="00570D3F">
        <w:rPr>
          <w:rFonts w:ascii="Times New Roman" w:hAnsi="Times New Roman" w:cs="Times New Roman"/>
          <w:noProof/>
        </w:rPr>
        <w:t xml:space="preserve">Correia LL, Campos JS, Andrade FM, Machado MM, Lindsay AC, Leite ÁJ, Rocha HA, Cunha AJ. </w:t>
      </w:r>
      <w:r w:rsidRPr="009D0C28">
        <w:rPr>
          <w:rFonts w:ascii="Times New Roman" w:hAnsi="Times New Roman" w:cs="Times New Roman"/>
          <w:noProof/>
        </w:rPr>
        <w:t xml:space="preserve">Prevalence and determinants of child undernutrition and stunting in semiarid region of Brazil. Rev Saude Publica. 2014;48(1):19–28. </w:t>
      </w:r>
    </w:p>
    <w:p w14:paraId="1AFB8D29" w14:textId="434FCA79" w:rsidR="009D0C28" w:rsidRDefault="009D0C28" w:rsidP="00FB396A">
      <w:pPr>
        <w:spacing w:line="480" w:lineRule="auto"/>
        <w:rPr>
          <w:rFonts w:ascii="Times New Roman" w:hAnsi="Times New Roman" w:cs="Times New Roman"/>
          <w:b/>
          <w:bCs/>
        </w:rPr>
      </w:pPr>
      <w:r>
        <w:rPr>
          <w:rFonts w:ascii="Times New Roman" w:hAnsi="Times New Roman" w:cs="Times New Roman"/>
          <w:b/>
          <w:bCs/>
        </w:rPr>
        <w:fldChar w:fldCharType="end"/>
      </w:r>
    </w:p>
    <w:p w14:paraId="1F76359F" w14:textId="56E063EE" w:rsidR="009D0C28" w:rsidRDefault="009D0C28" w:rsidP="00FB396A">
      <w:pPr>
        <w:spacing w:line="480" w:lineRule="auto"/>
        <w:rPr>
          <w:rFonts w:ascii="Times New Roman" w:hAnsi="Times New Roman" w:cs="Times New Roman"/>
          <w:b/>
          <w:bCs/>
        </w:rPr>
      </w:pPr>
    </w:p>
    <w:p w14:paraId="7966771A" w14:textId="7D9F0ED2" w:rsidR="009D0C28" w:rsidRDefault="009D0C28" w:rsidP="00FB396A">
      <w:pPr>
        <w:spacing w:line="480" w:lineRule="auto"/>
        <w:rPr>
          <w:rFonts w:ascii="Times New Roman" w:hAnsi="Times New Roman" w:cs="Times New Roman"/>
          <w:b/>
          <w:bCs/>
        </w:rPr>
      </w:pPr>
    </w:p>
    <w:p w14:paraId="5A08990E" w14:textId="37E34176" w:rsidR="009D0C28" w:rsidRDefault="009D0C28" w:rsidP="00FB396A">
      <w:pPr>
        <w:spacing w:line="480" w:lineRule="auto"/>
        <w:rPr>
          <w:rFonts w:ascii="Times New Roman" w:hAnsi="Times New Roman" w:cs="Times New Roman"/>
          <w:b/>
          <w:bCs/>
        </w:rPr>
      </w:pPr>
    </w:p>
    <w:p w14:paraId="287EF032" w14:textId="77777777" w:rsidR="00263E4B" w:rsidRPr="002750B8" w:rsidRDefault="00263E4B" w:rsidP="003C1F25">
      <w:pPr>
        <w:spacing w:line="480" w:lineRule="auto"/>
        <w:rPr>
          <w:rFonts w:ascii="Times New Roman" w:hAnsi="Times New Roman" w:cs="Times New Roman"/>
        </w:rPr>
      </w:pPr>
    </w:p>
    <w:sectPr w:rsidR="00263E4B" w:rsidRPr="002750B8" w:rsidSect="00622518">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32FE7" w14:textId="77777777" w:rsidR="00082BC6" w:rsidRDefault="00082BC6" w:rsidP="00861B1B">
      <w:r>
        <w:separator/>
      </w:r>
    </w:p>
  </w:endnote>
  <w:endnote w:type="continuationSeparator" w:id="0">
    <w:p w14:paraId="76787526" w14:textId="77777777" w:rsidR="00082BC6" w:rsidRDefault="00082BC6" w:rsidP="0086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9691202"/>
      <w:docPartObj>
        <w:docPartGallery w:val="Page Numbers (Bottom of Page)"/>
        <w:docPartUnique/>
      </w:docPartObj>
    </w:sdtPr>
    <w:sdtEndPr>
      <w:rPr>
        <w:rStyle w:val="PageNumber"/>
      </w:rPr>
    </w:sdtEndPr>
    <w:sdtContent>
      <w:p w14:paraId="1A084CA4" w14:textId="48C59397" w:rsidR="00861B1B" w:rsidRDefault="00861B1B" w:rsidP="00A452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638C41" w14:textId="77777777" w:rsidR="00861B1B" w:rsidRDefault="00861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3160835"/>
      <w:docPartObj>
        <w:docPartGallery w:val="Page Numbers (Bottom of Page)"/>
        <w:docPartUnique/>
      </w:docPartObj>
    </w:sdtPr>
    <w:sdtEndPr>
      <w:rPr>
        <w:rStyle w:val="PageNumber"/>
      </w:rPr>
    </w:sdtEndPr>
    <w:sdtContent>
      <w:p w14:paraId="217ABB47" w14:textId="2378C87B" w:rsidR="00861B1B" w:rsidRDefault="00861B1B" w:rsidP="00A452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D0C28">
          <w:rPr>
            <w:rStyle w:val="PageNumber"/>
            <w:noProof/>
          </w:rPr>
          <w:t>4</w:t>
        </w:r>
        <w:r>
          <w:rPr>
            <w:rStyle w:val="PageNumber"/>
          </w:rPr>
          <w:fldChar w:fldCharType="end"/>
        </w:r>
      </w:p>
    </w:sdtContent>
  </w:sdt>
  <w:p w14:paraId="3F9DBD7A" w14:textId="77777777" w:rsidR="00861B1B" w:rsidRDefault="00861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64ED7" w14:textId="77777777" w:rsidR="00082BC6" w:rsidRDefault="00082BC6" w:rsidP="00861B1B">
      <w:r>
        <w:separator/>
      </w:r>
    </w:p>
  </w:footnote>
  <w:footnote w:type="continuationSeparator" w:id="0">
    <w:p w14:paraId="5BFFE3E9" w14:textId="77777777" w:rsidR="00082BC6" w:rsidRDefault="00082BC6" w:rsidP="00861B1B">
      <w:r>
        <w:continuationSeparator/>
      </w:r>
    </w:p>
  </w:footnote>
  <w:footnote w:id="1">
    <w:p w14:paraId="361B5B9D" w14:textId="77777777" w:rsidR="0047138B" w:rsidRPr="001B4230" w:rsidRDefault="0047138B" w:rsidP="0047138B">
      <w:pPr>
        <w:pStyle w:val="FootnoteText"/>
        <w:jc w:val="both"/>
      </w:pPr>
      <w:r w:rsidRPr="009D0C28">
        <w:rPr>
          <w:rStyle w:val="FootnoteReference"/>
        </w:rPr>
        <w:footnoteRef/>
      </w:r>
      <w:r>
        <w:t xml:space="preserve"> </w:t>
      </w:r>
      <w:r w:rsidRPr="00132498">
        <w:rPr>
          <w:rFonts w:ascii="Times New Roman" w:hAnsi="Times New Roman"/>
        </w:rPr>
        <w:t>State-level PCS is a variable that was calculated using principle component analysis (PCA)</w:t>
      </w:r>
      <w:r>
        <w:rPr>
          <w:rFonts w:ascii="Times New Roman" w:hAnsi="Times New Roman"/>
        </w:rPr>
        <w:t xml:space="preserve"> </w:t>
      </w:r>
      <w:r w:rsidRPr="00132498">
        <w:rPr>
          <w:rFonts w:ascii="Times New Roman" w:hAnsi="Times New Roman"/>
        </w:rPr>
        <w:t xml:space="preserve">from three variables: </w:t>
      </w:r>
      <w:r>
        <w:rPr>
          <w:rFonts w:ascii="Times New Roman" w:eastAsia="Times New Roman" w:hAnsi="Times New Roman"/>
          <w:bCs/>
        </w:rPr>
        <w:t xml:space="preserve">proportion of hospitals per 100 </w:t>
      </w:r>
      <w:r w:rsidRPr="00132498">
        <w:rPr>
          <w:rFonts w:ascii="Times New Roman" w:eastAsia="Times New Roman" w:hAnsi="Times New Roman"/>
          <w:bCs/>
        </w:rPr>
        <w:t>000 popula</w:t>
      </w:r>
      <w:r>
        <w:rPr>
          <w:rFonts w:ascii="Times New Roman" w:eastAsia="Times New Roman" w:hAnsi="Times New Roman"/>
          <w:bCs/>
        </w:rPr>
        <w:t xml:space="preserve">tion, proportion of doctors per 100 </w:t>
      </w:r>
      <w:r w:rsidRPr="00132498">
        <w:rPr>
          <w:rFonts w:ascii="Times New Roman" w:eastAsia="Times New Roman" w:hAnsi="Times New Roman"/>
          <w:bCs/>
        </w:rPr>
        <w:t xml:space="preserve">000 </w:t>
      </w:r>
      <w:r>
        <w:rPr>
          <w:rFonts w:ascii="Times New Roman" w:eastAsia="Times New Roman" w:hAnsi="Times New Roman"/>
          <w:bCs/>
        </w:rPr>
        <w:t>population</w:t>
      </w:r>
      <w:r w:rsidRPr="001B4230">
        <w:rPr>
          <w:rFonts w:ascii="Times New Roman" w:eastAsia="Times New Roman" w:hAnsi="Times New Roman"/>
          <w:bCs/>
        </w:rPr>
        <w:t xml:space="preserve"> and percentage of health insurance coverage.</w:t>
      </w:r>
    </w:p>
  </w:footnote>
  <w:footnote w:id="2">
    <w:p w14:paraId="52967678" w14:textId="77777777" w:rsidR="0047138B" w:rsidRDefault="0047138B" w:rsidP="0047138B">
      <w:pPr>
        <w:pStyle w:val="FootnoteText"/>
        <w:jc w:val="both"/>
      </w:pPr>
      <w:r w:rsidRPr="009D0C28">
        <w:rPr>
          <w:rStyle w:val="FootnoteReference"/>
        </w:rPr>
        <w:footnoteRef/>
      </w:r>
      <w:r w:rsidRPr="001B4230">
        <w:t xml:space="preserve"> </w:t>
      </w:r>
      <w:r w:rsidRPr="001B4230">
        <w:rPr>
          <w:rFonts w:ascii="Times New Roman" w:hAnsi="Times New Roman"/>
        </w:rPr>
        <w:t xml:space="preserve">Cluster-level PCS is a variable that was also generated using PCA from three variables: </w:t>
      </w:r>
      <w:r w:rsidRPr="001B4230">
        <w:rPr>
          <w:rFonts w:ascii="Times New Roman" w:eastAsia="Times New Roman" w:hAnsi="Times New Roman"/>
          <w:bCs/>
        </w:rPr>
        <w:t>cluster-level maternal education, c</w:t>
      </w:r>
      <w:r>
        <w:rPr>
          <w:rFonts w:ascii="Times New Roman" w:eastAsia="Times New Roman" w:hAnsi="Times New Roman"/>
          <w:bCs/>
        </w:rPr>
        <w:t>luster-level parental education and</w:t>
      </w:r>
      <w:r w:rsidRPr="001B4230">
        <w:rPr>
          <w:rFonts w:ascii="Times New Roman" w:eastAsia="Times New Roman" w:hAnsi="Times New Roman"/>
          <w:bCs/>
        </w:rPr>
        <w:t xml:space="preserve"> cluster-level wealth index.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D6A3C"/>
    <w:multiLevelType w:val="hybridMultilevel"/>
    <w:tmpl w:val="58CC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4B"/>
    <w:rsid w:val="00016692"/>
    <w:rsid w:val="00020884"/>
    <w:rsid w:val="00082BC6"/>
    <w:rsid w:val="000D5C5B"/>
    <w:rsid w:val="001C7EBF"/>
    <w:rsid w:val="00263E4B"/>
    <w:rsid w:val="002750B8"/>
    <w:rsid w:val="003C1F25"/>
    <w:rsid w:val="0047138B"/>
    <w:rsid w:val="00472233"/>
    <w:rsid w:val="00490BDA"/>
    <w:rsid w:val="0049506F"/>
    <w:rsid w:val="00544BF7"/>
    <w:rsid w:val="00556EF9"/>
    <w:rsid w:val="00570D3F"/>
    <w:rsid w:val="0058072F"/>
    <w:rsid w:val="00622518"/>
    <w:rsid w:val="00683158"/>
    <w:rsid w:val="007427FF"/>
    <w:rsid w:val="00861B1B"/>
    <w:rsid w:val="008B7A13"/>
    <w:rsid w:val="009D0C28"/>
    <w:rsid w:val="00A50331"/>
    <w:rsid w:val="00AF5578"/>
    <w:rsid w:val="00BF72F5"/>
    <w:rsid w:val="00C74122"/>
    <w:rsid w:val="00D43627"/>
    <w:rsid w:val="00DD7527"/>
    <w:rsid w:val="00E235C8"/>
    <w:rsid w:val="00EA232D"/>
    <w:rsid w:val="00EA2844"/>
    <w:rsid w:val="00FB396A"/>
    <w:rsid w:val="00FF4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CEDD65"/>
  <w14:defaultImageDpi w14:val="300"/>
  <w15:docId w15:val="{7E3F1CBB-2A1F-D545-BA4C-C80AF762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0B8"/>
    <w:pPr>
      <w:ind w:left="720"/>
      <w:contextualSpacing/>
    </w:pPr>
  </w:style>
  <w:style w:type="paragraph" w:styleId="Footer">
    <w:name w:val="footer"/>
    <w:basedOn w:val="Normal"/>
    <w:link w:val="FooterChar"/>
    <w:uiPriority w:val="99"/>
    <w:unhideWhenUsed/>
    <w:rsid w:val="00861B1B"/>
    <w:pPr>
      <w:tabs>
        <w:tab w:val="center" w:pos="4513"/>
        <w:tab w:val="right" w:pos="9026"/>
      </w:tabs>
    </w:pPr>
  </w:style>
  <w:style w:type="character" w:customStyle="1" w:styleId="FooterChar">
    <w:name w:val="Footer Char"/>
    <w:basedOn w:val="DefaultParagraphFont"/>
    <w:link w:val="Footer"/>
    <w:uiPriority w:val="99"/>
    <w:rsid w:val="00861B1B"/>
  </w:style>
  <w:style w:type="character" w:styleId="PageNumber">
    <w:name w:val="page number"/>
    <w:basedOn w:val="DefaultParagraphFont"/>
    <w:uiPriority w:val="99"/>
    <w:semiHidden/>
    <w:unhideWhenUsed/>
    <w:rsid w:val="00861B1B"/>
  </w:style>
  <w:style w:type="paragraph" w:styleId="BalloonText">
    <w:name w:val="Balloon Text"/>
    <w:basedOn w:val="Normal"/>
    <w:link w:val="BalloonTextChar"/>
    <w:uiPriority w:val="99"/>
    <w:semiHidden/>
    <w:unhideWhenUsed/>
    <w:rsid w:val="006831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3158"/>
    <w:rPr>
      <w:rFonts w:ascii="Times New Roman" w:hAnsi="Times New Roman" w:cs="Times New Roman"/>
      <w:sz w:val="18"/>
      <w:szCs w:val="18"/>
    </w:rPr>
  </w:style>
  <w:style w:type="paragraph" w:styleId="FootnoteText">
    <w:name w:val="footnote text"/>
    <w:basedOn w:val="Normal"/>
    <w:link w:val="FootnoteTextChar"/>
    <w:uiPriority w:val="99"/>
    <w:unhideWhenUsed/>
    <w:rsid w:val="0047138B"/>
    <w:rPr>
      <w:rFonts w:ascii="Calibri" w:eastAsia="SimSun" w:hAnsi="Calibri" w:cs="Times New Roman"/>
      <w:sz w:val="20"/>
      <w:szCs w:val="20"/>
      <w:lang w:val="en-GB" w:eastAsia="zh-CN"/>
    </w:rPr>
  </w:style>
  <w:style w:type="character" w:customStyle="1" w:styleId="FootnoteTextChar">
    <w:name w:val="Footnote Text Char"/>
    <w:basedOn w:val="DefaultParagraphFont"/>
    <w:link w:val="FootnoteText"/>
    <w:uiPriority w:val="99"/>
    <w:rsid w:val="0047138B"/>
    <w:rPr>
      <w:rFonts w:ascii="Calibri" w:eastAsia="SimSun" w:hAnsi="Calibri" w:cs="Times New Roman"/>
      <w:sz w:val="20"/>
      <w:szCs w:val="20"/>
      <w:lang w:val="en-GB" w:eastAsia="zh-CN"/>
    </w:rPr>
  </w:style>
  <w:style w:type="character" w:styleId="FootnoteReference">
    <w:name w:val="footnote reference"/>
    <w:basedOn w:val="DefaultParagraphFont"/>
    <w:uiPriority w:val="99"/>
    <w:unhideWhenUsed/>
    <w:rsid w:val="0047138B"/>
    <w:rPr>
      <w:vertAlign w:val="superscript"/>
    </w:rPr>
  </w:style>
  <w:style w:type="character" w:styleId="Hyperlink">
    <w:name w:val="Hyperlink"/>
    <w:basedOn w:val="DefaultParagraphFont"/>
    <w:uiPriority w:val="99"/>
    <w:unhideWhenUsed/>
    <w:rsid w:val="00490BDA"/>
    <w:rPr>
      <w:color w:val="0000FF" w:themeColor="hyperlink"/>
      <w:u w:val="single"/>
    </w:rPr>
  </w:style>
  <w:style w:type="character" w:customStyle="1" w:styleId="UnresolvedMention1">
    <w:name w:val="Unresolved Mention1"/>
    <w:basedOn w:val="DefaultParagraphFont"/>
    <w:uiPriority w:val="99"/>
    <w:semiHidden/>
    <w:unhideWhenUsed/>
    <w:rsid w:val="00490BDA"/>
    <w:rPr>
      <w:color w:val="605E5C"/>
      <w:shd w:val="clear" w:color="auto" w:fill="E1DFDD"/>
    </w:rPr>
  </w:style>
  <w:style w:type="paragraph" w:styleId="NormalWeb">
    <w:name w:val="Normal (Web)"/>
    <w:basedOn w:val="Normal"/>
    <w:uiPriority w:val="99"/>
    <w:unhideWhenUsed/>
    <w:rsid w:val="00490BDA"/>
    <w:pPr>
      <w:spacing w:before="100" w:beforeAutospacing="1" w:after="100" w:afterAutospacing="1"/>
    </w:pPr>
    <w:rPr>
      <w:rFonts w:ascii="Times New Roman" w:eastAsia="SimSun" w:hAnsi="Times New Roman" w:cs="Times New Roman"/>
      <w:lang w:val="en-GB" w:eastAsia="zh-CN"/>
    </w:rPr>
  </w:style>
  <w:style w:type="character" w:styleId="EndnoteReference">
    <w:name w:val="endnote reference"/>
    <w:basedOn w:val="DefaultParagraphFont"/>
    <w:uiPriority w:val="99"/>
    <w:semiHidden/>
    <w:unhideWhenUsed/>
    <w:rsid w:val="009D0C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516194">
      <w:bodyDiv w:val="1"/>
      <w:marLeft w:val="0"/>
      <w:marRight w:val="0"/>
      <w:marTop w:val="0"/>
      <w:marBottom w:val="0"/>
      <w:divBdr>
        <w:top w:val="none" w:sz="0" w:space="0" w:color="auto"/>
        <w:left w:val="none" w:sz="0" w:space="0" w:color="auto"/>
        <w:bottom w:val="none" w:sz="0" w:space="0" w:color="auto"/>
        <w:right w:val="none" w:sz="0" w:space="0" w:color="auto"/>
      </w:divBdr>
    </w:div>
    <w:div w:id="795221806">
      <w:bodyDiv w:val="1"/>
      <w:marLeft w:val="0"/>
      <w:marRight w:val="0"/>
      <w:marTop w:val="0"/>
      <w:marBottom w:val="0"/>
      <w:divBdr>
        <w:top w:val="none" w:sz="0" w:space="0" w:color="auto"/>
        <w:left w:val="none" w:sz="0" w:space="0" w:color="auto"/>
        <w:bottom w:val="none" w:sz="0" w:space="0" w:color="auto"/>
        <w:right w:val="none" w:sz="0" w:space="0" w:color="auto"/>
      </w:divBdr>
    </w:div>
    <w:div w:id="955284759">
      <w:bodyDiv w:val="1"/>
      <w:marLeft w:val="0"/>
      <w:marRight w:val="0"/>
      <w:marTop w:val="0"/>
      <w:marBottom w:val="0"/>
      <w:divBdr>
        <w:top w:val="none" w:sz="0" w:space="0" w:color="auto"/>
        <w:left w:val="none" w:sz="0" w:space="0" w:color="auto"/>
        <w:bottom w:val="none" w:sz="0" w:space="0" w:color="auto"/>
        <w:right w:val="none" w:sz="0" w:space="0" w:color="auto"/>
      </w:divBdr>
    </w:div>
    <w:div w:id="1495100526">
      <w:bodyDiv w:val="1"/>
      <w:marLeft w:val="0"/>
      <w:marRight w:val="0"/>
      <w:marTop w:val="0"/>
      <w:marBottom w:val="0"/>
      <w:divBdr>
        <w:top w:val="none" w:sz="0" w:space="0" w:color="auto"/>
        <w:left w:val="none" w:sz="0" w:space="0" w:color="auto"/>
        <w:bottom w:val="none" w:sz="0" w:space="0" w:color="auto"/>
        <w:right w:val="none" w:sz="0" w:space="0" w:color="auto"/>
      </w:divBdr>
    </w:div>
    <w:div w:id="18356821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87B56-EBDB-554C-97A0-FCDEF6273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2537</Words>
  <Characters>14465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DAHAB</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RIHAB</dc:creator>
  <cp:keywords/>
  <dc:description/>
  <cp:lastModifiedBy>Rihab Dahab</cp:lastModifiedBy>
  <cp:revision>6</cp:revision>
  <dcterms:created xsi:type="dcterms:W3CDTF">2020-01-13T18:46:00Z</dcterms:created>
  <dcterms:modified xsi:type="dcterms:W3CDTF">2020-01-14T16:03:00Z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Unique User Id_1">
    <vt:lpwstr>1fa45a49-e511-3d12-b48f-74734a2b933f</vt:lpwstr>
  </property>
  <property fmtid="{D5CDD505-2E9C-101B-9397-08002B2CF9AE}" pid="23" name="Mendeley Citation Style_1">
    <vt:lpwstr>http://www.zotero.org/styles/vancouver</vt:lpwstr>
  </property>
  <property fmtid="{D5CDD505-2E9C-101B-9397-08002B2CF9AE}" pid="24" name="Mendeley Document_1">
    <vt:lpwstr>True</vt:lpwstr>
  </property>
</Properties>
</file>