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tblpXSpec="center" w:tblpY="-616"/>
        <w:tblW w:w="10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2513"/>
        <w:gridCol w:w="1807"/>
        <w:gridCol w:w="2080"/>
        <w:gridCol w:w="1970"/>
        <w:gridCol w:w="1800"/>
      </w:tblGrid>
      <w:tr w:rsidR="0020622F" w:rsidRPr="00596E1A" w:rsidTr="008136E9">
        <w:tc>
          <w:tcPr>
            <w:tcW w:w="10710" w:type="dxa"/>
            <w:gridSpan w:val="6"/>
            <w:tcBorders>
              <w:bottom w:val="single" w:sz="8" w:space="0" w:color="auto"/>
            </w:tcBorders>
          </w:tcPr>
          <w:p w:rsidR="0020622F" w:rsidRPr="00596E1A" w:rsidRDefault="0020622F" w:rsidP="008136E9">
            <w:pPr>
              <w:jc w:val="center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 xml:space="preserve">Table S1 </w:t>
            </w:r>
            <w:r w:rsidRPr="00596E1A">
              <w:rPr>
                <w:rFonts w:ascii="Times New Roman" w:hAnsi="Times New Roman" w:cs="Times New Roman"/>
                <w:bCs/>
              </w:rPr>
              <w:t>Multilevel logistic analysis of factors associated with safe stool disposal (excluding multiple participants from the same household</w:t>
            </w:r>
            <w:r>
              <w:rPr>
                <w:rFonts w:ascii="Times New Roman" w:hAnsi="Times New Roman" w:cs="Times New Roman"/>
                <w:bCs/>
              </w:rPr>
              <w:t xml:space="preserve"> i.e., n = 6219</w:t>
            </w:r>
            <w:r w:rsidRPr="00596E1A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20622F" w:rsidRPr="00596E1A" w:rsidTr="008136E9">
        <w:tc>
          <w:tcPr>
            <w:tcW w:w="305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807" w:type="dxa"/>
            <w:tcBorders>
              <w:top w:val="single" w:sz="8" w:space="0" w:color="auto"/>
              <w:bottom w:val="single" w:sz="8" w:space="0" w:color="auto"/>
            </w:tcBorders>
          </w:tcPr>
          <w:p w:rsidR="0020622F" w:rsidRPr="00596E1A" w:rsidRDefault="0020622F" w:rsidP="008136E9">
            <w:pPr>
              <w:jc w:val="center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Null model</w:t>
            </w:r>
          </w:p>
          <w:p w:rsidR="0020622F" w:rsidRPr="00596E1A" w:rsidRDefault="0020622F" w:rsidP="0081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</w:tcBorders>
          </w:tcPr>
          <w:p w:rsidR="0020622F" w:rsidRPr="00596E1A" w:rsidRDefault="0020622F" w:rsidP="008136E9">
            <w:pPr>
              <w:jc w:val="center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Model I</w:t>
            </w:r>
          </w:p>
          <w:p w:rsidR="0020622F" w:rsidRPr="00596E1A" w:rsidRDefault="0020622F" w:rsidP="008136E9">
            <w:pPr>
              <w:jc w:val="center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aOR (95% CI)</w:t>
            </w:r>
          </w:p>
        </w:tc>
        <w:tc>
          <w:tcPr>
            <w:tcW w:w="1970" w:type="dxa"/>
            <w:tcBorders>
              <w:top w:val="single" w:sz="8" w:space="0" w:color="auto"/>
              <w:bottom w:val="single" w:sz="8" w:space="0" w:color="auto"/>
            </w:tcBorders>
          </w:tcPr>
          <w:p w:rsidR="0020622F" w:rsidRPr="00596E1A" w:rsidRDefault="0020622F" w:rsidP="008136E9">
            <w:pPr>
              <w:jc w:val="center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Model II</w:t>
            </w:r>
          </w:p>
          <w:p w:rsidR="0020622F" w:rsidRPr="00596E1A" w:rsidRDefault="0020622F" w:rsidP="008136E9">
            <w:pPr>
              <w:jc w:val="center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aOR (95% CI)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</w:tcPr>
          <w:p w:rsidR="0020622F" w:rsidRPr="00596E1A" w:rsidRDefault="0020622F" w:rsidP="008136E9">
            <w:pPr>
              <w:jc w:val="center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Model III</w:t>
            </w:r>
          </w:p>
          <w:p w:rsidR="0020622F" w:rsidRPr="00596E1A" w:rsidRDefault="0020622F" w:rsidP="008136E9">
            <w:pPr>
              <w:jc w:val="center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aOR (95% CI)</w:t>
            </w:r>
          </w:p>
        </w:tc>
      </w:tr>
      <w:tr w:rsidR="0020622F" w:rsidRPr="00596E1A" w:rsidTr="008136E9">
        <w:tc>
          <w:tcPr>
            <w:tcW w:w="3053" w:type="dxa"/>
            <w:gridSpan w:val="2"/>
            <w:tcBorders>
              <w:top w:val="single" w:sz="8" w:space="0" w:color="auto"/>
            </w:tcBorders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i/>
              </w:rPr>
            </w:pPr>
            <w:r w:rsidRPr="00596E1A">
              <w:rPr>
                <w:rFonts w:ascii="Times New Roman" w:hAnsi="Times New Roman" w:cs="Times New Roman"/>
                <w:i/>
              </w:rPr>
              <w:t>Individual-level factors</w:t>
            </w:r>
          </w:p>
        </w:tc>
        <w:tc>
          <w:tcPr>
            <w:tcW w:w="1807" w:type="dxa"/>
            <w:tcBorders>
              <w:top w:val="single" w:sz="8" w:space="0" w:color="auto"/>
            </w:tcBorders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tcBorders>
              <w:top w:val="single" w:sz="8" w:space="0" w:color="auto"/>
            </w:tcBorders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8" w:space="0" w:color="auto"/>
            </w:tcBorders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1A">
              <w:rPr>
                <w:rFonts w:ascii="Times New Roman" w:hAnsi="Times New Roman" w:cs="Times New Roman"/>
                <w:sz w:val="24"/>
                <w:szCs w:val="24"/>
              </w:rPr>
              <w:t>Sex of the child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1A">
              <w:rPr>
                <w:rFonts w:ascii="Times New Roman" w:hAnsi="Times New Roman" w:cs="Times New Roman"/>
                <w:sz w:val="24"/>
                <w:szCs w:val="24"/>
              </w:rPr>
              <w:t xml:space="preserve">          Male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1A">
              <w:rPr>
                <w:rFonts w:ascii="Times New Roman" w:hAnsi="Times New Roman" w:cs="Times New Roman"/>
                <w:sz w:val="24"/>
                <w:szCs w:val="24"/>
              </w:rPr>
              <w:t xml:space="preserve">          Female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0.93 (0.80 – 1.09)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</w:rPr>
              <w:t>0.94 (0.79 – 1.09</w:t>
            </w:r>
            <w:r w:rsidRPr="00596E1A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1A">
              <w:rPr>
                <w:rFonts w:ascii="Times New Roman" w:hAnsi="Times New Roman" w:cs="Times New Roman"/>
                <w:sz w:val="24"/>
                <w:szCs w:val="24"/>
              </w:rPr>
              <w:t>Age of the child (months)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1A">
              <w:rPr>
                <w:rFonts w:ascii="Times New Roman" w:hAnsi="Times New Roman" w:cs="Times New Roman"/>
                <w:sz w:val="24"/>
                <w:szCs w:val="24"/>
              </w:rPr>
              <w:t xml:space="preserve">         ≤5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1A">
              <w:rPr>
                <w:rFonts w:ascii="Times New Roman" w:hAnsi="Times New Roman" w:cs="Times New Roman"/>
                <w:sz w:val="24"/>
                <w:szCs w:val="24"/>
              </w:rPr>
              <w:t xml:space="preserve">         6 – 11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3.07 (2.52 – 3.74)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3.08 (2.53 – 3.75)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1A">
              <w:rPr>
                <w:rFonts w:ascii="Times New Roman" w:hAnsi="Times New Roman" w:cs="Times New Roman"/>
                <w:sz w:val="24"/>
                <w:szCs w:val="24"/>
              </w:rPr>
              <w:t xml:space="preserve">         12 – 17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6.76 (5.35 – 8.55)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6.77 (5.36 – 8.56)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1A">
              <w:rPr>
                <w:rFonts w:ascii="Times New Roman" w:hAnsi="Times New Roman" w:cs="Times New Roman"/>
                <w:sz w:val="24"/>
                <w:szCs w:val="24"/>
              </w:rPr>
              <w:t xml:space="preserve">         18 - 23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6.57 (5.17 – 8.36)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6.60 (5.19 – 8.39)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Maternal age (years)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15 – 24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auto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25 – 34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auto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1.09 (0.84 – 1.41)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1.06 (0.82 – 1.38)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≥ 35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auto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0.95 (0.67 – 1.34)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0.92 (0.65 – 1.30)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Number of children ever had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1.22 (0.96 – 1.57)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1.23 (0.97 – 1.57)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0.87 (0.65 – 1.16)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0.90 (0.67 – 1.20)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4+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0.93 (0.67 – 1.29)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0.97 (0.70 – 1.34)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Maternal educational level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No formal education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Primary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0.92 (0.72 – 1.19)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0.84 (0.65 – 1.09)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Secondary and higher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1.17 (0.84 – 1.62)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1.03 (0.73 – 1.45)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Wealth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Poor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 xml:space="preserve">Middle 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1.26 (1.01 – 1.56)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1.27 (1.02 – 1.58)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Rich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1.34 (1.08 – 1.66)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1.31 (1.03 – 1.66)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Employed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0.89 (0.74 – 1.06)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0.87 (0.73 – 1.04)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Media exposure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1.20 (1.01 – 1.45)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1.19 (1.01 – 1.43)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Religion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Catholics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Protestant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0.97 (0.75 – 1.25)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0.97 (0.75 – 1.26)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Muslims and others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0.95 (0.77 – 1.18)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0.96 (0.78 – 1.19)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Water source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Unimproved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Improved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1.31 (1.04 – 1.65)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1.25 (0.99 – 1.58)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Sanitation type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Unimproved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Improved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1.35 (1.11 – 1.65)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1.33 (1.09 – 1.62)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i/>
              </w:rPr>
            </w:pPr>
            <w:r w:rsidRPr="00596E1A">
              <w:rPr>
                <w:rFonts w:ascii="Times New Roman" w:hAnsi="Times New Roman" w:cs="Times New Roman"/>
                <w:i/>
              </w:rPr>
              <w:t>Community-level factors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Residence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Urban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Rural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0.67 (0.49 – 0.92)</w:t>
            </w: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0.74 (0.53 – 1.03)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lastRenderedPageBreak/>
              <w:t>Region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Northern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Central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1.70 (1.28 – 2.25)</w:t>
            </w: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1.79 (1.33 – 2.29)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Southern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1.43 (1.10 – 1.86)</w:t>
            </w: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1.56 (1.18 – 1.86)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Community wealth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1.09 (0.87 – 1.37)</w:t>
            </w: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1.05 (0.82 – 1.34)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1.18 (0.89 – 1.56)</w:t>
            </w: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0.98 (0.71 – 1.34)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Community women’s education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1.00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1.69 (1.26 – 2.27)</w:t>
            </w: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1.67 (1.22 – 2.29)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1.49 (1.20 – 1.85)</w:t>
            </w: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E1A">
              <w:rPr>
                <w:rFonts w:ascii="Times New Roman" w:hAnsi="Times New Roman" w:cs="Times New Roman"/>
                <w:b/>
              </w:rPr>
              <w:t>1.47 (1.15 – 1.86)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Measures of variation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Area variance (95% CI)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0.66 (0.49 – 0.90)</w:t>
            </w: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0.76 (0.50 – 0.95)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0.56 (0.40 – 0.79)</w:t>
            </w: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0.62 (0.44 – 0.87)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ICC (%)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16.8</w:t>
            </w: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17.4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14.6</w:t>
            </w: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15.8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PCV (%)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-4.5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15.2</w:t>
            </w: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  <w:color w:val="FF0000"/>
              </w:rPr>
              <w:t>6.06</w:t>
            </w:r>
          </w:p>
        </w:tc>
      </w:tr>
      <w:tr w:rsidR="0020622F" w:rsidRPr="00596E1A" w:rsidTr="008136E9">
        <w:tc>
          <w:tcPr>
            <w:tcW w:w="540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MOR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2.12</w:t>
            </w:r>
          </w:p>
        </w:tc>
      </w:tr>
      <w:tr w:rsidR="0020622F" w:rsidRPr="00596E1A" w:rsidTr="008136E9">
        <w:tc>
          <w:tcPr>
            <w:tcW w:w="3053" w:type="dxa"/>
            <w:gridSpan w:val="2"/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Model Fit statistic</w:t>
            </w:r>
          </w:p>
        </w:tc>
        <w:tc>
          <w:tcPr>
            <w:tcW w:w="1807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622F" w:rsidRPr="00596E1A" w:rsidTr="008136E9">
        <w:tc>
          <w:tcPr>
            <w:tcW w:w="540" w:type="dxa"/>
            <w:tcBorders>
              <w:bottom w:val="single" w:sz="12" w:space="0" w:color="auto"/>
            </w:tcBorders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tcBorders>
              <w:bottom w:val="single" w:sz="12" w:space="0" w:color="auto"/>
            </w:tcBorders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1807" w:type="dxa"/>
            <w:tcBorders>
              <w:bottom w:val="single" w:sz="12" w:space="0" w:color="auto"/>
            </w:tcBorders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5228.39</w:t>
            </w:r>
          </w:p>
        </w:tc>
        <w:tc>
          <w:tcPr>
            <w:tcW w:w="2080" w:type="dxa"/>
            <w:tcBorders>
              <w:bottom w:val="single" w:sz="12" w:space="0" w:color="auto"/>
            </w:tcBorders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4771.44</w:t>
            </w:r>
          </w:p>
        </w:tc>
        <w:tc>
          <w:tcPr>
            <w:tcW w:w="197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5195.16</w:t>
            </w:r>
          </w:p>
        </w:tc>
        <w:tc>
          <w:tcPr>
            <w:tcW w:w="1800" w:type="dxa"/>
          </w:tcPr>
          <w:p w:rsidR="0020622F" w:rsidRPr="00596E1A" w:rsidRDefault="0020622F" w:rsidP="008136E9">
            <w:pPr>
              <w:jc w:val="both"/>
              <w:rPr>
                <w:rFonts w:ascii="Times New Roman" w:hAnsi="Times New Roman" w:cs="Times New Roman"/>
              </w:rPr>
            </w:pPr>
            <w:r w:rsidRPr="00596E1A">
              <w:rPr>
                <w:rFonts w:ascii="Times New Roman" w:hAnsi="Times New Roman" w:cs="Times New Roman"/>
              </w:rPr>
              <w:t>4753.78</w:t>
            </w:r>
          </w:p>
        </w:tc>
      </w:tr>
      <w:tr w:rsidR="0020622F" w:rsidRPr="0015737D" w:rsidTr="008136E9">
        <w:tc>
          <w:tcPr>
            <w:tcW w:w="10710" w:type="dxa"/>
            <w:gridSpan w:val="6"/>
            <w:tcBorders>
              <w:top w:val="single" w:sz="12" w:space="0" w:color="auto"/>
            </w:tcBorders>
          </w:tcPr>
          <w:p w:rsidR="0020622F" w:rsidRPr="00596E1A" w:rsidRDefault="0020622F" w:rsidP="008136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6E1A">
              <w:rPr>
                <w:rFonts w:ascii="Times New Roman" w:hAnsi="Times New Roman" w:cs="Times New Roman"/>
                <w:sz w:val="16"/>
                <w:szCs w:val="16"/>
              </w:rPr>
              <w:t>Null model contains no explanatory variables; Model I includes individual-level factors only; Model II includes community-level factors only; Model III includes both individual-level and community-level factors</w:t>
            </w:r>
          </w:p>
          <w:p w:rsidR="0020622F" w:rsidRPr="0015737D" w:rsidRDefault="0020622F" w:rsidP="008136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6E1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aOR</w:t>
            </w:r>
            <w:r w:rsidRPr="00596E1A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adjusted odds ratio</w:t>
            </w:r>
            <w:r w:rsidRPr="00596E1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 CI</w:t>
            </w:r>
            <w:r w:rsidRPr="00596E1A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confidence internal, </w:t>
            </w:r>
            <w:r w:rsidRPr="00596E1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ICC </w:t>
            </w:r>
            <w:proofErr w:type="spellStart"/>
            <w:r w:rsidRPr="00596E1A">
              <w:rPr>
                <w:rFonts w:ascii="Times New Roman" w:hAnsi="Times New Roman" w:cs="Times New Roman"/>
                <w:sz w:val="16"/>
                <w:szCs w:val="16"/>
              </w:rPr>
              <w:t>intraclass</w:t>
            </w:r>
            <w:proofErr w:type="spellEnd"/>
            <w:r w:rsidRPr="00596E1A">
              <w:rPr>
                <w:rFonts w:ascii="Times New Roman" w:hAnsi="Times New Roman" w:cs="Times New Roman"/>
                <w:sz w:val="16"/>
                <w:szCs w:val="16"/>
              </w:rPr>
              <w:t xml:space="preserve"> correlation coefficient, </w:t>
            </w:r>
            <w:r w:rsidRPr="00596E1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MOR </w:t>
            </w:r>
            <w:r w:rsidRPr="00596E1A">
              <w:rPr>
                <w:rFonts w:ascii="Times New Roman" w:hAnsi="Times New Roman" w:cs="Times New Roman"/>
                <w:sz w:val="16"/>
                <w:szCs w:val="16"/>
              </w:rPr>
              <w:t xml:space="preserve">median odds ratio, </w:t>
            </w:r>
            <w:r w:rsidRPr="00596E1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PVC </w:t>
            </w:r>
            <w:r w:rsidRPr="00596E1A">
              <w:rPr>
                <w:rFonts w:ascii="Times New Roman" w:hAnsi="Times New Roman" w:cs="Times New Roman"/>
                <w:sz w:val="16"/>
                <w:szCs w:val="16"/>
              </w:rPr>
              <w:t xml:space="preserve">proportional change in variance, </w:t>
            </w:r>
            <w:r w:rsidRPr="00596E1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AIC </w:t>
            </w:r>
            <w:proofErr w:type="spellStart"/>
            <w:r w:rsidRPr="00596E1A">
              <w:rPr>
                <w:rFonts w:ascii="Times New Roman" w:hAnsi="Times New Roman" w:cs="Times New Roman"/>
                <w:sz w:val="16"/>
                <w:szCs w:val="16"/>
              </w:rPr>
              <w:t>Akaike</w:t>
            </w:r>
            <w:proofErr w:type="spellEnd"/>
            <w:r w:rsidRPr="00596E1A">
              <w:rPr>
                <w:rFonts w:ascii="Times New Roman" w:hAnsi="Times New Roman" w:cs="Times New Roman"/>
                <w:sz w:val="16"/>
                <w:szCs w:val="16"/>
              </w:rPr>
              <w:t xml:space="preserve"> information criterion</w:t>
            </w:r>
          </w:p>
        </w:tc>
      </w:tr>
    </w:tbl>
    <w:p w:rsidR="001B7F1F" w:rsidRDefault="0020622F"/>
    <w:sectPr w:rsidR="001B7F1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SwNDQ3NDUxtTSyMLdQ0lEKTi0uzszPAykwrAUAefnLECwAAAA="/>
  </w:docVars>
  <w:rsids>
    <w:rsidRoot w:val="0020622F"/>
    <w:rsid w:val="0020622F"/>
    <w:rsid w:val="002F74B1"/>
    <w:rsid w:val="00673AF4"/>
    <w:rsid w:val="008D5A64"/>
    <w:rsid w:val="00CC602F"/>
    <w:rsid w:val="00D2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2BF2F"/>
  <w15:chartTrackingRefBased/>
  <w15:docId w15:val="{BEC8EE83-4361-4B63-9F53-F26B4E16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2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6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2020-03-19T11:41:00Z</dcterms:created>
  <dcterms:modified xsi:type="dcterms:W3CDTF">2020-03-19T11:43:00Z</dcterms:modified>
</cp:coreProperties>
</file>