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BC1B7" w14:textId="65056EA6" w:rsidR="00845250" w:rsidRDefault="00845250" w:rsidP="00845250">
      <w:pPr>
        <w:spacing w:line="276" w:lineRule="auto"/>
        <w:jc w:val="left"/>
        <w:rPr>
          <w:rFonts w:ascii="Arial" w:hAnsi="Arial" w:cs="Arial"/>
          <w:b/>
          <w:lang w:eastAsia="en-GB"/>
        </w:rPr>
      </w:pPr>
      <w:r w:rsidRPr="00845250">
        <w:rPr>
          <w:rFonts w:ascii="Arial" w:hAnsi="Arial" w:cs="Arial"/>
          <w:b/>
          <w:lang w:eastAsia="en-GB"/>
        </w:rPr>
        <w:t>A</w:t>
      </w:r>
      <w:r>
        <w:rPr>
          <w:rFonts w:ascii="Arial" w:hAnsi="Arial" w:cs="Arial"/>
          <w:b/>
          <w:lang w:eastAsia="en-GB"/>
        </w:rPr>
        <w:t>dditional file 4</w:t>
      </w:r>
      <w:r w:rsidRPr="00845250">
        <w:rPr>
          <w:rFonts w:ascii="Arial" w:hAnsi="Arial" w:cs="Arial"/>
          <w:b/>
          <w:lang w:eastAsia="en-GB"/>
        </w:rPr>
        <w:t xml:space="preserve">: BCTs linked to TDF domains </w:t>
      </w:r>
      <w:r w:rsidRPr="00845250">
        <w:rPr>
          <w:rFonts w:ascii="Arial" w:hAnsi="Arial" w:cs="Arial"/>
          <w:b/>
          <w:lang w:eastAsia="en-GB"/>
        </w:rPr>
        <w:fldChar w:fldCharType="begin"/>
      </w:r>
      <w:r w:rsidRPr="00845250">
        <w:rPr>
          <w:rFonts w:ascii="Arial" w:hAnsi="Arial" w:cs="Arial"/>
          <w:b/>
          <w:lang w:eastAsia="en-GB"/>
        </w:rPr>
        <w:instrText xml:space="preserve"> ADDIN EN.CITE &lt;EndNote&gt;&lt;Cite&gt;&lt;Author&gt;Johnston&lt;/Author&gt;&lt;Year&gt;2018&lt;/Year&gt;&lt;RecNum&gt;83&lt;/RecNum&gt;&lt;DisplayText&gt;[14]&lt;/DisplayText&gt;&lt;record&gt;&lt;rec-number&gt;83&lt;/rec-number&gt;&lt;foreign-keys&gt;&lt;key app="EN" db-id="f9edtwwtof5ftneevt1pr0voafdvfedx92e2" timestamp="1551080871"&gt;83&lt;/key&gt;&lt;/foreign-keys&gt;&lt;ref-type name="Book"&gt;6&lt;/ref-type&gt;&lt;contributors&gt;&lt;authors&gt;&lt;author&gt;Johnston, Marie&lt;/author&gt;&lt;author&gt;Naomi Carey, Rachel&lt;/author&gt;&lt;author&gt;Connell Bohlen, Lauren&lt;/author&gt;&lt;author&gt;Johnston, Derek&lt;/author&gt;&lt;author&gt;Rothman, Alexander&lt;/author&gt;&lt;author&gt;Bruin, Marijn&lt;/author&gt;&lt;author&gt;Kelly, Michael&lt;/author&gt;&lt;author&gt;Groarke, Hilary&lt;/author&gt;&lt;author&gt;Michie, Susan&lt;/author&gt;&lt;/authors&gt;&lt;/contributors&gt;&lt;titles&gt;&lt;title&gt;Linking behavior change techniques and mechanisms of action: Triangulation of findings from literature synthesis and expert consensus&lt;/title&gt;&lt;/titles&gt;&lt;dates&gt;&lt;year&gt;2018&lt;/year&gt;&lt;/dates&gt;&lt;urls&gt;&lt;/urls&gt;&lt;electronic-resource-num&gt;10.31234/osf.io/ur6kz&lt;/electronic-resource-num&gt;&lt;/record&gt;&lt;/Cite&gt;&lt;/EndNote&gt;</w:instrText>
      </w:r>
      <w:r w:rsidRPr="00845250">
        <w:rPr>
          <w:rFonts w:ascii="Arial" w:hAnsi="Arial" w:cs="Arial"/>
          <w:b/>
          <w:lang w:eastAsia="en-GB"/>
        </w:rPr>
        <w:fldChar w:fldCharType="separate"/>
      </w:r>
      <w:r w:rsidRPr="00845250">
        <w:rPr>
          <w:rFonts w:ascii="Arial" w:hAnsi="Arial" w:cs="Arial"/>
          <w:b/>
          <w:noProof/>
          <w:lang w:eastAsia="en-GB"/>
        </w:rPr>
        <w:t>[14]</w:t>
      </w:r>
      <w:r w:rsidRPr="00845250">
        <w:rPr>
          <w:rFonts w:ascii="Arial" w:hAnsi="Arial" w:cs="Arial"/>
          <w:b/>
          <w:lang w:eastAsia="en-GB"/>
        </w:rPr>
        <w:fldChar w:fldCharType="end"/>
      </w:r>
    </w:p>
    <w:p w14:paraId="1C72C80C" w14:textId="77777777" w:rsidR="00845250" w:rsidRPr="00845250" w:rsidRDefault="00845250" w:rsidP="00845250">
      <w:pPr>
        <w:spacing w:line="276" w:lineRule="auto"/>
        <w:jc w:val="left"/>
        <w:rPr>
          <w:rFonts w:ascii="Arial" w:hAnsi="Arial" w:cs="Arial"/>
          <w:b/>
          <w:lang w:eastAsia="en-GB"/>
        </w:rPr>
      </w:pPr>
    </w:p>
    <w:tbl>
      <w:tblPr>
        <w:tblStyle w:val="TableGrid1"/>
        <w:tblW w:w="8926" w:type="dxa"/>
        <w:tblBorders>
          <w:top w:val="single" w:sz="4" w:space="0" w:color="B4C6E7" w:themeColor="accent1" w:themeTint="66"/>
          <w:left w:val="none" w:sz="0" w:space="0" w:color="auto"/>
          <w:bottom w:val="single" w:sz="4" w:space="0" w:color="B4C6E7" w:themeColor="accent1" w:themeTint="66"/>
          <w:right w:val="none" w:sz="0" w:space="0" w:color="auto"/>
          <w:insideH w:val="single" w:sz="4" w:space="0" w:color="B4C6E7" w:themeColor="accent1" w:themeTint="6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5666"/>
      </w:tblGrid>
      <w:tr w:rsidR="00845250" w:rsidRPr="009F54DA" w14:paraId="14CCAF65" w14:textId="77777777" w:rsidTr="00BB1612">
        <w:trPr>
          <w:tblHeader/>
        </w:trPr>
        <w:tc>
          <w:tcPr>
            <w:tcW w:w="3260" w:type="dxa"/>
          </w:tcPr>
          <w:p w14:paraId="52735635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TDF Domain (COM-B)</w:t>
            </w:r>
          </w:p>
        </w:tc>
        <w:tc>
          <w:tcPr>
            <w:tcW w:w="5666" w:type="dxa"/>
          </w:tcPr>
          <w:p w14:paraId="2DBF0918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BCT</w:t>
            </w:r>
          </w:p>
        </w:tc>
      </w:tr>
      <w:tr w:rsidR="00845250" w:rsidRPr="009F54DA" w14:paraId="6A51EBF1" w14:textId="77777777" w:rsidTr="00BB1612">
        <w:trPr>
          <w:trHeight w:val="2145"/>
        </w:trPr>
        <w:tc>
          <w:tcPr>
            <w:tcW w:w="3260" w:type="dxa"/>
          </w:tcPr>
          <w:p w14:paraId="0B7168B9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Knowledge (psychological capability)</w:t>
            </w:r>
          </w:p>
        </w:tc>
        <w:tc>
          <w:tcPr>
            <w:tcW w:w="5666" w:type="dxa"/>
          </w:tcPr>
          <w:p w14:paraId="18CB291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44F3634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2.6. Biofeedback</w:t>
            </w:r>
          </w:p>
          <w:p w14:paraId="48350039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4.1. Instruction on how to perform behaviour</w:t>
            </w:r>
          </w:p>
          <w:p w14:paraId="34566B97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4.2. Information about antecedents</w:t>
            </w:r>
          </w:p>
          <w:p w14:paraId="726A545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5.1. Information about health consequences</w:t>
            </w:r>
          </w:p>
          <w:p w14:paraId="7433BC84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5.2. Salience of consequences</w:t>
            </w:r>
          </w:p>
          <w:p w14:paraId="7FD40577" w14:textId="146AECA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5.3</w:t>
            </w:r>
            <w:r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 xml:space="preserve">. </w:t>
            </w: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Information about social and environmental consequences</w:t>
            </w:r>
          </w:p>
          <w:p w14:paraId="03E2ADA1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2A2BB5A8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69E4C266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2.2. Feedback on behaviour</w:t>
            </w:r>
          </w:p>
          <w:p w14:paraId="0802B121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</w:tc>
      </w:tr>
      <w:tr w:rsidR="00845250" w:rsidRPr="009F54DA" w14:paraId="449BE0F3" w14:textId="77777777" w:rsidTr="00BB1612">
        <w:trPr>
          <w:trHeight w:val="920"/>
        </w:trPr>
        <w:tc>
          <w:tcPr>
            <w:tcW w:w="3260" w:type="dxa"/>
          </w:tcPr>
          <w:p w14:paraId="63D57C27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Memory, Attention, Decision Making (psychological capability)</w:t>
            </w:r>
          </w:p>
        </w:tc>
        <w:tc>
          <w:tcPr>
            <w:tcW w:w="5666" w:type="dxa"/>
          </w:tcPr>
          <w:p w14:paraId="1008CAD3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3C59AE49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7.1. Prompts/cues</w:t>
            </w:r>
          </w:p>
          <w:p w14:paraId="577FF1B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11.3. Conserving mental resources</w:t>
            </w:r>
          </w:p>
          <w:p w14:paraId="626A144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1A9A186E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24A805DC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1.9. Commitment</w:t>
            </w:r>
          </w:p>
          <w:p w14:paraId="5CF590DA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7.8. Associative learning</w:t>
            </w:r>
          </w:p>
          <w:p w14:paraId="53C2E36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8.4. Habit reversal</w:t>
            </w:r>
          </w:p>
          <w:p w14:paraId="769B731C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</w:tc>
      </w:tr>
      <w:tr w:rsidR="00845250" w:rsidRPr="009F54DA" w14:paraId="5C6B9348" w14:textId="77777777" w:rsidTr="00BB1612">
        <w:trPr>
          <w:trHeight w:val="1472"/>
        </w:trPr>
        <w:tc>
          <w:tcPr>
            <w:tcW w:w="3260" w:type="dxa"/>
          </w:tcPr>
          <w:p w14:paraId="2B1193C9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Behavioural Regulation (psychological capability)</w:t>
            </w:r>
          </w:p>
        </w:tc>
        <w:tc>
          <w:tcPr>
            <w:tcW w:w="5666" w:type="dxa"/>
          </w:tcPr>
          <w:p w14:paraId="5C5F40C3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4D446243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1.2. Problem solving</w:t>
            </w:r>
          </w:p>
          <w:p w14:paraId="537A93F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2.3. Self-monitoring of behaviour</w:t>
            </w:r>
          </w:p>
          <w:p w14:paraId="208BF6C0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4.2. Information about antecedents</w:t>
            </w:r>
          </w:p>
          <w:p w14:paraId="3485F32D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8.2. Behaviour substitution</w:t>
            </w:r>
          </w:p>
          <w:p w14:paraId="11CECD8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11.2. Reduce negative emotions</w:t>
            </w:r>
          </w:p>
          <w:p w14:paraId="45AEA4A1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11.3. Conserving mental resources</w:t>
            </w:r>
          </w:p>
          <w:p w14:paraId="57EE9B5D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77CB27A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47BE49CD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1.1  Goal setting (behaviour)</w:t>
            </w:r>
          </w:p>
          <w:p w14:paraId="6A222698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1.4. Action planning</w:t>
            </w:r>
          </w:p>
          <w:p w14:paraId="3B2F8F5A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1.6. Discrepancy between current behaviour and goal</w:t>
            </w:r>
          </w:p>
          <w:p w14:paraId="2A9B4C6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1.8. Behavioural contract</w:t>
            </w:r>
          </w:p>
          <w:p w14:paraId="22CE1987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2.4. Self-monitoring of outcomes of behaviour</w:t>
            </w:r>
          </w:p>
          <w:p w14:paraId="57B62649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8.3. Habit formation</w:t>
            </w:r>
          </w:p>
          <w:p w14:paraId="01E79AFC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8.4. Habit reversal</w:t>
            </w:r>
          </w:p>
          <w:p w14:paraId="2D316E9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14.2. Punishment</w:t>
            </w:r>
          </w:p>
        </w:tc>
      </w:tr>
      <w:tr w:rsidR="00845250" w:rsidRPr="009F54DA" w14:paraId="406CE475" w14:textId="77777777" w:rsidTr="00BB1612">
        <w:trPr>
          <w:trHeight w:val="3251"/>
        </w:trPr>
        <w:tc>
          <w:tcPr>
            <w:tcW w:w="3260" w:type="dxa"/>
          </w:tcPr>
          <w:p w14:paraId="25FE2380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lastRenderedPageBreak/>
              <w:t>Skills (psychological capability)</w:t>
            </w:r>
          </w:p>
        </w:tc>
        <w:tc>
          <w:tcPr>
            <w:tcW w:w="5666" w:type="dxa"/>
          </w:tcPr>
          <w:p w14:paraId="21A4A005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439BB456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4.1. Instruction on how to perform behaviour</w:t>
            </w:r>
          </w:p>
          <w:p w14:paraId="47621CE3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8.1. Behavioural practice/rehearsal</w:t>
            </w:r>
          </w:p>
          <w:p w14:paraId="19FAFB8C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8.7. Graded tasks</w:t>
            </w:r>
          </w:p>
          <w:p w14:paraId="4C90DD7C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6C8DBDA7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14B1A72E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1.2. Problem solving</w:t>
            </w:r>
          </w:p>
          <w:p w14:paraId="7E675EC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6.1. Demonstration of the behaviour</w:t>
            </w:r>
          </w:p>
          <w:p w14:paraId="5EAB2A84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8.6. Generalisation of target behaviour</w:t>
            </w:r>
          </w:p>
          <w:p w14:paraId="678AF579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10.9. Self-reward</w:t>
            </w:r>
          </w:p>
          <w:p w14:paraId="58F815E5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</w:tc>
      </w:tr>
      <w:tr w:rsidR="00845250" w:rsidRPr="009F54DA" w14:paraId="41B0D5FF" w14:textId="77777777" w:rsidTr="00BB1612">
        <w:trPr>
          <w:trHeight w:val="2114"/>
        </w:trPr>
        <w:tc>
          <w:tcPr>
            <w:tcW w:w="3260" w:type="dxa"/>
          </w:tcPr>
          <w:p w14:paraId="2C85366B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Social Influences (social opportunity)</w:t>
            </w:r>
          </w:p>
        </w:tc>
        <w:tc>
          <w:tcPr>
            <w:tcW w:w="5666" w:type="dxa"/>
          </w:tcPr>
          <w:p w14:paraId="0D857F84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557999D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3.1. Social support (unspecified)</w:t>
            </w:r>
          </w:p>
          <w:p w14:paraId="35105B86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3.2. Social support (practical)</w:t>
            </w:r>
          </w:p>
          <w:p w14:paraId="4F93EBE9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6.2. Social comparison</w:t>
            </w:r>
          </w:p>
          <w:p w14:paraId="78CE2760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6.3. Information about others’ approval</w:t>
            </w:r>
          </w:p>
          <w:p w14:paraId="17C996F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10.4. Social reward</w:t>
            </w:r>
          </w:p>
          <w:p w14:paraId="2BB277B3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78A6D74E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339EBDE7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2.1. Monitoring of behaviour by others without feedback</w:t>
            </w:r>
          </w:p>
          <w:p w14:paraId="6BE8166A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12.2. Restructuring the social environment</w:t>
            </w:r>
          </w:p>
        </w:tc>
      </w:tr>
      <w:tr w:rsidR="00845250" w:rsidRPr="009F54DA" w14:paraId="03C8206B" w14:textId="77777777" w:rsidTr="00BB1612">
        <w:trPr>
          <w:trHeight w:val="416"/>
        </w:trPr>
        <w:tc>
          <w:tcPr>
            <w:tcW w:w="3260" w:type="dxa"/>
          </w:tcPr>
          <w:p w14:paraId="380E6A49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Environmental Context and Resources (physical opportunity)</w:t>
            </w:r>
          </w:p>
        </w:tc>
        <w:tc>
          <w:tcPr>
            <w:tcW w:w="5666" w:type="dxa"/>
          </w:tcPr>
          <w:p w14:paraId="1C103369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34910229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3.2. Social support (practical)</w:t>
            </w:r>
          </w:p>
          <w:p w14:paraId="3A0CAF85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7.1. Prompts/cues</w:t>
            </w:r>
          </w:p>
          <w:p w14:paraId="13B645E1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7.5. Remove aversive stimulus</w:t>
            </w:r>
          </w:p>
          <w:p w14:paraId="52A383EE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12.1. Restructuring the physical environment</w:t>
            </w:r>
          </w:p>
          <w:p w14:paraId="66092E54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12.2. Restructuring the social environment</w:t>
            </w:r>
          </w:p>
          <w:p w14:paraId="094349CD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12.3. Avoidance/reducing exposure to cues for the behaviour</w:t>
            </w:r>
          </w:p>
          <w:p w14:paraId="7572E58E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12.5. Adding objects to the environment</w:t>
            </w:r>
          </w:p>
          <w:p w14:paraId="53DD7F9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7375436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74A8E944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1.2. Problem solving</w:t>
            </w:r>
          </w:p>
          <w:p w14:paraId="0F09BDE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11.3. Conserving mental resources</w:t>
            </w:r>
          </w:p>
        </w:tc>
      </w:tr>
      <w:tr w:rsidR="00845250" w:rsidRPr="009F54DA" w14:paraId="1E3A7981" w14:textId="77777777" w:rsidTr="00BB1612">
        <w:trPr>
          <w:trHeight w:val="4934"/>
        </w:trPr>
        <w:tc>
          <w:tcPr>
            <w:tcW w:w="3260" w:type="dxa"/>
          </w:tcPr>
          <w:p w14:paraId="2F904AE4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lastRenderedPageBreak/>
              <w:t>Beliefs about consequences (reflective motivation)</w:t>
            </w:r>
          </w:p>
        </w:tc>
        <w:tc>
          <w:tcPr>
            <w:tcW w:w="5666" w:type="dxa"/>
          </w:tcPr>
          <w:p w14:paraId="4D95D223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07AB633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5.1. Information about health consequences</w:t>
            </w:r>
          </w:p>
          <w:p w14:paraId="550A9218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5.2. Salience of consequences</w:t>
            </w:r>
          </w:p>
          <w:p w14:paraId="11937D63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5.3. Information about social and environmental consequences</w:t>
            </w:r>
          </w:p>
          <w:p w14:paraId="623DEA3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5.5. Anticipated regret</w:t>
            </w:r>
          </w:p>
          <w:p w14:paraId="7C4E78F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5.6. Information about emotional consequences</w:t>
            </w:r>
          </w:p>
          <w:p w14:paraId="6982D49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9.2. Pros and cons</w:t>
            </w:r>
          </w:p>
          <w:p w14:paraId="5B23C994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9.3. Comparative imagining of future outcomes</w:t>
            </w:r>
          </w:p>
          <w:p w14:paraId="06F9093D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10.1. Material incentive (behaviour)</w:t>
            </w:r>
          </w:p>
          <w:p w14:paraId="1AE40DCD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10.8. Incentive (outcome)</w:t>
            </w:r>
          </w:p>
          <w:p w14:paraId="39F2447E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10.10. Reward (outcome)</w:t>
            </w:r>
          </w:p>
        </w:tc>
      </w:tr>
      <w:tr w:rsidR="00845250" w:rsidRPr="009F54DA" w14:paraId="3F493970" w14:textId="77777777" w:rsidTr="00BB1612">
        <w:trPr>
          <w:trHeight w:val="3016"/>
        </w:trPr>
        <w:tc>
          <w:tcPr>
            <w:tcW w:w="3260" w:type="dxa"/>
          </w:tcPr>
          <w:p w14:paraId="44541AA3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Beliefs about capabilities (reflective motivation)</w:t>
            </w:r>
          </w:p>
        </w:tc>
        <w:tc>
          <w:tcPr>
            <w:tcW w:w="5666" w:type="dxa"/>
          </w:tcPr>
          <w:p w14:paraId="698EB1B5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22446C6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1.2. Problem solving</w:t>
            </w:r>
          </w:p>
          <w:p w14:paraId="3600A595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4.1. Instruction on how to perform behaviour</w:t>
            </w:r>
          </w:p>
          <w:p w14:paraId="51DD1500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6.1. Demonstration of the behaviour</w:t>
            </w:r>
          </w:p>
          <w:p w14:paraId="297B92F8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8.1. Behavioural practice/rehearsal</w:t>
            </w:r>
          </w:p>
          <w:p w14:paraId="04C1F223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8.7. Graded tasks</w:t>
            </w:r>
          </w:p>
          <w:p w14:paraId="1F72EB7A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15.1. Verbal persuasion about capability</w:t>
            </w:r>
          </w:p>
          <w:p w14:paraId="16C07B18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15.3. Focus on past success</w:t>
            </w:r>
          </w:p>
          <w:p w14:paraId="713EFE0A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15.4. Self-talk</w:t>
            </w:r>
          </w:p>
          <w:p w14:paraId="18A4B9ED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027D68F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20311B49" w14:textId="77777777" w:rsidR="00845250" w:rsidRPr="009F54DA" w:rsidRDefault="00845250" w:rsidP="00845250">
            <w:pPr>
              <w:pStyle w:val="ListParagraph"/>
              <w:numPr>
                <w:ilvl w:val="1"/>
                <w:numId w:val="1"/>
              </w:numPr>
              <w:spacing w:after="120" w:line="276" w:lineRule="auto"/>
              <w:ind w:left="357" w:hanging="357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Goal setting (behaviour)</w:t>
            </w:r>
          </w:p>
          <w:p w14:paraId="16F0788C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2.6. Biofeedback</w:t>
            </w:r>
          </w:p>
          <w:p w14:paraId="224D3FBE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10.4. Social reward</w:t>
            </w:r>
          </w:p>
          <w:p w14:paraId="08932E4C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11.2. Reduce negative emotions</w:t>
            </w:r>
          </w:p>
          <w:p w14:paraId="1163DE06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</w:tc>
      </w:tr>
      <w:tr w:rsidR="00845250" w:rsidRPr="009F54DA" w14:paraId="269DCAF8" w14:textId="77777777" w:rsidTr="00BB1612">
        <w:tc>
          <w:tcPr>
            <w:tcW w:w="3260" w:type="dxa"/>
          </w:tcPr>
          <w:p w14:paraId="772D4C6F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Optimism (reflective motivation)</w:t>
            </w:r>
          </w:p>
        </w:tc>
        <w:tc>
          <w:tcPr>
            <w:tcW w:w="5666" w:type="dxa"/>
          </w:tcPr>
          <w:p w14:paraId="1FDA3AD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1210B934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1.7. Review outcome goal(s)</w:t>
            </w:r>
          </w:p>
        </w:tc>
      </w:tr>
      <w:tr w:rsidR="00845250" w:rsidRPr="009F54DA" w14:paraId="4BCFFD19" w14:textId="77777777" w:rsidTr="00BB1612">
        <w:trPr>
          <w:trHeight w:val="1124"/>
        </w:trPr>
        <w:tc>
          <w:tcPr>
            <w:tcW w:w="3260" w:type="dxa"/>
          </w:tcPr>
          <w:p w14:paraId="0E806616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Social/professional role and identity (reflective motivation)</w:t>
            </w:r>
          </w:p>
        </w:tc>
        <w:tc>
          <w:tcPr>
            <w:tcW w:w="5666" w:type="dxa"/>
          </w:tcPr>
          <w:p w14:paraId="6ED9133C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18C3DC4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3.1. Social support (unspecified)</w:t>
            </w:r>
          </w:p>
          <w:p w14:paraId="2CE791C0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6.2. Social comparison</w:t>
            </w:r>
          </w:p>
          <w:p w14:paraId="4ACF3E6D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9.1. Credible source</w:t>
            </w:r>
          </w:p>
          <w:p w14:paraId="0B9AC6F9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13.5. Identity associated with changed behaviour</w:t>
            </w:r>
          </w:p>
        </w:tc>
      </w:tr>
      <w:tr w:rsidR="00845250" w:rsidRPr="009F54DA" w14:paraId="63822C2A" w14:textId="77777777" w:rsidTr="00BB1612">
        <w:trPr>
          <w:trHeight w:val="378"/>
        </w:trPr>
        <w:tc>
          <w:tcPr>
            <w:tcW w:w="3260" w:type="dxa"/>
          </w:tcPr>
          <w:p w14:paraId="052D7C3B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Intentions (reflective motivation)</w:t>
            </w:r>
          </w:p>
        </w:tc>
        <w:tc>
          <w:tcPr>
            <w:tcW w:w="5666" w:type="dxa"/>
          </w:tcPr>
          <w:p w14:paraId="3D03963C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4DA75B7B" w14:textId="77777777" w:rsidR="00845250" w:rsidRPr="009F54DA" w:rsidRDefault="00845250" w:rsidP="00845250">
            <w:pPr>
              <w:pStyle w:val="ListParagraph"/>
              <w:numPr>
                <w:ilvl w:val="1"/>
                <w:numId w:val="2"/>
              </w:numPr>
              <w:spacing w:after="120" w:line="276" w:lineRule="auto"/>
              <w:ind w:left="357" w:hanging="357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Goal setting (behaviour)</w:t>
            </w:r>
          </w:p>
          <w:p w14:paraId="286D55CD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5.1. Information about health consequences</w:t>
            </w:r>
          </w:p>
          <w:p w14:paraId="05816454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10.8. Incentive (outcome)</w:t>
            </w:r>
          </w:p>
          <w:p w14:paraId="4FF2AF99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2C476C8E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4B1C539C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1.9. Commitment</w:t>
            </w:r>
          </w:p>
          <w:p w14:paraId="18C06137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6.3. Information about others’ approval</w:t>
            </w:r>
          </w:p>
          <w:p w14:paraId="275E30C8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lastRenderedPageBreak/>
              <w:t>13.4. Valued self-identify</w:t>
            </w:r>
          </w:p>
        </w:tc>
      </w:tr>
      <w:tr w:rsidR="00845250" w:rsidRPr="009F54DA" w14:paraId="73F7CEBD" w14:textId="77777777" w:rsidTr="00BB1612">
        <w:trPr>
          <w:trHeight w:val="3312"/>
        </w:trPr>
        <w:tc>
          <w:tcPr>
            <w:tcW w:w="3260" w:type="dxa"/>
          </w:tcPr>
          <w:p w14:paraId="13E53A5A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lastRenderedPageBreak/>
              <w:t>Goals (reflective motivation)</w:t>
            </w:r>
          </w:p>
        </w:tc>
        <w:tc>
          <w:tcPr>
            <w:tcW w:w="5666" w:type="dxa"/>
          </w:tcPr>
          <w:p w14:paraId="5BFC422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778363A7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1.1. Goal setting (behaviour)</w:t>
            </w:r>
          </w:p>
          <w:p w14:paraId="0692FD6D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1.3. Goal setting (outcome)</w:t>
            </w:r>
          </w:p>
          <w:p w14:paraId="5010E689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1.5. Review behaviour goal(s)</w:t>
            </w:r>
          </w:p>
          <w:p w14:paraId="3368E87E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1.6. Discrepancy between current behaviour and goal</w:t>
            </w:r>
          </w:p>
          <w:p w14:paraId="5AABF1A1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1.7. Review outcome goal(s)</w:t>
            </w:r>
          </w:p>
          <w:p w14:paraId="11618EC0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66AE066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3D37C501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1.8. Behavioural contract</w:t>
            </w:r>
          </w:p>
          <w:p w14:paraId="1F8D8451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8.7. Graded tasks</w:t>
            </w:r>
          </w:p>
          <w:p w14:paraId="1319DFC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10.2. Material reward (behaviour)</w:t>
            </w:r>
          </w:p>
          <w:p w14:paraId="62ABCD8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</w:tc>
      </w:tr>
      <w:tr w:rsidR="00845250" w:rsidRPr="009F54DA" w14:paraId="34E3C5E2" w14:textId="77777777" w:rsidTr="00BB1612">
        <w:trPr>
          <w:trHeight w:val="71"/>
        </w:trPr>
        <w:tc>
          <w:tcPr>
            <w:tcW w:w="3260" w:type="dxa"/>
          </w:tcPr>
          <w:p w14:paraId="04C312B0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Reinforcement (automatic motivation)</w:t>
            </w:r>
          </w:p>
        </w:tc>
        <w:tc>
          <w:tcPr>
            <w:tcW w:w="5666" w:type="dxa"/>
          </w:tcPr>
          <w:p w14:paraId="4AB09E50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74B63BA0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10.1. Material incentive (behaviour)</w:t>
            </w:r>
          </w:p>
          <w:p w14:paraId="0E1A5DC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10.2. Material reward (behaviour)</w:t>
            </w:r>
          </w:p>
          <w:p w14:paraId="248CE12E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10.3. Non-specific reward</w:t>
            </w:r>
          </w:p>
          <w:p w14:paraId="4BA77089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10.4. Social reward</w:t>
            </w:r>
          </w:p>
          <w:p w14:paraId="719514E7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10.6. Non-specific incentive</w:t>
            </w:r>
          </w:p>
          <w:p w14:paraId="7F4FD9A6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10.8. Incentive (outcome)</w:t>
            </w:r>
          </w:p>
          <w:p w14:paraId="355DBFB3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10.10. Reward (outcome)</w:t>
            </w:r>
          </w:p>
          <w:p w14:paraId="688FFC6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14.2. Punishment</w:t>
            </w:r>
          </w:p>
          <w:p w14:paraId="76D22AF1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77C65C9A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0FDB864C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2.1. Monitoring of behaviour by others without feedback</w:t>
            </w:r>
          </w:p>
          <w:p w14:paraId="73BBB8F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2.2. Feedback on behaviour</w:t>
            </w:r>
          </w:p>
          <w:p w14:paraId="03B3039E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7.1. Prompts/cues</w:t>
            </w:r>
          </w:p>
          <w:p w14:paraId="059E86DD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7.8. Associative learning</w:t>
            </w:r>
          </w:p>
          <w:p w14:paraId="2DA8842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10.9. Self-reward</w:t>
            </w:r>
          </w:p>
        </w:tc>
      </w:tr>
      <w:tr w:rsidR="00845250" w:rsidRPr="009F54DA" w14:paraId="02B89D36" w14:textId="77777777" w:rsidTr="00BB1612">
        <w:trPr>
          <w:trHeight w:val="2336"/>
        </w:trPr>
        <w:tc>
          <w:tcPr>
            <w:tcW w:w="3260" w:type="dxa"/>
          </w:tcPr>
          <w:p w14:paraId="212B3B88" w14:textId="77777777" w:rsidR="00845250" w:rsidRPr="009F54DA" w:rsidRDefault="00845250" w:rsidP="00845250">
            <w:pPr>
              <w:spacing w:line="276" w:lineRule="auto"/>
              <w:jc w:val="left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Emotions (automatic motivation)</w:t>
            </w:r>
          </w:p>
        </w:tc>
        <w:tc>
          <w:tcPr>
            <w:tcW w:w="5666" w:type="dxa"/>
          </w:tcPr>
          <w:p w14:paraId="12978E60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Links</w:t>
            </w:r>
          </w:p>
          <w:p w14:paraId="5B3DB4A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11.2. Reduce negative emotions</w:t>
            </w:r>
          </w:p>
          <w:p w14:paraId="6948DC03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2B2D3B67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Inconclusive</w:t>
            </w:r>
          </w:p>
          <w:p w14:paraId="014CAFDF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5.5. Anticipated regret</w:t>
            </w:r>
          </w:p>
          <w:p w14:paraId="76039C21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5.6. Information about emotional consequences</w:t>
            </w:r>
          </w:p>
          <w:p w14:paraId="03899EF2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12.6. Body changes</w:t>
            </w:r>
          </w:p>
          <w:p w14:paraId="51A359CB" w14:textId="77777777" w:rsidR="00845250" w:rsidRPr="009F54DA" w:rsidRDefault="00845250" w:rsidP="00845250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9F54DA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13.2. Framing/reframing</w:t>
            </w:r>
          </w:p>
        </w:tc>
      </w:tr>
    </w:tbl>
    <w:p w14:paraId="7F73D9A2" w14:textId="77777777" w:rsidR="00845250" w:rsidRPr="009F54DA" w:rsidRDefault="00845250" w:rsidP="00845250">
      <w:pPr>
        <w:spacing w:line="276" w:lineRule="auto"/>
        <w:jc w:val="left"/>
        <w:rPr>
          <w:rFonts w:ascii="Arial" w:hAnsi="Arial" w:cs="Arial"/>
          <w:b/>
          <w:sz w:val="20"/>
          <w:szCs w:val="20"/>
          <w:lang w:eastAsia="en-GB"/>
        </w:rPr>
      </w:pPr>
    </w:p>
    <w:p w14:paraId="1A7124D3" w14:textId="77777777" w:rsidR="00845250" w:rsidRPr="009F54DA" w:rsidRDefault="00845250" w:rsidP="00845250">
      <w:pPr>
        <w:spacing w:line="276" w:lineRule="auto"/>
        <w:jc w:val="left"/>
        <w:rPr>
          <w:rFonts w:ascii="Arial" w:hAnsi="Arial" w:cs="Arial"/>
          <w:b/>
          <w:sz w:val="20"/>
          <w:szCs w:val="20"/>
          <w:lang w:eastAsia="en-GB"/>
        </w:rPr>
      </w:pPr>
    </w:p>
    <w:p w14:paraId="019E7EB5" w14:textId="77777777" w:rsidR="00845250" w:rsidRPr="009F54DA" w:rsidRDefault="00845250" w:rsidP="00845250">
      <w:pPr>
        <w:spacing w:line="276" w:lineRule="auto"/>
        <w:jc w:val="left"/>
        <w:rPr>
          <w:rFonts w:ascii="Arial" w:hAnsi="Arial" w:cs="Arial"/>
          <w:b/>
          <w:sz w:val="20"/>
          <w:szCs w:val="20"/>
          <w:lang w:eastAsia="en-GB"/>
        </w:rPr>
      </w:pPr>
    </w:p>
    <w:p w14:paraId="386FA73E" w14:textId="77777777" w:rsidR="00E72B60" w:rsidRDefault="00E72B60" w:rsidP="00845250">
      <w:pPr>
        <w:spacing w:line="276" w:lineRule="auto"/>
      </w:pPr>
    </w:p>
    <w:sectPr w:rsidR="00E72B60" w:rsidSect="00D005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826BC"/>
    <w:multiLevelType w:val="multilevel"/>
    <w:tmpl w:val="6FFEF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4BF480F"/>
    <w:multiLevelType w:val="multilevel"/>
    <w:tmpl w:val="61C8C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50"/>
    <w:rsid w:val="000128BA"/>
    <w:rsid w:val="00017932"/>
    <w:rsid w:val="00021C68"/>
    <w:rsid w:val="00022C5A"/>
    <w:rsid w:val="000250F8"/>
    <w:rsid w:val="00031A69"/>
    <w:rsid w:val="00032326"/>
    <w:rsid w:val="00053F9C"/>
    <w:rsid w:val="00066217"/>
    <w:rsid w:val="000C163F"/>
    <w:rsid w:val="000C7859"/>
    <w:rsid w:val="000D1863"/>
    <w:rsid w:val="000D2F7F"/>
    <w:rsid w:val="000D336C"/>
    <w:rsid w:val="000E719E"/>
    <w:rsid w:val="00127E99"/>
    <w:rsid w:val="00143F1A"/>
    <w:rsid w:val="001445AE"/>
    <w:rsid w:val="0018378D"/>
    <w:rsid w:val="00192AA1"/>
    <w:rsid w:val="001D4392"/>
    <w:rsid w:val="001E126F"/>
    <w:rsid w:val="001E78DD"/>
    <w:rsid w:val="00235188"/>
    <w:rsid w:val="002425DC"/>
    <w:rsid w:val="002477A7"/>
    <w:rsid w:val="00253053"/>
    <w:rsid w:val="0025590E"/>
    <w:rsid w:val="0027211D"/>
    <w:rsid w:val="002A3629"/>
    <w:rsid w:val="002B72C0"/>
    <w:rsid w:val="002D00BB"/>
    <w:rsid w:val="002F407D"/>
    <w:rsid w:val="00307B48"/>
    <w:rsid w:val="00331F0F"/>
    <w:rsid w:val="003361D3"/>
    <w:rsid w:val="00342018"/>
    <w:rsid w:val="00346231"/>
    <w:rsid w:val="00362E7E"/>
    <w:rsid w:val="00365D44"/>
    <w:rsid w:val="003737D8"/>
    <w:rsid w:val="00376984"/>
    <w:rsid w:val="00387E0F"/>
    <w:rsid w:val="003D1C35"/>
    <w:rsid w:val="003F7162"/>
    <w:rsid w:val="00410119"/>
    <w:rsid w:val="00413402"/>
    <w:rsid w:val="00415779"/>
    <w:rsid w:val="004167DD"/>
    <w:rsid w:val="00417FB4"/>
    <w:rsid w:val="00424979"/>
    <w:rsid w:val="004441BC"/>
    <w:rsid w:val="00447EDD"/>
    <w:rsid w:val="00463ACD"/>
    <w:rsid w:val="004766DA"/>
    <w:rsid w:val="004926FD"/>
    <w:rsid w:val="00495532"/>
    <w:rsid w:val="004D5284"/>
    <w:rsid w:val="004E6205"/>
    <w:rsid w:val="00505CD4"/>
    <w:rsid w:val="00517715"/>
    <w:rsid w:val="00543545"/>
    <w:rsid w:val="005435B1"/>
    <w:rsid w:val="005A0059"/>
    <w:rsid w:val="005D74FF"/>
    <w:rsid w:val="00600AF8"/>
    <w:rsid w:val="006202C2"/>
    <w:rsid w:val="006216B8"/>
    <w:rsid w:val="006245AB"/>
    <w:rsid w:val="00650A15"/>
    <w:rsid w:val="006675AB"/>
    <w:rsid w:val="0067225A"/>
    <w:rsid w:val="00686683"/>
    <w:rsid w:val="006B6524"/>
    <w:rsid w:val="006C5E53"/>
    <w:rsid w:val="006C65C4"/>
    <w:rsid w:val="006D1C9C"/>
    <w:rsid w:val="006E07C7"/>
    <w:rsid w:val="007255E6"/>
    <w:rsid w:val="00733E6E"/>
    <w:rsid w:val="00754C58"/>
    <w:rsid w:val="007567D3"/>
    <w:rsid w:val="00762571"/>
    <w:rsid w:val="0078416F"/>
    <w:rsid w:val="007A2FE1"/>
    <w:rsid w:val="007A5D27"/>
    <w:rsid w:val="007B52DD"/>
    <w:rsid w:val="007C2A3D"/>
    <w:rsid w:val="007D6EE4"/>
    <w:rsid w:val="007F16A8"/>
    <w:rsid w:val="0080739D"/>
    <w:rsid w:val="008103FA"/>
    <w:rsid w:val="00814502"/>
    <w:rsid w:val="0082003E"/>
    <w:rsid w:val="00845250"/>
    <w:rsid w:val="008657EA"/>
    <w:rsid w:val="008B2885"/>
    <w:rsid w:val="008B5277"/>
    <w:rsid w:val="008D70BF"/>
    <w:rsid w:val="008E4400"/>
    <w:rsid w:val="00934531"/>
    <w:rsid w:val="00944197"/>
    <w:rsid w:val="00945865"/>
    <w:rsid w:val="00961B84"/>
    <w:rsid w:val="00977A72"/>
    <w:rsid w:val="009A1EB0"/>
    <w:rsid w:val="009B0BD2"/>
    <w:rsid w:val="009E0235"/>
    <w:rsid w:val="00A03AD7"/>
    <w:rsid w:val="00A10E8D"/>
    <w:rsid w:val="00A24DC3"/>
    <w:rsid w:val="00A26EDE"/>
    <w:rsid w:val="00A33EC4"/>
    <w:rsid w:val="00A50477"/>
    <w:rsid w:val="00A53F7E"/>
    <w:rsid w:val="00A61295"/>
    <w:rsid w:val="00A671F8"/>
    <w:rsid w:val="00A67357"/>
    <w:rsid w:val="00A761E5"/>
    <w:rsid w:val="00A76213"/>
    <w:rsid w:val="00AB79F0"/>
    <w:rsid w:val="00AC5975"/>
    <w:rsid w:val="00AD1F8F"/>
    <w:rsid w:val="00B04562"/>
    <w:rsid w:val="00B07015"/>
    <w:rsid w:val="00B15973"/>
    <w:rsid w:val="00B24613"/>
    <w:rsid w:val="00B300A3"/>
    <w:rsid w:val="00B301B9"/>
    <w:rsid w:val="00B427A4"/>
    <w:rsid w:val="00B55A7E"/>
    <w:rsid w:val="00BB4A31"/>
    <w:rsid w:val="00BD3B24"/>
    <w:rsid w:val="00BF09D1"/>
    <w:rsid w:val="00C0423A"/>
    <w:rsid w:val="00C40623"/>
    <w:rsid w:val="00C65A28"/>
    <w:rsid w:val="00C910C5"/>
    <w:rsid w:val="00CA5C07"/>
    <w:rsid w:val="00CC4429"/>
    <w:rsid w:val="00CD0231"/>
    <w:rsid w:val="00CE5E50"/>
    <w:rsid w:val="00CF7A9F"/>
    <w:rsid w:val="00D00547"/>
    <w:rsid w:val="00D122B7"/>
    <w:rsid w:val="00D372E2"/>
    <w:rsid w:val="00D42D9B"/>
    <w:rsid w:val="00D44FC3"/>
    <w:rsid w:val="00D53C61"/>
    <w:rsid w:val="00D633A4"/>
    <w:rsid w:val="00D703C7"/>
    <w:rsid w:val="00DA770D"/>
    <w:rsid w:val="00DB7A0D"/>
    <w:rsid w:val="00DD78DB"/>
    <w:rsid w:val="00DE0110"/>
    <w:rsid w:val="00DE2292"/>
    <w:rsid w:val="00DE3055"/>
    <w:rsid w:val="00E41A15"/>
    <w:rsid w:val="00E629EF"/>
    <w:rsid w:val="00E64EB6"/>
    <w:rsid w:val="00E72B60"/>
    <w:rsid w:val="00E732D8"/>
    <w:rsid w:val="00E76872"/>
    <w:rsid w:val="00EA1753"/>
    <w:rsid w:val="00EE039E"/>
    <w:rsid w:val="00EE5E18"/>
    <w:rsid w:val="00EF7AB6"/>
    <w:rsid w:val="00F07466"/>
    <w:rsid w:val="00F14BD3"/>
    <w:rsid w:val="00F258B0"/>
    <w:rsid w:val="00F4673D"/>
    <w:rsid w:val="00F477F6"/>
    <w:rsid w:val="00F51051"/>
    <w:rsid w:val="00F521D4"/>
    <w:rsid w:val="00F67592"/>
    <w:rsid w:val="00F72B3D"/>
    <w:rsid w:val="00F9681C"/>
    <w:rsid w:val="00FA527A"/>
    <w:rsid w:val="00FB4B22"/>
    <w:rsid w:val="00FC48E1"/>
    <w:rsid w:val="00FF1DC6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D8EF0E"/>
  <w14:defaultImageDpi w14:val="32767"/>
  <w15:chartTrackingRefBased/>
  <w15:docId w15:val="{7B571580-29A9-F446-AE64-AF437198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45250"/>
    <w:pPr>
      <w:spacing w:line="360" w:lineRule="auto"/>
      <w:jc w:val="both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45250"/>
    <w:rPr>
      <w:rFonts w:eastAsia="Times New Roman"/>
      <w:color w:val="000000"/>
    </w:rPr>
  </w:style>
  <w:style w:type="character" w:customStyle="1" w:styleId="ListParagraphChar">
    <w:name w:val="List Paragraph Char"/>
    <w:link w:val="ListParagraph"/>
    <w:uiPriority w:val="34"/>
    <w:locked/>
    <w:rsid w:val="00845250"/>
    <w:rPr>
      <w:rFonts w:ascii="Calibri" w:eastAsia="Times New Roman" w:hAnsi="Calibri" w:cs="Calibri"/>
      <w:color w:val="000000"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845250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45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Lou</dc:creator>
  <cp:keywords/>
  <dc:description/>
  <cp:lastModifiedBy>Atkins, Lou</cp:lastModifiedBy>
  <cp:revision>2</cp:revision>
  <dcterms:created xsi:type="dcterms:W3CDTF">2020-07-09T12:05:00Z</dcterms:created>
  <dcterms:modified xsi:type="dcterms:W3CDTF">2020-07-09T12:05:00Z</dcterms:modified>
</cp:coreProperties>
</file>