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37A48E2" w14:textId="567388BA" w:rsidR="00D321A3" w:rsidRPr="00D321A3" w:rsidRDefault="00D321A3" w:rsidP="00D321A3">
      <w:pPr>
        <w:spacing w:after="200" w:line="480" w:lineRule="auto"/>
        <w:jc w:val="both"/>
        <w:rPr>
          <w:rFonts w:ascii="Arial" w:eastAsia="Calibri" w:hAnsi="Arial" w:cs="Arial"/>
          <w:b/>
          <w:iCs/>
          <w:color w:val="000000"/>
          <w:sz w:val="20"/>
          <w:szCs w:val="20"/>
        </w:rPr>
      </w:pPr>
      <w:bookmarkStart w:id="0" w:name="_GoBack"/>
      <w:bookmarkEnd w:id="0"/>
      <w:r w:rsidRPr="00D321A3">
        <w:rPr>
          <w:rFonts w:ascii="Arial" w:eastAsia="Calibri" w:hAnsi="Arial" w:cs="Arial"/>
          <w:b/>
          <w:iCs/>
          <w:color w:val="000000"/>
          <w:sz w:val="20"/>
          <w:szCs w:val="20"/>
        </w:rPr>
        <w:t>A</w:t>
      </w:r>
      <w:r>
        <w:rPr>
          <w:rFonts w:ascii="Arial" w:eastAsia="Calibri" w:hAnsi="Arial" w:cs="Arial"/>
          <w:b/>
          <w:iCs/>
          <w:color w:val="000000"/>
          <w:sz w:val="20"/>
          <w:szCs w:val="20"/>
        </w:rPr>
        <w:t>dditional file 7</w:t>
      </w:r>
      <w:r w:rsidRPr="00D321A3">
        <w:rPr>
          <w:rFonts w:ascii="Arial" w:eastAsia="Calibri" w:hAnsi="Arial" w:cs="Arial"/>
          <w:b/>
          <w:iCs/>
          <w:color w:val="000000"/>
          <w:sz w:val="20"/>
          <w:szCs w:val="20"/>
        </w:rPr>
        <w:t xml:space="preserve">: APEASE criteria </w:t>
      </w:r>
    </w:p>
    <w:tbl>
      <w:tblPr>
        <w:tblStyle w:val="PlainTable21"/>
        <w:tblW w:w="9138" w:type="dxa"/>
        <w:tblLook w:val="04A0" w:firstRow="1" w:lastRow="0" w:firstColumn="1" w:lastColumn="0" w:noHBand="0" w:noVBand="1"/>
      </w:tblPr>
      <w:tblGrid>
        <w:gridCol w:w="2802"/>
        <w:gridCol w:w="6336"/>
      </w:tblGrid>
      <w:tr w:rsidR="00D321A3" w:rsidRPr="00D321A3" w14:paraId="292F7A6D" w14:textId="77777777" w:rsidTr="006A607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2" w:type="dxa"/>
          </w:tcPr>
          <w:p w14:paraId="054ABED4" w14:textId="77777777" w:rsidR="00D321A3" w:rsidRPr="00D321A3" w:rsidRDefault="00D321A3" w:rsidP="00D321A3">
            <w:pPr>
              <w:spacing w:before="120" w:after="120" w:line="276" w:lineRule="auto"/>
              <w:jc w:val="both"/>
              <w:rPr>
                <w:rFonts w:ascii="Arial" w:hAnsi="Arial" w:cs="Arial"/>
                <w:sz w:val="20"/>
                <w:szCs w:val="20"/>
              </w:rPr>
            </w:pPr>
            <w:r w:rsidRPr="00D321A3">
              <w:rPr>
                <w:rFonts w:ascii="Arial" w:hAnsi="Arial" w:cs="Arial"/>
                <w:sz w:val="20"/>
                <w:szCs w:val="20"/>
              </w:rPr>
              <w:t>Criterion</w:t>
            </w:r>
          </w:p>
        </w:tc>
        <w:tc>
          <w:tcPr>
            <w:tcW w:w="6336" w:type="dxa"/>
          </w:tcPr>
          <w:p w14:paraId="1F876B63" w14:textId="77777777" w:rsidR="00D321A3" w:rsidRPr="00D321A3" w:rsidRDefault="00D321A3" w:rsidP="00D321A3">
            <w:pPr>
              <w:spacing w:before="120" w:after="120" w:line="276"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D321A3">
              <w:rPr>
                <w:rFonts w:ascii="Arial" w:hAnsi="Arial" w:cs="Arial"/>
                <w:sz w:val="20"/>
                <w:szCs w:val="20"/>
              </w:rPr>
              <w:t>Description</w:t>
            </w:r>
          </w:p>
        </w:tc>
      </w:tr>
      <w:tr w:rsidR="00D321A3" w:rsidRPr="00D321A3" w14:paraId="2660BE79" w14:textId="77777777" w:rsidTr="006A60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2" w:type="dxa"/>
          </w:tcPr>
          <w:p w14:paraId="1D7869B0" w14:textId="77777777" w:rsidR="00D321A3" w:rsidRPr="00D321A3" w:rsidRDefault="00D321A3" w:rsidP="00D321A3">
            <w:pPr>
              <w:snapToGrid w:val="0"/>
              <w:spacing w:before="120" w:after="120" w:line="276" w:lineRule="auto"/>
              <w:jc w:val="both"/>
              <w:rPr>
                <w:rFonts w:ascii="Arial" w:hAnsi="Arial" w:cs="Arial"/>
                <w:sz w:val="20"/>
                <w:szCs w:val="20"/>
              </w:rPr>
            </w:pPr>
            <w:r w:rsidRPr="00D321A3">
              <w:rPr>
                <w:rFonts w:ascii="Arial" w:hAnsi="Arial" w:cs="Arial"/>
                <w:sz w:val="20"/>
                <w:szCs w:val="20"/>
              </w:rPr>
              <w:t>Affordability</w:t>
            </w:r>
          </w:p>
        </w:tc>
        <w:tc>
          <w:tcPr>
            <w:tcW w:w="6336" w:type="dxa"/>
          </w:tcPr>
          <w:p w14:paraId="2F7B405B" w14:textId="77777777" w:rsidR="00D321A3" w:rsidRPr="00D321A3" w:rsidRDefault="00D321A3" w:rsidP="00D321A3">
            <w:pPr>
              <w:snapToGrid w:val="0"/>
              <w:spacing w:before="120" w:after="120"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321A3">
              <w:rPr>
                <w:rFonts w:ascii="Arial" w:hAnsi="Arial" w:cs="Arial"/>
                <w:sz w:val="20"/>
                <w:szCs w:val="20"/>
              </w:rPr>
              <w:t xml:space="preserve">Interventions often have an implicit or explicit budget. It does not matter how effective, or even cost-effective it may be if it cannot be afforded. An intervention is affordable if within an acceptable budget it can be delivered to, or accessed by, all those for whom it would be relevant or of benefit. </w:t>
            </w:r>
          </w:p>
        </w:tc>
      </w:tr>
      <w:tr w:rsidR="00D321A3" w:rsidRPr="00D321A3" w14:paraId="68793059" w14:textId="77777777" w:rsidTr="006A6071">
        <w:tc>
          <w:tcPr>
            <w:cnfStyle w:val="001000000000" w:firstRow="0" w:lastRow="0" w:firstColumn="1" w:lastColumn="0" w:oddVBand="0" w:evenVBand="0" w:oddHBand="0" w:evenHBand="0" w:firstRowFirstColumn="0" w:firstRowLastColumn="0" w:lastRowFirstColumn="0" w:lastRowLastColumn="0"/>
            <w:tcW w:w="2802" w:type="dxa"/>
          </w:tcPr>
          <w:p w14:paraId="6877F282" w14:textId="77777777" w:rsidR="00D321A3" w:rsidRPr="00D321A3" w:rsidRDefault="00D321A3" w:rsidP="00D321A3">
            <w:pPr>
              <w:snapToGrid w:val="0"/>
              <w:spacing w:before="120" w:after="120" w:line="276" w:lineRule="auto"/>
              <w:jc w:val="both"/>
              <w:rPr>
                <w:rFonts w:ascii="Arial" w:hAnsi="Arial" w:cs="Arial"/>
                <w:sz w:val="20"/>
                <w:szCs w:val="20"/>
              </w:rPr>
            </w:pPr>
            <w:r w:rsidRPr="00D321A3">
              <w:rPr>
                <w:rFonts w:ascii="Arial" w:hAnsi="Arial" w:cs="Arial"/>
                <w:sz w:val="20"/>
                <w:szCs w:val="20"/>
              </w:rPr>
              <w:t>Practicability</w:t>
            </w:r>
          </w:p>
        </w:tc>
        <w:tc>
          <w:tcPr>
            <w:tcW w:w="6336" w:type="dxa"/>
          </w:tcPr>
          <w:p w14:paraId="5C9F5B2A" w14:textId="77777777" w:rsidR="00D321A3" w:rsidRPr="00D321A3" w:rsidRDefault="00D321A3" w:rsidP="00D321A3">
            <w:pPr>
              <w:snapToGrid w:val="0"/>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321A3">
              <w:rPr>
                <w:rFonts w:ascii="Arial" w:hAnsi="Arial" w:cs="Arial"/>
                <w:sz w:val="20"/>
                <w:szCs w:val="20"/>
              </w:rPr>
              <w:t>An intervention is practicable to the extent that it can be delivered as designed through the means intended to the target population. For example, an intervention may be effective when delivered by highly selected and trained staff and extensive resources but in routine clinical practice this may not be achievable.</w:t>
            </w:r>
          </w:p>
        </w:tc>
      </w:tr>
      <w:tr w:rsidR="00D321A3" w:rsidRPr="00D321A3" w14:paraId="08F21DF4" w14:textId="77777777" w:rsidTr="006A60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2" w:type="dxa"/>
          </w:tcPr>
          <w:p w14:paraId="0C40BB39" w14:textId="77777777" w:rsidR="00D321A3" w:rsidRPr="00D321A3" w:rsidRDefault="00D321A3" w:rsidP="00D321A3">
            <w:pPr>
              <w:snapToGrid w:val="0"/>
              <w:spacing w:before="120" w:after="120" w:line="276" w:lineRule="auto"/>
              <w:jc w:val="both"/>
              <w:rPr>
                <w:rFonts w:ascii="Arial" w:hAnsi="Arial" w:cs="Arial"/>
                <w:sz w:val="20"/>
                <w:szCs w:val="20"/>
              </w:rPr>
            </w:pPr>
            <w:r w:rsidRPr="00D321A3">
              <w:rPr>
                <w:rFonts w:ascii="Arial" w:hAnsi="Arial" w:cs="Arial"/>
                <w:sz w:val="20"/>
                <w:szCs w:val="20"/>
              </w:rPr>
              <w:t>Effectiveness and cost-effectiveness</w:t>
            </w:r>
          </w:p>
        </w:tc>
        <w:tc>
          <w:tcPr>
            <w:tcW w:w="6336" w:type="dxa"/>
          </w:tcPr>
          <w:p w14:paraId="2A5B3AF9" w14:textId="77777777" w:rsidR="00D321A3" w:rsidRPr="00D321A3" w:rsidRDefault="00D321A3" w:rsidP="00D321A3">
            <w:pPr>
              <w:snapToGrid w:val="0"/>
              <w:spacing w:before="120" w:after="120" w:line="276" w:lineRule="auto"/>
              <w:jc w:val="both"/>
              <w:cnfStyle w:val="000000100000" w:firstRow="0" w:lastRow="0" w:firstColumn="0" w:lastColumn="0" w:oddVBand="0" w:evenVBand="0" w:oddHBand="1" w:evenHBand="0" w:firstRowFirstColumn="0" w:firstRowLastColumn="0" w:lastRowFirstColumn="0" w:lastRowLastColumn="0"/>
              <w:rPr>
                <w:rFonts w:ascii="Arial" w:eastAsia="MS Gothic" w:hAnsi="Arial" w:cs="Arial"/>
                <w:i/>
                <w:iCs/>
                <w:color w:val="4F81BD"/>
                <w:spacing w:val="15"/>
                <w:sz w:val="20"/>
                <w:szCs w:val="20"/>
              </w:rPr>
            </w:pPr>
            <w:r w:rsidRPr="00D321A3">
              <w:rPr>
                <w:rFonts w:ascii="Arial" w:hAnsi="Arial" w:cs="Arial"/>
                <w:sz w:val="20"/>
                <w:szCs w:val="20"/>
              </w:rPr>
              <w:t xml:space="preserve">Effectiveness refers to the effect size of the intervention in relation to the desired objectives in a </w:t>
            </w:r>
            <w:proofErr w:type="gramStart"/>
            <w:r w:rsidRPr="00D321A3">
              <w:rPr>
                <w:rFonts w:ascii="Arial" w:hAnsi="Arial" w:cs="Arial"/>
                <w:sz w:val="20"/>
                <w:szCs w:val="20"/>
              </w:rPr>
              <w:t>real world</w:t>
            </w:r>
            <w:proofErr w:type="gramEnd"/>
            <w:r w:rsidRPr="00D321A3">
              <w:rPr>
                <w:rFonts w:ascii="Arial" w:hAnsi="Arial" w:cs="Arial"/>
                <w:sz w:val="20"/>
                <w:szCs w:val="20"/>
              </w:rPr>
              <w:t xml:space="preserve"> context. It is distinct from efficacy which refers to the effect size of the intervention when delivered under optimal conditions in comparative evaluations. Cost-effectiveness refers to the ratio of effect (in a way that has to be defined, and taking account of differences in timescale between intervention delivery and intervention effect) to cost. If two interventions are equally effective then clearly the most cost-effective should be chosen. If one is more effective but less cost-effective than another, other issues such as affordability, come to the forefront of the </w:t>
            </w:r>
            <w:proofErr w:type="gramStart"/>
            <w:r w:rsidRPr="00D321A3">
              <w:rPr>
                <w:rFonts w:ascii="Arial" w:hAnsi="Arial" w:cs="Arial"/>
                <w:sz w:val="20"/>
                <w:szCs w:val="20"/>
              </w:rPr>
              <w:t>decision making</w:t>
            </w:r>
            <w:proofErr w:type="gramEnd"/>
            <w:r w:rsidRPr="00D321A3">
              <w:rPr>
                <w:rFonts w:ascii="Arial" w:hAnsi="Arial" w:cs="Arial"/>
                <w:sz w:val="20"/>
                <w:szCs w:val="20"/>
              </w:rPr>
              <w:t xml:space="preserve"> process.</w:t>
            </w:r>
          </w:p>
        </w:tc>
      </w:tr>
      <w:tr w:rsidR="00D321A3" w:rsidRPr="00D321A3" w14:paraId="4CECE6F7" w14:textId="77777777" w:rsidTr="006A6071">
        <w:tc>
          <w:tcPr>
            <w:cnfStyle w:val="001000000000" w:firstRow="0" w:lastRow="0" w:firstColumn="1" w:lastColumn="0" w:oddVBand="0" w:evenVBand="0" w:oddHBand="0" w:evenHBand="0" w:firstRowFirstColumn="0" w:firstRowLastColumn="0" w:lastRowFirstColumn="0" w:lastRowLastColumn="0"/>
            <w:tcW w:w="2802" w:type="dxa"/>
          </w:tcPr>
          <w:p w14:paraId="4B73D5A8" w14:textId="77777777" w:rsidR="00D321A3" w:rsidRPr="00D321A3" w:rsidRDefault="00D321A3" w:rsidP="00D321A3">
            <w:pPr>
              <w:snapToGrid w:val="0"/>
              <w:spacing w:before="120" w:after="120" w:line="276" w:lineRule="auto"/>
              <w:jc w:val="both"/>
              <w:rPr>
                <w:rFonts w:ascii="Arial" w:hAnsi="Arial" w:cs="Arial"/>
                <w:sz w:val="20"/>
                <w:szCs w:val="20"/>
              </w:rPr>
            </w:pPr>
            <w:r w:rsidRPr="00D321A3">
              <w:rPr>
                <w:rFonts w:ascii="Arial" w:hAnsi="Arial" w:cs="Arial"/>
                <w:sz w:val="20"/>
                <w:szCs w:val="20"/>
              </w:rPr>
              <w:t>Acceptability</w:t>
            </w:r>
          </w:p>
        </w:tc>
        <w:tc>
          <w:tcPr>
            <w:tcW w:w="6336" w:type="dxa"/>
          </w:tcPr>
          <w:p w14:paraId="35D87AD4" w14:textId="77777777" w:rsidR="00D321A3" w:rsidRPr="00D321A3" w:rsidRDefault="00D321A3" w:rsidP="00D321A3">
            <w:pPr>
              <w:snapToGrid w:val="0"/>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ascii="Arial" w:eastAsia="MS Gothic" w:hAnsi="Arial" w:cs="Arial"/>
                <w:i/>
                <w:iCs/>
                <w:color w:val="4F81BD"/>
                <w:spacing w:val="15"/>
                <w:sz w:val="20"/>
                <w:szCs w:val="20"/>
              </w:rPr>
            </w:pPr>
            <w:r w:rsidRPr="00D321A3">
              <w:rPr>
                <w:rFonts w:ascii="Arial" w:hAnsi="Arial" w:cs="Arial"/>
                <w:sz w:val="20"/>
                <w:szCs w:val="20"/>
              </w:rPr>
              <w:t xml:space="preserve">Acceptability refers to the extent to which an intervention is judged to be appropriate by relevant stakeholders (public, professional and political). Acceptability may differ for different stakeholders. For example, the general public may favour an intervention that restricts marketing of alcohol or tobacco but politicians considering legislation on this may take a different view. Interventions that appear to limit agency on the part of the target group are often only considered acceptable for more serious problems </w:t>
            </w:r>
            <w:r w:rsidRPr="00D321A3">
              <w:rPr>
                <w:rFonts w:ascii="Arial" w:hAnsi="Arial" w:cs="Arial"/>
                <w:sz w:val="20"/>
                <w:szCs w:val="20"/>
              </w:rPr>
              <w:fldChar w:fldCharType="begin"/>
            </w:r>
            <w:r w:rsidRPr="00D321A3">
              <w:rPr>
                <w:rFonts w:ascii="Arial" w:hAnsi="Arial" w:cs="Arial"/>
                <w:sz w:val="20"/>
                <w:szCs w:val="20"/>
              </w:rPr>
              <w:instrText xml:space="preserve"> ADDIN EN.CITE &lt;EndNote&gt;&lt;Cite&gt;&lt;Author&gt;Bioethics&lt;/Author&gt;&lt;Year&gt;2007&lt;/Year&gt;&lt;RecNum&gt;15&lt;/RecNum&gt;&lt;DisplayText&gt;(19)&lt;/DisplayText&gt;&lt;record&gt;&lt;rec-number&gt;15&lt;/rec-number&gt;&lt;foreign-keys&gt;&lt;key app="EN" db-id="t05prda28sxt58eeaswxzddjv0dt5xtdpz9w"&gt;15&lt;/key&gt;&lt;/foreign-keys&gt;&lt;ref-type name="Generic"&gt;13&lt;/ref-type&gt;&lt;contributors&gt;&lt;authors&gt;&lt;author&gt;Nuffield Council on Bioethics,&lt;/author&gt;&lt;/authors&gt;&lt;/contributors&gt;&lt;titles&gt;&lt;title&gt;Public health: ethical issues&lt;/title&gt;&lt;/titles&gt;&lt;dates&gt;&lt;year&gt;2007&lt;/year&gt;&lt;pub-dates&gt;&lt;date&gt;November 2007&lt;/date&gt;&lt;/pub-dates&gt;&lt;/dates&gt;&lt;publisher&gt;Cambridge Publishers Ltd&lt;/publisher&gt;&lt;urls&gt;&lt;/urls&gt;&lt;/record&gt;&lt;/Cite&gt;&lt;Cite&gt;&lt;Author&gt;Bioethics&lt;/Author&gt;&lt;Year&gt;2007&lt;/Year&gt;&lt;RecNum&gt;15&lt;/RecNum&gt;&lt;record&gt;&lt;rec-number&gt;15&lt;/rec-number&gt;&lt;foreign-keys&gt;&lt;key app="EN" db-id="t05prda28sxt58eeaswxzddjv0dt5xtdpz9w"&gt;15&lt;/key&gt;&lt;/foreign-keys&gt;&lt;ref-type name="Generic"&gt;13&lt;/ref-type&gt;&lt;contributors&gt;&lt;authors&gt;&lt;author&gt;Nuffield Council on Bioethics,&lt;/author&gt;&lt;/authors&gt;&lt;/contributors&gt;&lt;titles&gt;&lt;title&gt;Public health: ethical issues&lt;/title&gt;&lt;/titles&gt;&lt;dates&gt;&lt;year&gt;2007&lt;/year&gt;&lt;pub-dates&gt;&lt;date&gt;November 2007&lt;/date&gt;&lt;/pub-dates&gt;&lt;/dates&gt;&lt;publisher&gt;Cambridge Publishers Ltd&lt;/publisher&gt;&lt;urls&gt;&lt;/urls&gt;&lt;/record&gt;&lt;/Cite&gt;&lt;/EndNote&gt;</w:instrText>
            </w:r>
            <w:r w:rsidRPr="00D321A3">
              <w:rPr>
                <w:rFonts w:ascii="Arial" w:hAnsi="Arial" w:cs="Arial"/>
                <w:sz w:val="20"/>
                <w:szCs w:val="20"/>
              </w:rPr>
              <w:fldChar w:fldCharType="separate"/>
            </w:r>
            <w:r w:rsidRPr="00D321A3">
              <w:rPr>
                <w:rFonts w:ascii="Arial" w:hAnsi="Arial" w:cs="Arial"/>
                <w:noProof/>
                <w:sz w:val="20"/>
                <w:szCs w:val="20"/>
              </w:rPr>
              <w:t>(19)</w:t>
            </w:r>
            <w:r w:rsidRPr="00D321A3">
              <w:rPr>
                <w:rFonts w:ascii="Arial" w:hAnsi="Arial" w:cs="Arial"/>
                <w:sz w:val="20"/>
                <w:szCs w:val="20"/>
              </w:rPr>
              <w:fldChar w:fldCharType="end"/>
            </w:r>
            <w:r w:rsidRPr="00D321A3">
              <w:rPr>
                <w:rFonts w:ascii="Arial" w:hAnsi="Arial" w:cs="Arial"/>
                <w:sz w:val="20"/>
                <w:szCs w:val="20"/>
              </w:rPr>
              <w:t>.</w:t>
            </w:r>
          </w:p>
        </w:tc>
      </w:tr>
      <w:tr w:rsidR="00D321A3" w:rsidRPr="00D321A3" w14:paraId="0820AD1E" w14:textId="77777777" w:rsidTr="006A60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2" w:type="dxa"/>
          </w:tcPr>
          <w:p w14:paraId="3765644D" w14:textId="77777777" w:rsidR="00D321A3" w:rsidRPr="00D321A3" w:rsidRDefault="00D321A3" w:rsidP="00D321A3">
            <w:pPr>
              <w:snapToGrid w:val="0"/>
              <w:spacing w:before="120" w:after="120" w:line="276" w:lineRule="auto"/>
              <w:jc w:val="both"/>
              <w:rPr>
                <w:rFonts w:ascii="Arial" w:hAnsi="Arial" w:cs="Arial"/>
                <w:sz w:val="20"/>
                <w:szCs w:val="20"/>
              </w:rPr>
            </w:pPr>
            <w:r w:rsidRPr="00D321A3">
              <w:rPr>
                <w:rFonts w:ascii="Arial" w:hAnsi="Arial" w:cs="Arial"/>
                <w:sz w:val="20"/>
                <w:szCs w:val="20"/>
              </w:rPr>
              <w:t>Side-effects/safety</w:t>
            </w:r>
          </w:p>
        </w:tc>
        <w:tc>
          <w:tcPr>
            <w:tcW w:w="6336" w:type="dxa"/>
          </w:tcPr>
          <w:p w14:paraId="47C5BE41" w14:textId="77777777" w:rsidR="00D321A3" w:rsidRPr="00D321A3" w:rsidRDefault="00D321A3" w:rsidP="00D321A3">
            <w:pPr>
              <w:snapToGrid w:val="0"/>
              <w:spacing w:before="120" w:after="120"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321A3">
              <w:rPr>
                <w:rFonts w:ascii="Arial" w:hAnsi="Arial" w:cs="Arial"/>
                <w:sz w:val="20"/>
                <w:szCs w:val="20"/>
              </w:rPr>
              <w:t>An intervention may be effective and practicable, but have unwanted side-effects or unintended consequences. These need to be considered when deciding whether or not to proceed.</w:t>
            </w:r>
          </w:p>
        </w:tc>
      </w:tr>
      <w:tr w:rsidR="00D321A3" w:rsidRPr="00D321A3" w14:paraId="61BC693E" w14:textId="77777777" w:rsidTr="006A6071">
        <w:tc>
          <w:tcPr>
            <w:cnfStyle w:val="001000000000" w:firstRow="0" w:lastRow="0" w:firstColumn="1" w:lastColumn="0" w:oddVBand="0" w:evenVBand="0" w:oddHBand="0" w:evenHBand="0" w:firstRowFirstColumn="0" w:firstRowLastColumn="0" w:lastRowFirstColumn="0" w:lastRowLastColumn="0"/>
            <w:tcW w:w="2802" w:type="dxa"/>
          </w:tcPr>
          <w:p w14:paraId="689E01C8" w14:textId="77777777" w:rsidR="00D321A3" w:rsidRPr="00D321A3" w:rsidRDefault="00D321A3" w:rsidP="00D321A3">
            <w:pPr>
              <w:snapToGrid w:val="0"/>
              <w:spacing w:before="120" w:after="120" w:line="276" w:lineRule="auto"/>
              <w:jc w:val="both"/>
              <w:rPr>
                <w:rFonts w:ascii="Arial" w:hAnsi="Arial" w:cs="Arial"/>
                <w:sz w:val="20"/>
                <w:szCs w:val="20"/>
              </w:rPr>
            </w:pPr>
            <w:r w:rsidRPr="00D321A3">
              <w:rPr>
                <w:rFonts w:ascii="Arial" w:hAnsi="Arial" w:cs="Arial"/>
                <w:sz w:val="20"/>
                <w:szCs w:val="20"/>
              </w:rPr>
              <w:t>Equity</w:t>
            </w:r>
          </w:p>
        </w:tc>
        <w:tc>
          <w:tcPr>
            <w:tcW w:w="6336" w:type="dxa"/>
          </w:tcPr>
          <w:p w14:paraId="10B7441B" w14:textId="77777777" w:rsidR="00D321A3" w:rsidRPr="00D321A3" w:rsidRDefault="00D321A3" w:rsidP="00D321A3">
            <w:pPr>
              <w:snapToGrid w:val="0"/>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321A3">
              <w:rPr>
                <w:rFonts w:ascii="Arial" w:hAnsi="Arial" w:cs="Arial"/>
                <w:sz w:val="20"/>
                <w:szCs w:val="20"/>
              </w:rPr>
              <w:t xml:space="preserve">An important consideration is the extent to which an intervention may reduce or increase the disparities in standard of living, wellbeing or health between different sectors of society. </w:t>
            </w:r>
          </w:p>
        </w:tc>
      </w:tr>
    </w:tbl>
    <w:p w14:paraId="141E5A86" w14:textId="77777777" w:rsidR="00D321A3" w:rsidRPr="00D321A3" w:rsidRDefault="00D321A3" w:rsidP="00D321A3">
      <w:pPr>
        <w:rPr>
          <w:rFonts w:ascii="Arial" w:eastAsia="Calibri" w:hAnsi="Arial" w:cs="Arial"/>
          <w:b/>
          <w:iCs/>
          <w:noProof/>
          <w:sz w:val="20"/>
          <w:szCs w:val="20"/>
        </w:rPr>
      </w:pPr>
    </w:p>
    <w:p w14:paraId="6B8388D7" w14:textId="77777777" w:rsidR="00D321A3" w:rsidRPr="00D321A3" w:rsidRDefault="00D321A3" w:rsidP="00D321A3">
      <w:pPr>
        <w:rPr>
          <w:rFonts w:ascii="Arial" w:eastAsia="Calibri" w:hAnsi="Arial" w:cs="Arial"/>
          <w:b/>
          <w:iCs/>
          <w:noProof/>
          <w:sz w:val="20"/>
          <w:szCs w:val="20"/>
        </w:rPr>
      </w:pPr>
    </w:p>
    <w:p w14:paraId="302588DB" w14:textId="77777777" w:rsidR="00D321A3" w:rsidRPr="00D321A3" w:rsidRDefault="00D321A3" w:rsidP="00D321A3">
      <w:pPr>
        <w:rPr>
          <w:rFonts w:ascii="Arial" w:eastAsia="Calibri" w:hAnsi="Arial" w:cs="Arial"/>
          <w:b/>
          <w:iCs/>
          <w:noProof/>
          <w:sz w:val="20"/>
          <w:szCs w:val="20"/>
        </w:rPr>
      </w:pPr>
    </w:p>
    <w:p w14:paraId="6470335B" w14:textId="77777777" w:rsidR="00E72B60" w:rsidRDefault="00E72B60"/>
    <w:sectPr w:rsidR="00E72B60" w:rsidSect="00D00547">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21A3"/>
    <w:rsid w:val="000128BA"/>
    <w:rsid w:val="00017932"/>
    <w:rsid w:val="00021C68"/>
    <w:rsid w:val="00022C5A"/>
    <w:rsid w:val="000250F8"/>
    <w:rsid w:val="00031017"/>
    <w:rsid w:val="00031A69"/>
    <w:rsid w:val="00032326"/>
    <w:rsid w:val="0004428F"/>
    <w:rsid w:val="00053F57"/>
    <w:rsid w:val="00053F9C"/>
    <w:rsid w:val="00063E0A"/>
    <w:rsid w:val="00066217"/>
    <w:rsid w:val="00070703"/>
    <w:rsid w:val="00082855"/>
    <w:rsid w:val="00095EE9"/>
    <w:rsid w:val="000C163F"/>
    <w:rsid w:val="000C7859"/>
    <w:rsid w:val="000C7AE4"/>
    <w:rsid w:val="000D1863"/>
    <w:rsid w:val="000D2F7F"/>
    <w:rsid w:val="000D336C"/>
    <w:rsid w:val="000D67CC"/>
    <w:rsid w:val="000E07D5"/>
    <w:rsid w:val="000E719E"/>
    <w:rsid w:val="001030E9"/>
    <w:rsid w:val="00117C5E"/>
    <w:rsid w:val="00127E99"/>
    <w:rsid w:val="00143F1A"/>
    <w:rsid w:val="001445AE"/>
    <w:rsid w:val="00182034"/>
    <w:rsid w:val="0018378D"/>
    <w:rsid w:val="00192AA1"/>
    <w:rsid w:val="001C3E3F"/>
    <w:rsid w:val="001D1BC8"/>
    <w:rsid w:val="001D4392"/>
    <w:rsid w:val="001E126F"/>
    <w:rsid w:val="001E5DD7"/>
    <w:rsid w:val="001E78DD"/>
    <w:rsid w:val="0022594A"/>
    <w:rsid w:val="00231636"/>
    <w:rsid w:val="00235188"/>
    <w:rsid w:val="002425DC"/>
    <w:rsid w:val="002477A7"/>
    <w:rsid w:val="00253053"/>
    <w:rsid w:val="0025590E"/>
    <w:rsid w:val="00263AA8"/>
    <w:rsid w:val="0027211D"/>
    <w:rsid w:val="002A3629"/>
    <w:rsid w:val="002B72C0"/>
    <w:rsid w:val="002D00BB"/>
    <w:rsid w:val="002D6497"/>
    <w:rsid w:val="002D64E6"/>
    <w:rsid w:val="002F407D"/>
    <w:rsid w:val="00307B48"/>
    <w:rsid w:val="00323BCE"/>
    <w:rsid w:val="00331F0F"/>
    <w:rsid w:val="003337AA"/>
    <w:rsid w:val="003361D3"/>
    <w:rsid w:val="00336F5E"/>
    <w:rsid w:val="00341BD4"/>
    <w:rsid w:val="00341D2B"/>
    <w:rsid w:val="00342018"/>
    <w:rsid w:val="00346231"/>
    <w:rsid w:val="00352763"/>
    <w:rsid w:val="00362E7E"/>
    <w:rsid w:val="00365D44"/>
    <w:rsid w:val="00367B0C"/>
    <w:rsid w:val="003737D8"/>
    <w:rsid w:val="00376984"/>
    <w:rsid w:val="00387E0F"/>
    <w:rsid w:val="003A34B9"/>
    <w:rsid w:val="003A523D"/>
    <w:rsid w:val="003B6E04"/>
    <w:rsid w:val="003D1C35"/>
    <w:rsid w:val="003D354D"/>
    <w:rsid w:val="003F7162"/>
    <w:rsid w:val="00410119"/>
    <w:rsid w:val="004121D8"/>
    <w:rsid w:val="00413402"/>
    <w:rsid w:val="00415779"/>
    <w:rsid w:val="004167DD"/>
    <w:rsid w:val="00417FB4"/>
    <w:rsid w:val="004247C4"/>
    <w:rsid w:val="00424979"/>
    <w:rsid w:val="004441BC"/>
    <w:rsid w:val="00447EDD"/>
    <w:rsid w:val="0045694B"/>
    <w:rsid w:val="00463ACD"/>
    <w:rsid w:val="004766DA"/>
    <w:rsid w:val="004926FD"/>
    <w:rsid w:val="00495532"/>
    <w:rsid w:val="00496515"/>
    <w:rsid w:val="004C5CED"/>
    <w:rsid w:val="004D5284"/>
    <w:rsid w:val="004E6205"/>
    <w:rsid w:val="00505CD4"/>
    <w:rsid w:val="00506AE2"/>
    <w:rsid w:val="00512904"/>
    <w:rsid w:val="00517715"/>
    <w:rsid w:val="00524671"/>
    <w:rsid w:val="00543545"/>
    <w:rsid w:val="005435B1"/>
    <w:rsid w:val="0056236F"/>
    <w:rsid w:val="005819C3"/>
    <w:rsid w:val="00582846"/>
    <w:rsid w:val="005A0059"/>
    <w:rsid w:val="005A7048"/>
    <w:rsid w:val="005B41E1"/>
    <w:rsid w:val="005C0295"/>
    <w:rsid w:val="005C5D34"/>
    <w:rsid w:val="005D74FF"/>
    <w:rsid w:val="00600AE0"/>
    <w:rsid w:val="00600AF8"/>
    <w:rsid w:val="006202C2"/>
    <w:rsid w:val="006216B8"/>
    <w:rsid w:val="006245AB"/>
    <w:rsid w:val="00650A15"/>
    <w:rsid w:val="006551FF"/>
    <w:rsid w:val="006650A4"/>
    <w:rsid w:val="006675AB"/>
    <w:rsid w:val="0067225A"/>
    <w:rsid w:val="00686683"/>
    <w:rsid w:val="006A6313"/>
    <w:rsid w:val="006B2438"/>
    <w:rsid w:val="006B6524"/>
    <w:rsid w:val="006C5E53"/>
    <w:rsid w:val="006C65C4"/>
    <w:rsid w:val="006D1C9C"/>
    <w:rsid w:val="006E07C7"/>
    <w:rsid w:val="007255E6"/>
    <w:rsid w:val="00733E6E"/>
    <w:rsid w:val="00740884"/>
    <w:rsid w:val="00754C58"/>
    <w:rsid w:val="007567D3"/>
    <w:rsid w:val="00762571"/>
    <w:rsid w:val="007773C9"/>
    <w:rsid w:val="0078416F"/>
    <w:rsid w:val="007A2FE1"/>
    <w:rsid w:val="007A5D27"/>
    <w:rsid w:val="007B52DD"/>
    <w:rsid w:val="007C2A3D"/>
    <w:rsid w:val="007D6EE4"/>
    <w:rsid w:val="007D7A7C"/>
    <w:rsid w:val="007E412A"/>
    <w:rsid w:val="007F16A8"/>
    <w:rsid w:val="008064D3"/>
    <w:rsid w:val="0080739D"/>
    <w:rsid w:val="008103FA"/>
    <w:rsid w:val="00813D4D"/>
    <w:rsid w:val="00814502"/>
    <w:rsid w:val="0082003E"/>
    <w:rsid w:val="00831154"/>
    <w:rsid w:val="008657EA"/>
    <w:rsid w:val="008734A0"/>
    <w:rsid w:val="008B2885"/>
    <w:rsid w:val="008B4169"/>
    <w:rsid w:val="008B41BE"/>
    <w:rsid w:val="008B5277"/>
    <w:rsid w:val="008C016A"/>
    <w:rsid w:val="008D3BBB"/>
    <w:rsid w:val="008D70BF"/>
    <w:rsid w:val="008E4400"/>
    <w:rsid w:val="00920F80"/>
    <w:rsid w:val="00934531"/>
    <w:rsid w:val="00944197"/>
    <w:rsid w:val="00945865"/>
    <w:rsid w:val="00961B84"/>
    <w:rsid w:val="00965072"/>
    <w:rsid w:val="00977A72"/>
    <w:rsid w:val="009A0D48"/>
    <w:rsid w:val="009A1EB0"/>
    <w:rsid w:val="009B0BD2"/>
    <w:rsid w:val="009B7A02"/>
    <w:rsid w:val="009C7EE1"/>
    <w:rsid w:val="009E0235"/>
    <w:rsid w:val="009F0286"/>
    <w:rsid w:val="00A03AD7"/>
    <w:rsid w:val="00A10E8D"/>
    <w:rsid w:val="00A24DC3"/>
    <w:rsid w:val="00A26EDE"/>
    <w:rsid w:val="00A27B0C"/>
    <w:rsid w:val="00A33EC4"/>
    <w:rsid w:val="00A50477"/>
    <w:rsid w:val="00A53F7E"/>
    <w:rsid w:val="00A61295"/>
    <w:rsid w:val="00A63429"/>
    <w:rsid w:val="00A671F8"/>
    <w:rsid w:val="00A67357"/>
    <w:rsid w:val="00A761E5"/>
    <w:rsid w:val="00A76213"/>
    <w:rsid w:val="00A85BAC"/>
    <w:rsid w:val="00A935FF"/>
    <w:rsid w:val="00AB3549"/>
    <w:rsid w:val="00AB79F0"/>
    <w:rsid w:val="00AC5975"/>
    <w:rsid w:val="00AD1F8F"/>
    <w:rsid w:val="00AD61E5"/>
    <w:rsid w:val="00AE5D9D"/>
    <w:rsid w:val="00AF5235"/>
    <w:rsid w:val="00AF52B8"/>
    <w:rsid w:val="00B04562"/>
    <w:rsid w:val="00B04CB8"/>
    <w:rsid w:val="00B07015"/>
    <w:rsid w:val="00B15973"/>
    <w:rsid w:val="00B24613"/>
    <w:rsid w:val="00B300A3"/>
    <w:rsid w:val="00B301B9"/>
    <w:rsid w:val="00B3749E"/>
    <w:rsid w:val="00B427A4"/>
    <w:rsid w:val="00B50D95"/>
    <w:rsid w:val="00B55A7E"/>
    <w:rsid w:val="00B60C32"/>
    <w:rsid w:val="00B93B98"/>
    <w:rsid w:val="00B9574F"/>
    <w:rsid w:val="00BB4A31"/>
    <w:rsid w:val="00BD3B24"/>
    <w:rsid w:val="00BF09D1"/>
    <w:rsid w:val="00C0423A"/>
    <w:rsid w:val="00C152BA"/>
    <w:rsid w:val="00C40623"/>
    <w:rsid w:val="00C54EFA"/>
    <w:rsid w:val="00C5768D"/>
    <w:rsid w:val="00C63BB0"/>
    <w:rsid w:val="00C63F72"/>
    <w:rsid w:val="00C65A28"/>
    <w:rsid w:val="00C87E75"/>
    <w:rsid w:val="00C910C5"/>
    <w:rsid w:val="00CA3953"/>
    <w:rsid w:val="00CA5C07"/>
    <w:rsid w:val="00CA7406"/>
    <w:rsid w:val="00CB2FAB"/>
    <w:rsid w:val="00CC4429"/>
    <w:rsid w:val="00CD0231"/>
    <w:rsid w:val="00CD2EFF"/>
    <w:rsid w:val="00CE5E50"/>
    <w:rsid w:val="00CF48AE"/>
    <w:rsid w:val="00CF7A9F"/>
    <w:rsid w:val="00CF7C48"/>
    <w:rsid w:val="00D00547"/>
    <w:rsid w:val="00D122B7"/>
    <w:rsid w:val="00D321A3"/>
    <w:rsid w:val="00D372E2"/>
    <w:rsid w:val="00D42D9B"/>
    <w:rsid w:val="00D44FC3"/>
    <w:rsid w:val="00D53C61"/>
    <w:rsid w:val="00D703C7"/>
    <w:rsid w:val="00D845B2"/>
    <w:rsid w:val="00DA770D"/>
    <w:rsid w:val="00DA7EB9"/>
    <w:rsid w:val="00DB7A0D"/>
    <w:rsid w:val="00DC7436"/>
    <w:rsid w:val="00DD78DB"/>
    <w:rsid w:val="00DE0110"/>
    <w:rsid w:val="00DE2292"/>
    <w:rsid w:val="00DE3055"/>
    <w:rsid w:val="00E21B2F"/>
    <w:rsid w:val="00E41A15"/>
    <w:rsid w:val="00E60AD5"/>
    <w:rsid w:val="00E629EF"/>
    <w:rsid w:val="00E64EB6"/>
    <w:rsid w:val="00E72B60"/>
    <w:rsid w:val="00E732D8"/>
    <w:rsid w:val="00E73C3F"/>
    <w:rsid w:val="00E75E2A"/>
    <w:rsid w:val="00E76872"/>
    <w:rsid w:val="00EA1753"/>
    <w:rsid w:val="00EB068D"/>
    <w:rsid w:val="00EB59F2"/>
    <w:rsid w:val="00ED342E"/>
    <w:rsid w:val="00EE039E"/>
    <w:rsid w:val="00EE5E18"/>
    <w:rsid w:val="00EF6A4D"/>
    <w:rsid w:val="00EF7AB6"/>
    <w:rsid w:val="00F038F5"/>
    <w:rsid w:val="00F07466"/>
    <w:rsid w:val="00F14BD3"/>
    <w:rsid w:val="00F173F9"/>
    <w:rsid w:val="00F258B0"/>
    <w:rsid w:val="00F3764A"/>
    <w:rsid w:val="00F4517F"/>
    <w:rsid w:val="00F4673D"/>
    <w:rsid w:val="00F477F6"/>
    <w:rsid w:val="00F51051"/>
    <w:rsid w:val="00F521D4"/>
    <w:rsid w:val="00F67592"/>
    <w:rsid w:val="00F72B3D"/>
    <w:rsid w:val="00F91303"/>
    <w:rsid w:val="00F9681C"/>
    <w:rsid w:val="00FA527A"/>
    <w:rsid w:val="00FB233D"/>
    <w:rsid w:val="00FB4B22"/>
    <w:rsid w:val="00FC48E1"/>
    <w:rsid w:val="00FD19EB"/>
    <w:rsid w:val="00FF1DC6"/>
    <w:rsid w:val="00FF5B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258D0B56"/>
  <w14:defaultImageDpi w14:val="32767"/>
  <w15:chartTrackingRefBased/>
  <w15:docId w15:val="{73E5E258-093A-1644-9A43-1051F81341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173F9"/>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173F9"/>
    <w:rPr>
      <w:rFonts w:ascii="Times New Roman" w:hAnsi="Times New Roman" w:cs="Times New Roman"/>
      <w:sz w:val="18"/>
      <w:szCs w:val="18"/>
    </w:rPr>
  </w:style>
  <w:style w:type="table" w:customStyle="1" w:styleId="PlainTable21">
    <w:name w:val="Plain Table 21"/>
    <w:basedOn w:val="TableNormal"/>
    <w:next w:val="PlainTable2"/>
    <w:uiPriority w:val="99"/>
    <w:rsid w:val="00D321A3"/>
    <w:rPr>
      <w:rFonts w:ascii="Calibri" w:eastAsia="Calibri" w:hAnsi="Calibri" w:cs="Times New Roman"/>
      <w:lang w:eastAsia="en-GB"/>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PlainTable2">
    <w:name w:val="Plain Table 2"/>
    <w:basedOn w:val="TableNormal"/>
    <w:uiPriority w:val="42"/>
    <w:rsid w:val="00D321A3"/>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534</Words>
  <Characters>3045</Characters>
  <Application>Microsoft Office Word</Application>
  <DocSecurity>0</DocSecurity>
  <Lines>25</Lines>
  <Paragraphs>7</Paragraphs>
  <ScaleCrop>false</ScaleCrop>
  <Company/>
  <LinksUpToDate>false</LinksUpToDate>
  <CharactersWithSpaces>3572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Atkins, Lou</dc:creator>
  <cp:keywords/>
  <dc:description/>
  <cp:lastModifiedBy>Atkins, Lou</cp:lastModifiedBy>
  <cp:revision>1</cp:revision>
  <dcterms:created xsi:type="dcterms:W3CDTF">2020-07-09T11:56:00Z</dcterms:created>
  <dcterms:modified xsi:type="dcterms:W3CDTF">2020-07-09T11:56:00Z</dcterms:modified>
</cp:coreProperties>
</file>