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6E116" w14:textId="74ADEB07" w:rsidR="00356DBC" w:rsidRPr="00421E39" w:rsidRDefault="00356DBC" w:rsidP="00F00925">
      <w:pPr>
        <w:snapToGrid w:val="0"/>
        <w:spacing w:line="240" w:lineRule="auto"/>
        <w:contextualSpacing/>
        <w:rPr>
          <w:rFonts w:ascii="Times New Roman" w:hAnsi="Times New Roman" w:cs="Times New Roman"/>
          <w:sz w:val="24"/>
          <w:szCs w:val="24"/>
        </w:rPr>
      </w:pPr>
      <w:bookmarkStart w:id="0" w:name="_GoBack"/>
      <w:bookmarkEnd w:id="0"/>
      <w:r w:rsidRPr="00421E39">
        <w:rPr>
          <w:rFonts w:ascii="Times New Roman" w:hAnsi="Times New Roman" w:cs="Times New Roman"/>
          <w:sz w:val="24"/>
          <w:szCs w:val="24"/>
        </w:rPr>
        <w:t>Supplement</w:t>
      </w:r>
      <w:r w:rsidR="00E97009">
        <w:rPr>
          <w:rFonts w:ascii="Times New Roman" w:hAnsi="Times New Roman" w:cs="Times New Roman"/>
          <w:sz w:val="24"/>
          <w:szCs w:val="24"/>
        </w:rPr>
        <w:t>ary t</w:t>
      </w:r>
      <w:r w:rsidRPr="00421E39">
        <w:rPr>
          <w:rFonts w:ascii="Times New Roman" w:hAnsi="Times New Roman" w:cs="Times New Roman"/>
          <w:sz w:val="24"/>
          <w:szCs w:val="24"/>
        </w:rPr>
        <w:t>able 1. The number of missing data</w:t>
      </w:r>
    </w:p>
    <w:tbl>
      <w:tblPr>
        <w:tblW w:w="0" w:type="auto"/>
        <w:tblLook w:val="04A0" w:firstRow="1" w:lastRow="0" w:firstColumn="1" w:lastColumn="0" w:noHBand="0" w:noVBand="1"/>
      </w:tblPr>
      <w:tblGrid>
        <w:gridCol w:w="3982"/>
        <w:gridCol w:w="1082"/>
        <w:gridCol w:w="988"/>
      </w:tblGrid>
      <w:tr w:rsidR="00356DBC" w:rsidRPr="00356DBC" w14:paraId="16C48DB0" w14:textId="77777777" w:rsidTr="00356DBC">
        <w:trPr>
          <w:trHeight w:val="263"/>
        </w:trPr>
        <w:tc>
          <w:tcPr>
            <w:tcW w:w="0" w:type="auto"/>
            <w:tcBorders>
              <w:top w:val="single" w:sz="4" w:space="0" w:color="000000"/>
              <w:left w:val="nil"/>
              <w:bottom w:val="nil"/>
              <w:right w:val="nil"/>
            </w:tcBorders>
            <w:shd w:val="clear" w:color="auto" w:fill="auto"/>
            <w:noWrap/>
            <w:vAlign w:val="center"/>
            <w:hideMark/>
          </w:tcPr>
          <w:p w14:paraId="2E43050A" w14:textId="77777777" w:rsidR="00356DBC" w:rsidRPr="00356DBC" w:rsidRDefault="00356DBC" w:rsidP="00F00925">
            <w:pPr>
              <w:snapToGrid w:val="0"/>
              <w:spacing w:after="0" w:line="240" w:lineRule="auto"/>
              <w:contextualSpacing/>
              <w:rPr>
                <w:rFonts w:ascii="Times New Roman" w:eastAsia="Times New Roman" w:hAnsi="Times New Roman" w:cs="Times New Roman"/>
                <w:sz w:val="24"/>
                <w:szCs w:val="24"/>
              </w:rPr>
            </w:pPr>
          </w:p>
        </w:tc>
        <w:tc>
          <w:tcPr>
            <w:tcW w:w="0" w:type="auto"/>
            <w:gridSpan w:val="2"/>
            <w:tcBorders>
              <w:top w:val="single" w:sz="4" w:space="0" w:color="000000"/>
              <w:left w:val="nil"/>
              <w:bottom w:val="single" w:sz="4" w:space="0" w:color="000000"/>
              <w:right w:val="nil"/>
            </w:tcBorders>
            <w:shd w:val="clear" w:color="auto" w:fill="auto"/>
            <w:noWrap/>
            <w:vAlign w:val="center"/>
            <w:hideMark/>
          </w:tcPr>
          <w:p w14:paraId="5C251C89" w14:textId="77777777" w:rsidR="00356DBC" w:rsidRPr="00356DBC" w:rsidRDefault="00356DBC" w:rsidP="00F00925">
            <w:pPr>
              <w:snapToGrid w:val="0"/>
              <w:spacing w:after="0" w:line="240" w:lineRule="auto"/>
              <w:contextualSpacing/>
              <w:jc w:val="center"/>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Amount of missing</w:t>
            </w:r>
          </w:p>
        </w:tc>
      </w:tr>
      <w:tr w:rsidR="00356DBC" w:rsidRPr="00356DBC" w14:paraId="73E68680" w14:textId="77777777" w:rsidTr="00356DBC">
        <w:trPr>
          <w:trHeight w:val="263"/>
        </w:trPr>
        <w:tc>
          <w:tcPr>
            <w:tcW w:w="0" w:type="auto"/>
            <w:tcBorders>
              <w:top w:val="nil"/>
              <w:left w:val="nil"/>
              <w:bottom w:val="single" w:sz="4" w:space="0" w:color="000000"/>
              <w:right w:val="nil"/>
            </w:tcBorders>
            <w:shd w:val="clear" w:color="auto" w:fill="auto"/>
            <w:noWrap/>
            <w:vAlign w:val="center"/>
            <w:hideMark/>
          </w:tcPr>
          <w:p w14:paraId="0D7C4B38" w14:textId="77777777" w:rsidR="00356DBC" w:rsidRPr="00356DBC" w:rsidRDefault="00356DBC" w:rsidP="00F00925">
            <w:pPr>
              <w:snapToGrid w:val="0"/>
              <w:spacing w:after="0" w:line="240" w:lineRule="auto"/>
              <w:contextualSpacing/>
              <w:jc w:val="center"/>
              <w:rPr>
                <w:rFonts w:ascii="Times New Roman" w:eastAsia="Times New Roman" w:hAnsi="Times New Roman" w:cs="Times New Roman"/>
                <w:color w:val="000000"/>
                <w:sz w:val="24"/>
                <w:szCs w:val="24"/>
              </w:rPr>
            </w:pPr>
          </w:p>
        </w:tc>
        <w:tc>
          <w:tcPr>
            <w:tcW w:w="0" w:type="auto"/>
            <w:tcBorders>
              <w:top w:val="single" w:sz="4" w:space="0" w:color="000000"/>
              <w:left w:val="nil"/>
              <w:bottom w:val="single" w:sz="4" w:space="0" w:color="000000"/>
              <w:right w:val="nil"/>
            </w:tcBorders>
            <w:shd w:val="clear" w:color="auto" w:fill="auto"/>
            <w:noWrap/>
            <w:vAlign w:val="center"/>
            <w:hideMark/>
          </w:tcPr>
          <w:p w14:paraId="745E523F"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N</w:t>
            </w:r>
          </w:p>
        </w:tc>
        <w:tc>
          <w:tcPr>
            <w:tcW w:w="0" w:type="auto"/>
            <w:tcBorders>
              <w:top w:val="single" w:sz="4" w:space="0" w:color="000000"/>
              <w:left w:val="nil"/>
              <w:bottom w:val="single" w:sz="4" w:space="0" w:color="000000"/>
              <w:right w:val="nil"/>
            </w:tcBorders>
            <w:shd w:val="clear" w:color="auto" w:fill="auto"/>
            <w:noWrap/>
            <w:vAlign w:val="center"/>
            <w:hideMark/>
          </w:tcPr>
          <w:p w14:paraId="61862FD9"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w:t>
            </w:r>
          </w:p>
        </w:tc>
      </w:tr>
      <w:tr w:rsidR="00356DBC" w:rsidRPr="00356DBC" w14:paraId="55601092" w14:textId="77777777" w:rsidTr="00356DBC">
        <w:trPr>
          <w:trHeight w:val="263"/>
        </w:trPr>
        <w:tc>
          <w:tcPr>
            <w:tcW w:w="0" w:type="auto"/>
            <w:tcBorders>
              <w:top w:val="single" w:sz="4" w:space="0" w:color="000000"/>
              <w:left w:val="nil"/>
              <w:bottom w:val="nil"/>
              <w:right w:val="nil"/>
            </w:tcBorders>
            <w:shd w:val="clear" w:color="auto" w:fill="auto"/>
            <w:noWrap/>
            <w:vAlign w:val="center"/>
            <w:hideMark/>
          </w:tcPr>
          <w:p w14:paraId="6DC2C133" w14:textId="1E7CC2A5"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Respondents</w:t>
            </w:r>
          </w:p>
        </w:tc>
        <w:tc>
          <w:tcPr>
            <w:tcW w:w="0" w:type="auto"/>
            <w:tcBorders>
              <w:top w:val="single" w:sz="4" w:space="0" w:color="000000"/>
              <w:left w:val="nil"/>
              <w:bottom w:val="nil"/>
              <w:right w:val="nil"/>
            </w:tcBorders>
            <w:shd w:val="clear" w:color="auto" w:fill="auto"/>
            <w:noWrap/>
            <w:vAlign w:val="center"/>
            <w:hideMark/>
          </w:tcPr>
          <w:p w14:paraId="637AC686"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54</w:t>
            </w:r>
          </w:p>
        </w:tc>
        <w:tc>
          <w:tcPr>
            <w:tcW w:w="0" w:type="auto"/>
            <w:tcBorders>
              <w:top w:val="single" w:sz="4" w:space="0" w:color="000000"/>
              <w:left w:val="nil"/>
              <w:bottom w:val="nil"/>
              <w:right w:val="nil"/>
            </w:tcBorders>
            <w:shd w:val="clear" w:color="auto" w:fill="auto"/>
            <w:noWrap/>
            <w:vAlign w:val="center"/>
            <w:hideMark/>
          </w:tcPr>
          <w:p w14:paraId="781EEC67"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0.7</w:t>
            </w:r>
          </w:p>
        </w:tc>
      </w:tr>
      <w:tr w:rsidR="00356DBC" w:rsidRPr="00356DBC" w14:paraId="5E8DD0B4" w14:textId="77777777" w:rsidTr="00356DBC">
        <w:trPr>
          <w:trHeight w:val="263"/>
        </w:trPr>
        <w:tc>
          <w:tcPr>
            <w:tcW w:w="0" w:type="auto"/>
            <w:tcBorders>
              <w:top w:val="nil"/>
              <w:left w:val="nil"/>
              <w:bottom w:val="nil"/>
              <w:right w:val="nil"/>
            </w:tcBorders>
            <w:shd w:val="clear" w:color="auto" w:fill="auto"/>
            <w:noWrap/>
            <w:vAlign w:val="center"/>
            <w:hideMark/>
          </w:tcPr>
          <w:p w14:paraId="61689345" w14:textId="51B5472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Family size</w:t>
            </w:r>
          </w:p>
        </w:tc>
        <w:tc>
          <w:tcPr>
            <w:tcW w:w="0" w:type="auto"/>
            <w:tcBorders>
              <w:top w:val="nil"/>
              <w:left w:val="nil"/>
              <w:bottom w:val="nil"/>
              <w:right w:val="nil"/>
            </w:tcBorders>
            <w:shd w:val="clear" w:color="auto" w:fill="auto"/>
            <w:noWrap/>
            <w:vAlign w:val="center"/>
            <w:hideMark/>
          </w:tcPr>
          <w:p w14:paraId="03E69CEE"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44</w:t>
            </w:r>
          </w:p>
        </w:tc>
        <w:tc>
          <w:tcPr>
            <w:tcW w:w="0" w:type="auto"/>
            <w:tcBorders>
              <w:top w:val="nil"/>
              <w:left w:val="nil"/>
              <w:bottom w:val="nil"/>
              <w:right w:val="nil"/>
            </w:tcBorders>
            <w:shd w:val="clear" w:color="auto" w:fill="auto"/>
            <w:noWrap/>
            <w:vAlign w:val="center"/>
            <w:hideMark/>
          </w:tcPr>
          <w:p w14:paraId="411F084A"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0.5</w:t>
            </w:r>
          </w:p>
        </w:tc>
      </w:tr>
      <w:tr w:rsidR="00356DBC" w:rsidRPr="00356DBC" w14:paraId="6ABAB3BF" w14:textId="77777777" w:rsidTr="00356DBC">
        <w:trPr>
          <w:trHeight w:val="263"/>
        </w:trPr>
        <w:tc>
          <w:tcPr>
            <w:tcW w:w="0" w:type="auto"/>
            <w:tcBorders>
              <w:top w:val="nil"/>
              <w:left w:val="nil"/>
              <w:bottom w:val="nil"/>
              <w:right w:val="nil"/>
            </w:tcBorders>
            <w:shd w:val="clear" w:color="auto" w:fill="auto"/>
            <w:noWrap/>
            <w:vAlign w:val="center"/>
            <w:hideMark/>
          </w:tcPr>
          <w:p w14:paraId="018C70B9" w14:textId="2B8AF85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Number of young siblings</w:t>
            </w:r>
          </w:p>
        </w:tc>
        <w:tc>
          <w:tcPr>
            <w:tcW w:w="0" w:type="auto"/>
            <w:tcBorders>
              <w:top w:val="nil"/>
              <w:left w:val="nil"/>
              <w:bottom w:val="nil"/>
              <w:right w:val="nil"/>
            </w:tcBorders>
            <w:shd w:val="clear" w:color="auto" w:fill="auto"/>
            <w:noWrap/>
            <w:vAlign w:val="center"/>
            <w:hideMark/>
          </w:tcPr>
          <w:p w14:paraId="03CD08D5"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noWrap/>
            <w:vAlign w:val="center"/>
            <w:hideMark/>
          </w:tcPr>
          <w:p w14:paraId="6BD87984"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0.0</w:t>
            </w:r>
          </w:p>
        </w:tc>
      </w:tr>
      <w:tr w:rsidR="00356DBC" w:rsidRPr="00356DBC" w14:paraId="76A80B25" w14:textId="77777777" w:rsidTr="00356DBC">
        <w:trPr>
          <w:trHeight w:val="263"/>
        </w:trPr>
        <w:tc>
          <w:tcPr>
            <w:tcW w:w="0" w:type="auto"/>
            <w:tcBorders>
              <w:top w:val="nil"/>
              <w:left w:val="nil"/>
              <w:bottom w:val="nil"/>
              <w:right w:val="nil"/>
            </w:tcBorders>
            <w:shd w:val="clear" w:color="auto" w:fill="auto"/>
            <w:noWrap/>
            <w:vAlign w:val="center"/>
            <w:hideMark/>
          </w:tcPr>
          <w:p w14:paraId="178E8B78" w14:textId="1CC53214"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Number of old siblings</w:t>
            </w:r>
          </w:p>
        </w:tc>
        <w:tc>
          <w:tcPr>
            <w:tcW w:w="0" w:type="auto"/>
            <w:tcBorders>
              <w:top w:val="nil"/>
              <w:left w:val="nil"/>
              <w:bottom w:val="nil"/>
              <w:right w:val="nil"/>
            </w:tcBorders>
            <w:shd w:val="clear" w:color="auto" w:fill="auto"/>
            <w:noWrap/>
            <w:vAlign w:val="center"/>
            <w:hideMark/>
          </w:tcPr>
          <w:p w14:paraId="52892F58"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noWrap/>
            <w:vAlign w:val="center"/>
            <w:hideMark/>
          </w:tcPr>
          <w:p w14:paraId="73EA1802"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0.0</w:t>
            </w:r>
          </w:p>
        </w:tc>
      </w:tr>
      <w:tr w:rsidR="00356DBC" w:rsidRPr="00356DBC" w14:paraId="1940F4EE" w14:textId="77777777" w:rsidTr="00356DBC">
        <w:trPr>
          <w:trHeight w:val="263"/>
        </w:trPr>
        <w:tc>
          <w:tcPr>
            <w:tcW w:w="0" w:type="auto"/>
            <w:tcBorders>
              <w:top w:val="nil"/>
              <w:left w:val="nil"/>
              <w:bottom w:val="nil"/>
              <w:right w:val="nil"/>
            </w:tcBorders>
            <w:shd w:val="clear" w:color="auto" w:fill="auto"/>
            <w:noWrap/>
            <w:vAlign w:val="center"/>
            <w:hideMark/>
          </w:tcPr>
          <w:p w14:paraId="27C0858D"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Number of grandparents</w:t>
            </w:r>
          </w:p>
        </w:tc>
        <w:tc>
          <w:tcPr>
            <w:tcW w:w="0" w:type="auto"/>
            <w:tcBorders>
              <w:top w:val="nil"/>
              <w:left w:val="nil"/>
              <w:bottom w:val="nil"/>
              <w:right w:val="nil"/>
            </w:tcBorders>
            <w:shd w:val="clear" w:color="auto" w:fill="auto"/>
            <w:noWrap/>
            <w:vAlign w:val="center"/>
            <w:hideMark/>
          </w:tcPr>
          <w:p w14:paraId="1FD0367C"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noWrap/>
            <w:vAlign w:val="center"/>
            <w:hideMark/>
          </w:tcPr>
          <w:p w14:paraId="11C6F8BC"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0.0</w:t>
            </w:r>
          </w:p>
        </w:tc>
      </w:tr>
      <w:tr w:rsidR="00356DBC" w:rsidRPr="00356DBC" w14:paraId="51F22945" w14:textId="77777777" w:rsidTr="00356DBC">
        <w:trPr>
          <w:trHeight w:val="263"/>
        </w:trPr>
        <w:tc>
          <w:tcPr>
            <w:tcW w:w="0" w:type="auto"/>
            <w:tcBorders>
              <w:top w:val="nil"/>
              <w:left w:val="nil"/>
              <w:bottom w:val="nil"/>
              <w:right w:val="nil"/>
            </w:tcBorders>
            <w:shd w:val="clear" w:color="auto" w:fill="auto"/>
            <w:noWrap/>
            <w:vAlign w:val="center"/>
            <w:hideMark/>
          </w:tcPr>
          <w:p w14:paraId="6C00FD83" w14:textId="42CFEB1D"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Marital status</w:t>
            </w:r>
          </w:p>
        </w:tc>
        <w:tc>
          <w:tcPr>
            <w:tcW w:w="0" w:type="auto"/>
            <w:tcBorders>
              <w:top w:val="nil"/>
              <w:left w:val="nil"/>
              <w:bottom w:val="nil"/>
              <w:right w:val="nil"/>
            </w:tcBorders>
            <w:shd w:val="clear" w:color="auto" w:fill="auto"/>
            <w:noWrap/>
            <w:vAlign w:val="center"/>
            <w:hideMark/>
          </w:tcPr>
          <w:p w14:paraId="7D0A8D7C"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56</w:t>
            </w:r>
          </w:p>
        </w:tc>
        <w:tc>
          <w:tcPr>
            <w:tcW w:w="0" w:type="auto"/>
            <w:tcBorders>
              <w:top w:val="nil"/>
              <w:left w:val="nil"/>
              <w:bottom w:val="nil"/>
              <w:right w:val="nil"/>
            </w:tcBorders>
            <w:shd w:val="clear" w:color="auto" w:fill="auto"/>
            <w:noWrap/>
            <w:vAlign w:val="center"/>
            <w:hideMark/>
          </w:tcPr>
          <w:p w14:paraId="18E2DAD7"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0.7</w:t>
            </w:r>
          </w:p>
        </w:tc>
      </w:tr>
      <w:tr w:rsidR="00356DBC" w:rsidRPr="00356DBC" w14:paraId="7008A5E7" w14:textId="77777777" w:rsidTr="00356DBC">
        <w:trPr>
          <w:trHeight w:val="263"/>
        </w:trPr>
        <w:tc>
          <w:tcPr>
            <w:tcW w:w="0" w:type="auto"/>
            <w:tcBorders>
              <w:top w:val="nil"/>
              <w:left w:val="nil"/>
              <w:bottom w:val="nil"/>
              <w:right w:val="nil"/>
            </w:tcBorders>
            <w:shd w:val="clear" w:color="auto" w:fill="auto"/>
            <w:noWrap/>
            <w:vAlign w:val="center"/>
            <w:hideMark/>
          </w:tcPr>
          <w:p w14:paraId="52261AA0" w14:textId="474B8FA5"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Residential place</w:t>
            </w:r>
          </w:p>
        </w:tc>
        <w:tc>
          <w:tcPr>
            <w:tcW w:w="0" w:type="auto"/>
            <w:tcBorders>
              <w:top w:val="nil"/>
              <w:left w:val="nil"/>
              <w:bottom w:val="nil"/>
              <w:right w:val="nil"/>
            </w:tcBorders>
            <w:shd w:val="clear" w:color="auto" w:fill="auto"/>
            <w:noWrap/>
            <w:vAlign w:val="center"/>
            <w:hideMark/>
          </w:tcPr>
          <w:p w14:paraId="1AD84ECF"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52</w:t>
            </w:r>
          </w:p>
        </w:tc>
        <w:tc>
          <w:tcPr>
            <w:tcW w:w="0" w:type="auto"/>
            <w:tcBorders>
              <w:top w:val="nil"/>
              <w:left w:val="nil"/>
              <w:bottom w:val="nil"/>
              <w:right w:val="nil"/>
            </w:tcBorders>
            <w:shd w:val="clear" w:color="auto" w:fill="auto"/>
            <w:noWrap/>
            <w:vAlign w:val="center"/>
            <w:hideMark/>
          </w:tcPr>
          <w:p w14:paraId="77541724"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0.6</w:t>
            </w:r>
          </w:p>
        </w:tc>
      </w:tr>
      <w:tr w:rsidR="00356DBC" w:rsidRPr="00356DBC" w14:paraId="5E40D9D6" w14:textId="77777777" w:rsidTr="00356DBC">
        <w:trPr>
          <w:trHeight w:val="263"/>
        </w:trPr>
        <w:tc>
          <w:tcPr>
            <w:tcW w:w="0" w:type="auto"/>
            <w:tcBorders>
              <w:top w:val="nil"/>
              <w:left w:val="nil"/>
              <w:bottom w:val="nil"/>
              <w:right w:val="nil"/>
            </w:tcBorders>
            <w:shd w:val="clear" w:color="auto" w:fill="auto"/>
            <w:noWrap/>
            <w:vAlign w:val="center"/>
            <w:hideMark/>
          </w:tcPr>
          <w:p w14:paraId="16D1896E" w14:textId="7DCBEC5F"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Mother's age</w:t>
            </w:r>
          </w:p>
        </w:tc>
        <w:tc>
          <w:tcPr>
            <w:tcW w:w="0" w:type="auto"/>
            <w:tcBorders>
              <w:top w:val="nil"/>
              <w:left w:val="nil"/>
              <w:bottom w:val="nil"/>
              <w:right w:val="nil"/>
            </w:tcBorders>
            <w:shd w:val="clear" w:color="auto" w:fill="auto"/>
            <w:noWrap/>
            <w:vAlign w:val="center"/>
            <w:hideMark/>
          </w:tcPr>
          <w:p w14:paraId="7F91F3D5"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376</w:t>
            </w:r>
          </w:p>
        </w:tc>
        <w:tc>
          <w:tcPr>
            <w:tcW w:w="0" w:type="auto"/>
            <w:tcBorders>
              <w:top w:val="nil"/>
              <w:left w:val="nil"/>
              <w:bottom w:val="nil"/>
              <w:right w:val="nil"/>
            </w:tcBorders>
            <w:shd w:val="clear" w:color="auto" w:fill="auto"/>
            <w:noWrap/>
            <w:vAlign w:val="center"/>
            <w:hideMark/>
          </w:tcPr>
          <w:p w14:paraId="1D443F65"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4.6</w:t>
            </w:r>
          </w:p>
        </w:tc>
      </w:tr>
      <w:tr w:rsidR="00356DBC" w:rsidRPr="00356DBC" w14:paraId="2A7D74A2" w14:textId="77777777" w:rsidTr="00356DBC">
        <w:trPr>
          <w:trHeight w:val="263"/>
        </w:trPr>
        <w:tc>
          <w:tcPr>
            <w:tcW w:w="0" w:type="auto"/>
            <w:tcBorders>
              <w:top w:val="nil"/>
              <w:left w:val="nil"/>
              <w:bottom w:val="nil"/>
              <w:right w:val="nil"/>
            </w:tcBorders>
            <w:shd w:val="clear" w:color="auto" w:fill="auto"/>
            <w:noWrap/>
            <w:vAlign w:val="center"/>
            <w:hideMark/>
          </w:tcPr>
          <w:p w14:paraId="78F1BFE7" w14:textId="63398E3A"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Father's age</w:t>
            </w:r>
          </w:p>
        </w:tc>
        <w:tc>
          <w:tcPr>
            <w:tcW w:w="0" w:type="auto"/>
            <w:tcBorders>
              <w:top w:val="nil"/>
              <w:left w:val="nil"/>
              <w:bottom w:val="nil"/>
              <w:right w:val="nil"/>
            </w:tcBorders>
            <w:shd w:val="clear" w:color="auto" w:fill="auto"/>
            <w:noWrap/>
            <w:vAlign w:val="center"/>
            <w:hideMark/>
          </w:tcPr>
          <w:p w14:paraId="6D5C06F6"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1232</w:t>
            </w:r>
          </w:p>
        </w:tc>
        <w:tc>
          <w:tcPr>
            <w:tcW w:w="0" w:type="auto"/>
            <w:tcBorders>
              <w:top w:val="nil"/>
              <w:left w:val="nil"/>
              <w:bottom w:val="nil"/>
              <w:right w:val="nil"/>
            </w:tcBorders>
            <w:shd w:val="clear" w:color="auto" w:fill="auto"/>
            <w:noWrap/>
            <w:vAlign w:val="center"/>
            <w:hideMark/>
          </w:tcPr>
          <w:p w14:paraId="7E8409EB"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15.0</w:t>
            </w:r>
          </w:p>
        </w:tc>
      </w:tr>
      <w:tr w:rsidR="00356DBC" w:rsidRPr="00356DBC" w14:paraId="36794AE0" w14:textId="77777777" w:rsidTr="00356DBC">
        <w:trPr>
          <w:trHeight w:val="263"/>
        </w:trPr>
        <w:tc>
          <w:tcPr>
            <w:tcW w:w="0" w:type="auto"/>
            <w:tcBorders>
              <w:top w:val="nil"/>
              <w:left w:val="nil"/>
              <w:bottom w:val="nil"/>
              <w:right w:val="nil"/>
            </w:tcBorders>
            <w:shd w:val="clear" w:color="auto" w:fill="auto"/>
            <w:noWrap/>
            <w:vAlign w:val="center"/>
            <w:hideMark/>
          </w:tcPr>
          <w:p w14:paraId="29F032DC" w14:textId="7DCFED71"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Mother's education</w:t>
            </w:r>
          </w:p>
        </w:tc>
        <w:tc>
          <w:tcPr>
            <w:tcW w:w="0" w:type="auto"/>
            <w:tcBorders>
              <w:top w:val="nil"/>
              <w:left w:val="nil"/>
              <w:bottom w:val="nil"/>
              <w:right w:val="nil"/>
            </w:tcBorders>
            <w:shd w:val="clear" w:color="auto" w:fill="auto"/>
            <w:noWrap/>
            <w:vAlign w:val="center"/>
            <w:hideMark/>
          </w:tcPr>
          <w:p w14:paraId="7EDBEAC0" w14:textId="39E8EAA0" w:rsidR="00356DBC" w:rsidRPr="00356DBC" w:rsidRDefault="008B4371" w:rsidP="00F00925">
            <w:pPr>
              <w:snapToGrid w:val="0"/>
              <w:spacing w:after="0" w:line="240" w:lineRule="auto"/>
              <w:contextualSpacing/>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406</w:t>
            </w:r>
          </w:p>
        </w:tc>
        <w:tc>
          <w:tcPr>
            <w:tcW w:w="0" w:type="auto"/>
            <w:tcBorders>
              <w:top w:val="nil"/>
              <w:left w:val="nil"/>
              <w:bottom w:val="nil"/>
              <w:right w:val="nil"/>
            </w:tcBorders>
            <w:shd w:val="clear" w:color="auto" w:fill="auto"/>
            <w:noWrap/>
            <w:vAlign w:val="center"/>
            <w:hideMark/>
          </w:tcPr>
          <w:p w14:paraId="55C9B6DE" w14:textId="07A787A7" w:rsidR="00356DBC" w:rsidRPr="00356DBC" w:rsidRDefault="008B4371" w:rsidP="00F00925">
            <w:pPr>
              <w:snapToGrid w:val="0"/>
              <w:spacing w:after="0" w:line="240" w:lineRule="auto"/>
              <w:contextualSpacing/>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356DBC" w:rsidRPr="00356DBC" w14:paraId="5F668298" w14:textId="77777777" w:rsidTr="00356DBC">
        <w:trPr>
          <w:trHeight w:val="263"/>
        </w:trPr>
        <w:tc>
          <w:tcPr>
            <w:tcW w:w="0" w:type="auto"/>
            <w:tcBorders>
              <w:top w:val="nil"/>
              <w:left w:val="nil"/>
              <w:bottom w:val="nil"/>
              <w:right w:val="nil"/>
            </w:tcBorders>
            <w:shd w:val="clear" w:color="auto" w:fill="auto"/>
            <w:noWrap/>
            <w:vAlign w:val="center"/>
            <w:hideMark/>
          </w:tcPr>
          <w:p w14:paraId="663A4040" w14:textId="0190EF79"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Father's education</w:t>
            </w:r>
          </w:p>
        </w:tc>
        <w:tc>
          <w:tcPr>
            <w:tcW w:w="0" w:type="auto"/>
            <w:tcBorders>
              <w:top w:val="nil"/>
              <w:left w:val="nil"/>
              <w:bottom w:val="nil"/>
              <w:right w:val="nil"/>
            </w:tcBorders>
            <w:shd w:val="clear" w:color="auto" w:fill="auto"/>
            <w:noWrap/>
            <w:vAlign w:val="center"/>
            <w:hideMark/>
          </w:tcPr>
          <w:p w14:paraId="63BFBF06" w14:textId="7CECFEB8"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12</w:t>
            </w:r>
            <w:r w:rsidR="008B4371">
              <w:rPr>
                <w:rFonts w:ascii="Times New Roman" w:eastAsia="Times New Roman" w:hAnsi="Times New Roman" w:cs="Times New Roman"/>
                <w:color w:val="000000"/>
                <w:sz w:val="24"/>
                <w:szCs w:val="24"/>
              </w:rPr>
              <w:t>3</w:t>
            </w:r>
            <w:r w:rsidRPr="00356DBC">
              <w:rPr>
                <w:rFonts w:ascii="Times New Roman" w:eastAsia="Times New Roman" w:hAnsi="Times New Roman" w:cs="Times New Roman"/>
                <w:color w:val="000000"/>
                <w:sz w:val="24"/>
                <w:szCs w:val="24"/>
              </w:rPr>
              <w:t>1</w:t>
            </w:r>
          </w:p>
        </w:tc>
        <w:tc>
          <w:tcPr>
            <w:tcW w:w="0" w:type="auto"/>
            <w:tcBorders>
              <w:top w:val="nil"/>
              <w:left w:val="nil"/>
              <w:bottom w:val="nil"/>
              <w:right w:val="nil"/>
            </w:tcBorders>
            <w:shd w:val="clear" w:color="auto" w:fill="auto"/>
            <w:noWrap/>
            <w:vAlign w:val="center"/>
            <w:hideMark/>
          </w:tcPr>
          <w:p w14:paraId="4E1038F9" w14:textId="3587264B"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w:t>
            </w:r>
            <w:r w:rsidR="008B4371">
              <w:rPr>
                <w:rFonts w:ascii="Times New Roman" w:eastAsia="Times New Roman" w:hAnsi="Times New Roman" w:cs="Times New Roman"/>
                <w:color w:val="000000"/>
                <w:sz w:val="24"/>
                <w:szCs w:val="24"/>
              </w:rPr>
              <w:t>5.0</w:t>
            </w:r>
          </w:p>
        </w:tc>
      </w:tr>
      <w:tr w:rsidR="00356DBC" w:rsidRPr="00356DBC" w14:paraId="6B778017" w14:textId="77777777" w:rsidTr="00356DBC">
        <w:trPr>
          <w:trHeight w:val="263"/>
        </w:trPr>
        <w:tc>
          <w:tcPr>
            <w:tcW w:w="0" w:type="auto"/>
            <w:tcBorders>
              <w:top w:val="nil"/>
              <w:left w:val="nil"/>
              <w:bottom w:val="nil"/>
              <w:right w:val="nil"/>
            </w:tcBorders>
            <w:shd w:val="clear" w:color="auto" w:fill="auto"/>
            <w:noWrap/>
            <w:vAlign w:val="center"/>
            <w:hideMark/>
          </w:tcPr>
          <w:p w14:paraId="7AACEEC3" w14:textId="159D96F5"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 xml:space="preserve">Mother's occupation </w:t>
            </w:r>
          </w:p>
        </w:tc>
        <w:tc>
          <w:tcPr>
            <w:tcW w:w="0" w:type="auto"/>
            <w:tcBorders>
              <w:top w:val="nil"/>
              <w:left w:val="nil"/>
              <w:bottom w:val="nil"/>
              <w:right w:val="nil"/>
            </w:tcBorders>
            <w:shd w:val="clear" w:color="auto" w:fill="auto"/>
            <w:noWrap/>
            <w:vAlign w:val="center"/>
            <w:hideMark/>
          </w:tcPr>
          <w:p w14:paraId="57509E1B"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360</w:t>
            </w:r>
          </w:p>
        </w:tc>
        <w:tc>
          <w:tcPr>
            <w:tcW w:w="0" w:type="auto"/>
            <w:tcBorders>
              <w:top w:val="nil"/>
              <w:left w:val="nil"/>
              <w:bottom w:val="nil"/>
              <w:right w:val="nil"/>
            </w:tcBorders>
            <w:shd w:val="clear" w:color="auto" w:fill="auto"/>
            <w:noWrap/>
            <w:vAlign w:val="center"/>
            <w:hideMark/>
          </w:tcPr>
          <w:p w14:paraId="4ACE67F8"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4.4</w:t>
            </w:r>
          </w:p>
        </w:tc>
      </w:tr>
      <w:tr w:rsidR="00356DBC" w:rsidRPr="00356DBC" w14:paraId="03FF1A5D" w14:textId="77777777" w:rsidTr="00356DBC">
        <w:trPr>
          <w:trHeight w:val="263"/>
        </w:trPr>
        <w:tc>
          <w:tcPr>
            <w:tcW w:w="0" w:type="auto"/>
            <w:tcBorders>
              <w:top w:val="nil"/>
              <w:left w:val="nil"/>
              <w:bottom w:val="nil"/>
              <w:right w:val="nil"/>
            </w:tcBorders>
            <w:shd w:val="clear" w:color="auto" w:fill="auto"/>
            <w:noWrap/>
            <w:vAlign w:val="center"/>
            <w:hideMark/>
          </w:tcPr>
          <w:p w14:paraId="6279DAE1" w14:textId="0CD8B1D4"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Father's occupation</w:t>
            </w:r>
          </w:p>
        </w:tc>
        <w:tc>
          <w:tcPr>
            <w:tcW w:w="0" w:type="auto"/>
            <w:tcBorders>
              <w:top w:val="nil"/>
              <w:left w:val="nil"/>
              <w:bottom w:val="nil"/>
              <w:right w:val="nil"/>
            </w:tcBorders>
            <w:shd w:val="clear" w:color="auto" w:fill="auto"/>
            <w:noWrap/>
            <w:vAlign w:val="center"/>
            <w:hideMark/>
          </w:tcPr>
          <w:p w14:paraId="77CED28F"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1209</w:t>
            </w:r>
          </w:p>
        </w:tc>
        <w:tc>
          <w:tcPr>
            <w:tcW w:w="0" w:type="auto"/>
            <w:tcBorders>
              <w:top w:val="nil"/>
              <w:left w:val="nil"/>
              <w:bottom w:val="nil"/>
              <w:right w:val="nil"/>
            </w:tcBorders>
            <w:shd w:val="clear" w:color="auto" w:fill="auto"/>
            <w:noWrap/>
            <w:vAlign w:val="center"/>
            <w:hideMark/>
          </w:tcPr>
          <w:p w14:paraId="5470BC92"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14.7</w:t>
            </w:r>
          </w:p>
        </w:tc>
      </w:tr>
      <w:tr w:rsidR="00356DBC" w:rsidRPr="00356DBC" w14:paraId="1F4B0F33" w14:textId="77777777" w:rsidTr="00356DBC">
        <w:trPr>
          <w:trHeight w:val="263"/>
        </w:trPr>
        <w:tc>
          <w:tcPr>
            <w:tcW w:w="0" w:type="auto"/>
            <w:tcBorders>
              <w:top w:val="nil"/>
              <w:left w:val="nil"/>
              <w:bottom w:val="nil"/>
              <w:right w:val="nil"/>
            </w:tcBorders>
            <w:shd w:val="clear" w:color="auto" w:fill="auto"/>
            <w:noWrap/>
            <w:vAlign w:val="center"/>
            <w:hideMark/>
          </w:tcPr>
          <w:p w14:paraId="6CA315C8" w14:textId="3446202E"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Mother's working time</w:t>
            </w:r>
          </w:p>
        </w:tc>
        <w:tc>
          <w:tcPr>
            <w:tcW w:w="0" w:type="auto"/>
            <w:tcBorders>
              <w:top w:val="nil"/>
              <w:left w:val="nil"/>
              <w:bottom w:val="nil"/>
              <w:right w:val="nil"/>
            </w:tcBorders>
            <w:shd w:val="clear" w:color="auto" w:fill="auto"/>
            <w:noWrap/>
            <w:vAlign w:val="center"/>
            <w:hideMark/>
          </w:tcPr>
          <w:p w14:paraId="47879C1B"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1519</w:t>
            </w:r>
          </w:p>
        </w:tc>
        <w:tc>
          <w:tcPr>
            <w:tcW w:w="0" w:type="auto"/>
            <w:tcBorders>
              <w:top w:val="nil"/>
              <w:left w:val="nil"/>
              <w:bottom w:val="nil"/>
              <w:right w:val="nil"/>
            </w:tcBorders>
            <w:shd w:val="clear" w:color="auto" w:fill="auto"/>
            <w:noWrap/>
            <w:vAlign w:val="center"/>
            <w:hideMark/>
          </w:tcPr>
          <w:p w14:paraId="387C9ACA"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18.5</w:t>
            </w:r>
          </w:p>
        </w:tc>
      </w:tr>
      <w:tr w:rsidR="00356DBC" w:rsidRPr="00356DBC" w14:paraId="49349645" w14:textId="77777777" w:rsidTr="00356DBC">
        <w:trPr>
          <w:trHeight w:val="263"/>
        </w:trPr>
        <w:tc>
          <w:tcPr>
            <w:tcW w:w="0" w:type="auto"/>
            <w:tcBorders>
              <w:top w:val="nil"/>
              <w:left w:val="nil"/>
              <w:bottom w:val="nil"/>
              <w:right w:val="nil"/>
            </w:tcBorders>
            <w:shd w:val="clear" w:color="auto" w:fill="auto"/>
            <w:noWrap/>
            <w:vAlign w:val="center"/>
            <w:hideMark/>
          </w:tcPr>
          <w:p w14:paraId="1D92ECE0" w14:textId="0D00BDA0"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Father's working time</w:t>
            </w:r>
          </w:p>
        </w:tc>
        <w:tc>
          <w:tcPr>
            <w:tcW w:w="0" w:type="auto"/>
            <w:tcBorders>
              <w:top w:val="nil"/>
              <w:left w:val="nil"/>
              <w:bottom w:val="nil"/>
              <w:right w:val="nil"/>
            </w:tcBorders>
            <w:shd w:val="clear" w:color="auto" w:fill="auto"/>
            <w:noWrap/>
            <w:vAlign w:val="center"/>
            <w:hideMark/>
          </w:tcPr>
          <w:p w14:paraId="2895FC95"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1491</w:t>
            </w:r>
          </w:p>
        </w:tc>
        <w:tc>
          <w:tcPr>
            <w:tcW w:w="0" w:type="auto"/>
            <w:tcBorders>
              <w:top w:val="nil"/>
              <w:left w:val="nil"/>
              <w:bottom w:val="nil"/>
              <w:right w:val="nil"/>
            </w:tcBorders>
            <w:shd w:val="clear" w:color="auto" w:fill="auto"/>
            <w:noWrap/>
            <w:vAlign w:val="center"/>
            <w:hideMark/>
          </w:tcPr>
          <w:p w14:paraId="1D07A43E"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18.2</w:t>
            </w:r>
          </w:p>
        </w:tc>
      </w:tr>
      <w:tr w:rsidR="00356DBC" w:rsidRPr="00356DBC" w14:paraId="44CD803B" w14:textId="77777777" w:rsidTr="00356DBC">
        <w:trPr>
          <w:trHeight w:val="263"/>
        </w:trPr>
        <w:tc>
          <w:tcPr>
            <w:tcW w:w="0" w:type="auto"/>
            <w:tcBorders>
              <w:top w:val="nil"/>
              <w:left w:val="nil"/>
              <w:bottom w:val="nil"/>
              <w:right w:val="nil"/>
            </w:tcBorders>
            <w:shd w:val="clear" w:color="auto" w:fill="auto"/>
            <w:noWrap/>
            <w:vAlign w:val="center"/>
            <w:hideMark/>
          </w:tcPr>
          <w:p w14:paraId="0175B44E" w14:textId="301C4E45"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Income from employment</w:t>
            </w:r>
          </w:p>
        </w:tc>
        <w:tc>
          <w:tcPr>
            <w:tcW w:w="0" w:type="auto"/>
            <w:tcBorders>
              <w:top w:val="nil"/>
              <w:left w:val="nil"/>
              <w:bottom w:val="nil"/>
              <w:right w:val="nil"/>
            </w:tcBorders>
            <w:shd w:val="clear" w:color="auto" w:fill="auto"/>
            <w:noWrap/>
            <w:vAlign w:val="center"/>
            <w:hideMark/>
          </w:tcPr>
          <w:p w14:paraId="1B92C2A5"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1033</w:t>
            </w:r>
          </w:p>
        </w:tc>
        <w:tc>
          <w:tcPr>
            <w:tcW w:w="0" w:type="auto"/>
            <w:tcBorders>
              <w:top w:val="nil"/>
              <w:left w:val="nil"/>
              <w:bottom w:val="nil"/>
              <w:right w:val="nil"/>
            </w:tcBorders>
            <w:shd w:val="clear" w:color="auto" w:fill="auto"/>
            <w:noWrap/>
            <w:vAlign w:val="center"/>
            <w:hideMark/>
          </w:tcPr>
          <w:p w14:paraId="6841F128"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12.6</w:t>
            </w:r>
          </w:p>
        </w:tc>
      </w:tr>
      <w:tr w:rsidR="00356DBC" w:rsidRPr="00356DBC" w14:paraId="39C4BBF1" w14:textId="77777777" w:rsidTr="00356DBC">
        <w:trPr>
          <w:trHeight w:val="263"/>
        </w:trPr>
        <w:tc>
          <w:tcPr>
            <w:tcW w:w="0" w:type="auto"/>
            <w:tcBorders>
              <w:top w:val="nil"/>
              <w:left w:val="nil"/>
              <w:bottom w:val="nil"/>
              <w:right w:val="nil"/>
            </w:tcBorders>
            <w:shd w:val="clear" w:color="auto" w:fill="auto"/>
            <w:noWrap/>
            <w:vAlign w:val="center"/>
            <w:hideMark/>
          </w:tcPr>
          <w:p w14:paraId="1ABD40C9" w14:textId="4209BE43"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 xml:space="preserve">Respondent's </w:t>
            </w:r>
            <w:r w:rsidRPr="00356DBC">
              <w:rPr>
                <w:rFonts w:ascii="Times New Roman" w:eastAsia="Times New Roman" w:hAnsi="Times New Roman" w:cs="Times New Roman"/>
                <w:color w:val="000000"/>
                <w:sz w:val="24"/>
                <w:szCs w:val="24"/>
              </w:rPr>
              <w:t>K6 score</w:t>
            </w:r>
          </w:p>
        </w:tc>
        <w:tc>
          <w:tcPr>
            <w:tcW w:w="0" w:type="auto"/>
            <w:tcBorders>
              <w:top w:val="nil"/>
              <w:left w:val="nil"/>
              <w:bottom w:val="nil"/>
              <w:right w:val="nil"/>
            </w:tcBorders>
            <w:shd w:val="clear" w:color="auto" w:fill="auto"/>
            <w:noWrap/>
            <w:vAlign w:val="center"/>
            <w:hideMark/>
          </w:tcPr>
          <w:p w14:paraId="696B2154"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178</w:t>
            </w:r>
          </w:p>
        </w:tc>
        <w:tc>
          <w:tcPr>
            <w:tcW w:w="0" w:type="auto"/>
            <w:tcBorders>
              <w:top w:val="nil"/>
              <w:left w:val="nil"/>
              <w:bottom w:val="nil"/>
              <w:right w:val="nil"/>
            </w:tcBorders>
            <w:shd w:val="clear" w:color="auto" w:fill="auto"/>
            <w:noWrap/>
            <w:vAlign w:val="center"/>
            <w:hideMark/>
          </w:tcPr>
          <w:p w14:paraId="4DEA8A34"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2.2</w:t>
            </w:r>
          </w:p>
        </w:tc>
      </w:tr>
      <w:tr w:rsidR="00356DBC" w:rsidRPr="00356DBC" w14:paraId="7856A53A" w14:textId="77777777" w:rsidTr="00356DBC">
        <w:trPr>
          <w:trHeight w:val="263"/>
        </w:trPr>
        <w:tc>
          <w:tcPr>
            <w:tcW w:w="0" w:type="auto"/>
            <w:tcBorders>
              <w:top w:val="nil"/>
              <w:left w:val="nil"/>
              <w:bottom w:val="nil"/>
              <w:right w:val="nil"/>
            </w:tcBorders>
            <w:shd w:val="clear" w:color="auto" w:fill="auto"/>
            <w:noWrap/>
            <w:vAlign w:val="center"/>
            <w:hideMark/>
          </w:tcPr>
          <w:p w14:paraId="4B6AD83A" w14:textId="26A9E70E"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Parental self-rated health</w:t>
            </w:r>
          </w:p>
        </w:tc>
        <w:tc>
          <w:tcPr>
            <w:tcW w:w="0" w:type="auto"/>
            <w:tcBorders>
              <w:top w:val="nil"/>
              <w:left w:val="nil"/>
              <w:bottom w:val="nil"/>
              <w:right w:val="nil"/>
            </w:tcBorders>
            <w:shd w:val="clear" w:color="auto" w:fill="auto"/>
            <w:noWrap/>
            <w:vAlign w:val="center"/>
            <w:hideMark/>
          </w:tcPr>
          <w:p w14:paraId="5CF61471"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279</w:t>
            </w:r>
          </w:p>
        </w:tc>
        <w:tc>
          <w:tcPr>
            <w:tcW w:w="0" w:type="auto"/>
            <w:tcBorders>
              <w:top w:val="nil"/>
              <w:left w:val="nil"/>
              <w:bottom w:val="nil"/>
              <w:right w:val="nil"/>
            </w:tcBorders>
            <w:shd w:val="clear" w:color="auto" w:fill="auto"/>
            <w:noWrap/>
            <w:vAlign w:val="center"/>
            <w:hideMark/>
          </w:tcPr>
          <w:p w14:paraId="677B180D"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3.4</w:t>
            </w:r>
          </w:p>
        </w:tc>
      </w:tr>
      <w:tr w:rsidR="00356DBC" w:rsidRPr="00356DBC" w14:paraId="2EC818ED" w14:textId="77777777" w:rsidTr="00356DBC">
        <w:trPr>
          <w:trHeight w:val="263"/>
        </w:trPr>
        <w:tc>
          <w:tcPr>
            <w:tcW w:w="0" w:type="auto"/>
            <w:tcBorders>
              <w:top w:val="nil"/>
              <w:left w:val="nil"/>
              <w:bottom w:val="nil"/>
              <w:right w:val="nil"/>
            </w:tcBorders>
            <w:shd w:val="clear" w:color="auto" w:fill="auto"/>
            <w:noWrap/>
            <w:vAlign w:val="center"/>
            <w:hideMark/>
          </w:tcPr>
          <w:p w14:paraId="2F0DA19A" w14:textId="4925B9AB"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Maternal smoking habit</w:t>
            </w:r>
          </w:p>
        </w:tc>
        <w:tc>
          <w:tcPr>
            <w:tcW w:w="0" w:type="auto"/>
            <w:tcBorders>
              <w:top w:val="nil"/>
              <w:left w:val="nil"/>
              <w:bottom w:val="nil"/>
              <w:right w:val="nil"/>
            </w:tcBorders>
            <w:shd w:val="clear" w:color="auto" w:fill="auto"/>
            <w:noWrap/>
            <w:vAlign w:val="center"/>
            <w:hideMark/>
          </w:tcPr>
          <w:p w14:paraId="38FD4A6B"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396</w:t>
            </w:r>
          </w:p>
        </w:tc>
        <w:tc>
          <w:tcPr>
            <w:tcW w:w="0" w:type="auto"/>
            <w:tcBorders>
              <w:top w:val="nil"/>
              <w:left w:val="nil"/>
              <w:bottom w:val="nil"/>
              <w:right w:val="nil"/>
            </w:tcBorders>
            <w:shd w:val="clear" w:color="auto" w:fill="auto"/>
            <w:noWrap/>
            <w:vAlign w:val="center"/>
            <w:hideMark/>
          </w:tcPr>
          <w:p w14:paraId="681CAA8F"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4.8</w:t>
            </w:r>
          </w:p>
        </w:tc>
      </w:tr>
      <w:tr w:rsidR="00356DBC" w:rsidRPr="00356DBC" w14:paraId="16BE8327" w14:textId="77777777" w:rsidTr="00356DBC">
        <w:trPr>
          <w:trHeight w:val="263"/>
        </w:trPr>
        <w:tc>
          <w:tcPr>
            <w:tcW w:w="0" w:type="auto"/>
            <w:tcBorders>
              <w:top w:val="nil"/>
              <w:left w:val="nil"/>
              <w:bottom w:val="nil"/>
              <w:right w:val="nil"/>
            </w:tcBorders>
            <w:shd w:val="clear" w:color="auto" w:fill="auto"/>
            <w:noWrap/>
            <w:vAlign w:val="center"/>
            <w:hideMark/>
          </w:tcPr>
          <w:p w14:paraId="4D7101EE" w14:textId="7F3D8F0D"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Paternal smoking habit</w:t>
            </w:r>
          </w:p>
        </w:tc>
        <w:tc>
          <w:tcPr>
            <w:tcW w:w="0" w:type="auto"/>
            <w:tcBorders>
              <w:top w:val="nil"/>
              <w:left w:val="nil"/>
              <w:bottom w:val="nil"/>
              <w:right w:val="nil"/>
            </w:tcBorders>
            <w:shd w:val="clear" w:color="auto" w:fill="auto"/>
            <w:noWrap/>
            <w:vAlign w:val="center"/>
            <w:hideMark/>
          </w:tcPr>
          <w:p w14:paraId="0363EC65"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1217</w:t>
            </w:r>
          </w:p>
        </w:tc>
        <w:tc>
          <w:tcPr>
            <w:tcW w:w="0" w:type="auto"/>
            <w:tcBorders>
              <w:top w:val="nil"/>
              <w:left w:val="nil"/>
              <w:bottom w:val="nil"/>
              <w:right w:val="nil"/>
            </w:tcBorders>
            <w:shd w:val="clear" w:color="auto" w:fill="auto"/>
            <w:noWrap/>
            <w:vAlign w:val="center"/>
            <w:hideMark/>
          </w:tcPr>
          <w:p w14:paraId="2B708581"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14.8</w:t>
            </w:r>
          </w:p>
        </w:tc>
      </w:tr>
      <w:tr w:rsidR="00356DBC" w:rsidRPr="00356DBC" w14:paraId="38A2AFC6" w14:textId="77777777" w:rsidTr="00356DBC">
        <w:trPr>
          <w:trHeight w:val="263"/>
        </w:trPr>
        <w:tc>
          <w:tcPr>
            <w:tcW w:w="0" w:type="auto"/>
            <w:tcBorders>
              <w:top w:val="nil"/>
              <w:left w:val="nil"/>
              <w:bottom w:val="nil"/>
              <w:right w:val="nil"/>
            </w:tcBorders>
            <w:shd w:val="clear" w:color="auto" w:fill="auto"/>
            <w:noWrap/>
            <w:vAlign w:val="center"/>
            <w:hideMark/>
          </w:tcPr>
          <w:p w14:paraId="25BA281E" w14:textId="30E018F4"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Child's sex</w:t>
            </w:r>
          </w:p>
        </w:tc>
        <w:tc>
          <w:tcPr>
            <w:tcW w:w="0" w:type="auto"/>
            <w:tcBorders>
              <w:top w:val="nil"/>
              <w:left w:val="nil"/>
              <w:bottom w:val="nil"/>
              <w:right w:val="nil"/>
            </w:tcBorders>
            <w:shd w:val="clear" w:color="auto" w:fill="auto"/>
            <w:noWrap/>
            <w:vAlign w:val="center"/>
            <w:hideMark/>
          </w:tcPr>
          <w:p w14:paraId="71A1BC2B"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186</w:t>
            </w:r>
          </w:p>
        </w:tc>
        <w:tc>
          <w:tcPr>
            <w:tcW w:w="0" w:type="auto"/>
            <w:tcBorders>
              <w:top w:val="nil"/>
              <w:left w:val="nil"/>
              <w:bottom w:val="nil"/>
              <w:right w:val="nil"/>
            </w:tcBorders>
            <w:shd w:val="clear" w:color="auto" w:fill="auto"/>
            <w:noWrap/>
            <w:vAlign w:val="center"/>
            <w:hideMark/>
          </w:tcPr>
          <w:p w14:paraId="64BCC371"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2.3</w:t>
            </w:r>
          </w:p>
        </w:tc>
      </w:tr>
      <w:tr w:rsidR="00356DBC" w:rsidRPr="00356DBC" w14:paraId="171FEE11" w14:textId="77777777" w:rsidTr="00356DBC">
        <w:trPr>
          <w:trHeight w:val="263"/>
        </w:trPr>
        <w:tc>
          <w:tcPr>
            <w:tcW w:w="0" w:type="auto"/>
            <w:tcBorders>
              <w:top w:val="nil"/>
              <w:left w:val="nil"/>
              <w:bottom w:val="nil"/>
              <w:right w:val="nil"/>
            </w:tcBorders>
            <w:shd w:val="clear" w:color="auto" w:fill="auto"/>
            <w:noWrap/>
            <w:vAlign w:val="center"/>
            <w:hideMark/>
          </w:tcPr>
          <w:p w14:paraId="543E2415" w14:textId="06F04E9B"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Child's grade</w:t>
            </w:r>
          </w:p>
        </w:tc>
        <w:tc>
          <w:tcPr>
            <w:tcW w:w="0" w:type="auto"/>
            <w:tcBorders>
              <w:top w:val="nil"/>
              <w:left w:val="nil"/>
              <w:bottom w:val="nil"/>
              <w:right w:val="nil"/>
            </w:tcBorders>
            <w:shd w:val="clear" w:color="auto" w:fill="auto"/>
            <w:noWrap/>
            <w:vAlign w:val="center"/>
            <w:hideMark/>
          </w:tcPr>
          <w:p w14:paraId="6EFB1BB5"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noWrap/>
            <w:vAlign w:val="center"/>
            <w:hideMark/>
          </w:tcPr>
          <w:p w14:paraId="3262E60A"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0.0</w:t>
            </w:r>
          </w:p>
        </w:tc>
      </w:tr>
      <w:tr w:rsidR="00356DBC" w:rsidRPr="00356DBC" w14:paraId="226BFFF5" w14:textId="77777777" w:rsidTr="00356DBC">
        <w:trPr>
          <w:trHeight w:val="263"/>
        </w:trPr>
        <w:tc>
          <w:tcPr>
            <w:tcW w:w="0" w:type="auto"/>
            <w:tcBorders>
              <w:top w:val="nil"/>
              <w:left w:val="nil"/>
              <w:bottom w:val="nil"/>
              <w:right w:val="nil"/>
            </w:tcBorders>
            <w:shd w:val="clear" w:color="auto" w:fill="auto"/>
            <w:noWrap/>
            <w:vAlign w:val="center"/>
            <w:hideMark/>
          </w:tcPr>
          <w:p w14:paraId="3EFCD340" w14:textId="5CE26E15"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Financial investment</w:t>
            </w:r>
          </w:p>
        </w:tc>
        <w:tc>
          <w:tcPr>
            <w:tcW w:w="0" w:type="auto"/>
            <w:tcBorders>
              <w:top w:val="nil"/>
              <w:left w:val="nil"/>
              <w:bottom w:val="nil"/>
              <w:right w:val="nil"/>
            </w:tcBorders>
            <w:shd w:val="clear" w:color="auto" w:fill="auto"/>
            <w:noWrap/>
            <w:vAlign w:val="center"/>
            <w:hideMark/>
          </w:tcPr>
          <w:p w14:paraId="04410643"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noWrap/>
            <w:vAlign w:val="center"/>
            <w:hideMark/>
          </w:tcPr>
          <w:p w14:paraId="4D99DACE" w14:textId="77777777" w:rsidR="00356DBC" w:rsidRPr="00356DBC" w:rsidRDefault="00356DBC" w:rsidP="00F00925">
            <w:pPr>
              <w:snapToGrid w:val="0"/>
              <w:spacing w:after="0" w:line="240" w:lineRule="auto"/>
              <w:contextualSpacing/>
              <w:rPr>
                <w:rFonts w:ascii="Times New Roman" w:eastAsia="Times New Roman" w:hAnsi="Times New Roman" w:cs="Times New Roman"/>
                <w:sz w:val="24"/>
                <w:szCs w:val="24"/>
              </w:rPr>
            </w:pPr>
          </w:p>
        </w:tc>
      </w:tr>
      <w:tr w:rsidR="00356DBC" w:rsidRPr="00356DBC" w14:paraId="64696DBB" w14:textId="77777777" w:rsidTr="00356DBC">
        <w:trPr>
          <w:trHeight w:val="263"/>
        </w:trPr>
        <w:tc>
          <w:tcPr>
            <w:tcW w:w="0" w:type="auto"/>
            <w:tcBorders>
              <w:top w:val="nil"/>
              <w:left w:val="nil"/>
              <w:bottom w:val="nil"/>
              <w:right w:val="nil"/>
            </w:tcBorders>
            <w:shd w:val="clear" w:color="auto" w:fill="auto"/>
            <w:noWrap/>
            <w:vAlign w:val="center"/>
            <w:hideMark/>
          </w:tcPr>
          <w:p w14:paraId="24471BCB"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 xml:space="preserve">  Goods for child</w:t>
            </w:r>
          </w:p>
        </w:tc>
        <w:tc>
          <w:tcPr>
            <w:tcW w:w="0" w:type="auto"/>
            <w:tcBorders>
              <w:top w:val="nil"/>
              <w:left w:val="nil"/>
              <w:bottom w:val="nil"/>
              <w:right w:val="nil"/>
            </w:tcBorders>
            <w:shd w:val="clear" w:color="auto" w:fill="auto"/>
            <w:noWrap/>
            <w:vAlign w:val="center"/>
            <w:hideMark/>
          </w:tcPr>
          <w:p w14:paraId="570200A7"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172</w:t>
            </w:r>
          </w:p>
        </w:tc>
        <w:tc>
          <w:tcPr>
            <w:tcW w:w="0" w:type="auto"/>
            <w:tcBorders>
              <w:top w:val="nil"/>
              <w:left w:val="nil"/>
              <w:bottom w:val="nil"/>
              <w:right w:val="nil"/>
            </w:tcBorders>
            <w:shd w:val="clear" w:color="auto" w:fill="auto"/>
            <w:noWrap/>
            <w:vAlign w:val="center"/>
            <w:hideMark/>
          </w:tcPr>
          <w:p w14:paraId="02DFF292"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2.1</w:t>
            </w:r>
          </w:p>
        </w:tc>
      </w:tr>
      <w:tr w:rsidR="00356DBC" w:rsidRPr="00356DBC" w14:paraId="70903E3D" w14:textId="77777777" w:rsidTr="00356DBC">
        <w:trPr>
          <w:trHeight w:val="263"/>
        </w:trPr>
        <w:tc>
          <w:tcPr>
            <w:tcW w:w="0" w:type="auto"/>
            <w:tcBorders>
              <w:top w:val="nil"/>
              <w:left w:val="nil"/>
              <w:bottom w:val="nil"/>
              <w:right w:val="nil"/>
            </w:tcBorders>
            <w:shd w:val="clear" w:color="auto" w:fill="auto"/>
            <w:noWrap/>
            <w:vAlign w:val="center"/>
            <w:hideMark/>
          </w:tcPr>
          <w:p w14:paraId="3BA37C99"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 xml:space="preserve">  Family events</w:t>
            </w:r>
          </w:p>
        </w:tc>
        <w:tc>
          <w:tcPr>
            <w:tcW w:w="0" w:type="auto"/>
            <w:tcBorders>
              <w:top w:val="nil"/>
              <w:left w:val="nil"/>
              <w:bottom w:val="nil"/>
              <w:right w:val="nil"/>
            </w:tcBorders>
            <w:shd w:val="clear" w:color="auto" w:fill="auto"/>
            <w:noWrap/>
            <w:vAlign w:val="center"/>
            <w:hideMark/>
          </w:tcPr>
          <w:p w14:paraId="09EFC603"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noWrap/>
            <w:vAlign w:val="center"/>
            <w:hideMark/>
          </w:tcPr>
          <w:p w14:paraId="4E8C1F0E"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0.0</w:t>
            </w:r>
          </w:p>
        </w:tc>
      </w:tr>
      <w:tr w:rsidR="00356DBC" w:rsidRPr="00356DBC" w14:paraId="45E67C09" w14:textId="77777777" w:rsidTr="00356DBC">
        <w:trPr>
          <w:trHeight w:val="263"/>
        </w:trPr>
        <w:tc>
          <w:tcPr>
            <w:tcW w:w="0" w:type="auto"/>
            <w:tcBorders>
              <w:top w:val="nil"/>
              <w:left w:val="nil"/>
              <w:bottom w:val="nil"/>
              <w:right w:val="nil"/>
            </w:tcBorders>
            <w:shd w:val="clear" w:color="auto" w:fill="auto"/>
            <w:noWrap/>
            <w:vAlign w:val="center"/>
            <w:hideMark/>
          </w:tcPr>
          <w:p w14:paraId="68B0A86A"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 xml:space="preserve">  Extracurricular activities</w:t>
            </w:r>
          </w:p>
        </w:tc>
        <w:tc>
          <w:tcPr>
            <w:tcW w:w="0" w:type="auto"/>
            <w:tcBorders>
              <w:top w:val="nil"/>
              <w:left w:val="nil"/>
              <w:bottom w:val="nil"/>
              <w:right w:val="nil"/>
            </w:tcBorders>
            <w:shd w:val="clear" w:color="auto" w:fill="auto"/>
            <w:noWrap/>
            <w:vAlign w:val="center"/>
            <w:hideMark/>
          </w:tcPr>
          <w:p w14:paraId="5C39C6E5"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355</w:t>
            </w:r>
          </w:p>
        </w:tc>
        <w:tc>
          <w:tcPr>
            <w:tcW w:w="0" w:type="auto"/>
            <w:tcBorders>
              <w:top w:val="nil"/>
              <w:left w:val="nil"/>
              <w:bottom w:val="nil"/>
              <w:right w:val="nil"/>
            </w:tcBorders>
            <w:shd w:val="clear" w:color="auto" w:fill="auto"/>
            <w:noWrap/>
            <w:vAlign w:val="center"/>
            <w:hideMark/>
          </w:tcPr>
          <w:p w14:paraId="2F90179C"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4.3</w:t>
            </w:r>
          </w:p>
        </w:tc>
      </w:tr>
      <w:tr w:rsidR="00356DBC" w:rsidRPr="00356DBC" w14:paraId="63FE0A30" w14:textId="77777777" w:rsidTr="00356DBC">
        <w:trPr>
          <w:trHeight w:val="263"/>
        </w:trPr>
        <w:tc>
          <w:tcPr>
            <w:tcW w:w="0" w:type="auto"/>
            <w:tcBorders>
              <w:top w:val="nil"/>
              <w:left w:val="nil"/>
              <w:bottom w:val="nil"/>
              <w:right w:val="nil"/>
            </w:tcBorders>
            <w:shd w:val="clear" w:color="auto" w:fill="auto"/>
            <w:noWrap/>
            <w:vAlign w:val="center"/>
            <w:hideMark/>
          </w:tcPr>
          <w:p w14:paraId="3631403C" w14:textId="7EE89EAC"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421E39">
              <w:rPr>
                <w:rFonts w:ascii="Times New Roman" w:eastAsia="Times New Roman" w:hAnsi="Times New Roman" w:cs="Times New Roman"/>
                <w:color w:val="000000"/>
                <w:sz w:val="24"/>
                <w:szCs w:val="24"/>
              </w:rPr>
              <w:t>Time investment</w:t>
            </w:r>
          </w:p>
        </w:tc>
        <w:tc>
          <w:tcPr>
            <w:tcW w:w="0" w:type="auto"/>
            <w:tcBorders>
              <w:top w:val="nil"/>
              <w:left w:val="nil"/>
              <w:bottom w:val="nil"/>
              <w:right w:val="nil"/>
            </w:tcBorders>
            <w:shd w:val="clear" w:color="auto" w:fill="auto"/>
            <w:noWrap/>
            <w:vAlign w:val="center"/>
            <w:hideMark/>
          </w:tcPr>
          <w:p w14:paraId="1A7A04E8"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noWrap/>
            <w:vAlign w:val="center"/>
            <w:hideMark/>
          </w:tcPr>
          <w:p w14:paraId="561AFA38" w14:textId="77777777" w:rsidR="00356DBC" w:rsidRPr="00356DBC" w:rsidRDefault="00356DBC" w:rsidP="00F00925">
            <w:pPr>
              <w:snapToGrid w:val="0"/>
              <w:spacing w:after="0" w:line="240" w:lineRule="auto"/>
              <w:contextualSpacing/>
              <w:rPr>
                <w:rFonts w:ascii="Times New Roman" w:eastAsia="Times New Roman" w:hAnsi="Times New Roman" w:cs="Times New Roman"/>
                <w:sz w:val="24"/>
                <w:szCs w:val="24"/>
              </w:rPr>
            </w:pPr>
          </w:p>
        </w:tc>
      </w:tr>
      <w:tr w:rsidR="00356DBC" w:rsidRPr="00356DBC" w14:paraId="6E5F208C" w14:textId="77777777" w:rsidTr="00356DBC">
        <w:trPr>
          <w:trHeight w:val="263"/>
        </w:trPr>
        <w:tc>
          <w:tcPr>
            <w:tcW w:w="0" w:type="auto"/>
            <w:tcBorders>
              <w:top w:val="nil"/>
              <w:left w:val="nil"/>
              <w:bottom w:val="nil"/>
              <w:right w:val="nil"/>
            </w:tcBorders>
            <w:shd w:val="clear" w:color="auto" w:fill="auto"/>
            <w:noWrap/>
            <w:vAlign w:val="center"/>
            <w:hideMark/>
          </w:tcPr>
          <w:p w14:paraId="23D9B718"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 xml:space="preserve">  Parent-child positive interaction score</w:t>
            </w:r>
          </w:p>
        </w:tc>
        <w:tc>
          <w:tcPr>
            <w:tcW w:w="0" w:type="auto"/>
            <w:tcBorders>
              <w:top w:val="nil"/>
              <w:left w:val="nil"/>
              <w:bottom w:val="nil"/>
              <w:right w:val="nil"/>
            </w:tcBorders>
            <w:shd w:val="clear" w:color="auto" w:fill="auto"/>
            <w:noWrap/>
            <w:vAlign w:val="center"/>
            <w:hideMark/>
          </w:tcPr>
          <w:p w14:paraId="7251DD85"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327</w:t>
            </w:r>
          </w:p>
        </w:tc>
        <w:tc>
          <w:tcPr>
            <w:tcW w:w="0" w:type="auto"/>
            <w:tcBorders>
              <w:top w:val="nil"/>
              <w:left w:val="nil"/>
              <w:bottom w:val="nil"/>
              <w:right w:val="nil"/>
            </w:tcBorders>
            <w:shd w:val="clear" w:color="auto" w:fill="auto"/>
            <w:noWrap/>
            <w:vAlign w:val="center"/>
            <w:hideMark/>
          </w:tcPr>
          <w:p w14:paraId="49AC344C"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4.0</w:t>
            </w:r>
          </w:p>
        </w:tc>
      </w:tr>
      <w:tr w:rsidR="00356DBC" w:rsidRPr="00356DBC" w14:paraId="3F569DF0" w14:textId="77777777" w:rsidTr="00356DBC">
        <w:trPr>
          <w:trHeight w:val="263"/>
        </w:trPr>
        <w:tc>
          <w:tcPr>
            <w:tcW w:w="0" w:type="auto"/>
            <w:tcBorders>
              <w:top w:val="nil"/>
              <w:left w:val="nil"/>
              <w:bottom w:val="single" w:sz="4" w:space="0" w:color="000000"/>
              <w:right w:val="nil"/>
            </w:tcBorders>
            <w:shd w:val="clear" w:color="auto" w:fill="auto"/>
            <w:noWrap/>
            <w:vAlign w:val="center"/>
            <w:hideMark/>
          </w:tcPr>
          <w:p w14:paraId="52708C00" w14:textId="77777777" w:rsidR="00356DBC" w:rsidRPr="00356DBC" w:rsidRDefault="00356DBC" w:rsidP="00F00925">
            <w:pPr>
              <w:snapToGrid w:val="0"/>
              <w:spacing w:after="0" w:line="240" w:lineRule="auto"/>
              <w:contextualSpacing/>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 xml:space="preserve">  No maltreatment</w:t>
            </w:r>
          </w:p>
        </w:tc>
        <w:tc>
          <w:tcPr>
            <w:tcW w:w="0" w:type="auto"/>
            <w:tcBorders>
              <w:top w:val="nil"/>
              <w:left w:val="nil"/>
              <w:bottom w:val="single" w:sz="4" w:space="0" w:color="000000"/>
              <w:right w:val="nil"/>
            </w:tcBorders>
            <w:shd w:val="clear" w:color="auto" w:fill="auto"/>
            <w:noWrap/>
            <w:vAlign w:val="center"/>
            <w:hideMark/>
          </w:tcPr>
          <w:p w14:paraId="42B7C0A1"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349</w:t>
            </w:r>
          </w:p>
        </w:tc>
        <w:tc>
          <w:tcPr>
            <w:tcW w:w="0" w:type="auto"/>
            <w:tcBorders>
              <w:top w:val="nil"/>
              <w:left w:val="nil"/>
              <w:bottom w:val="single" w:sz="4" w:space="0" w:color="000000"/>
              <w:right w:val="nil"/>
            </w:tcBorders>
            <w:shd w:val="clear" w:color="auto" w:fill="auto"/>
            <w:noWrap/>
            <w:vAlign w:val="center"/>
            <w:hideMark/>
          </w:tcPr>
          <w:p w14:paraId="1E65B828" w14:textId="77777777" w:rsidR="00356DBC" w:rsidRPr="00356DBC" w:rsidRDefault="00356DBC" w:rsidP="00F00925">
            <w:pPr>
              <w:snapToGrid w:val="0"/>
              <w:spacing w:after="0" w:line="240" w:lineRule="auto"/>
              <w:contextualSpacing/>
              <w:jc w:val="right"/>
              <w:rPr>
                <w:rFonts w:ascii="Times New Roman" w:eastAsia="Times New Roman" w:hAnsi="Times New Roman" w:cs="Times New Roman"/>
                <w:color w:val="000000"/>
                <w:sz w:val="24"/>
                <w:szCs w:val="24"/>
              </w:rPr>
            </w:pPr>
            <w:r w:rsidRPr="00356DBC">
              <w:rPr>
                <w:rFonts w:ascii="Times New Roman" w:eastAsia="Times New Roman" w:hAnsi="Times New Roman" w:cs="Times New Roman"/>
                <w:color w:val="000000"/>
                <w:sz w:val="24"/>
                <w:szCs w:val="24"/>
              </w:rPr>
              <w:t>4.3</w:t>
            </w:r>
          </w:p>
        </w:tc>
      </w:tr>
    </w:tbl>
    <w:p w14:paraId="7188DA1D" w14:textId="77777777" w:rsidR="00D83340" w:rsidRDefault="00421E39" w:rsidP="00F00925">
      <w:pPr>
        <w:snapToGrid w:val="0"/>
        <w:spacing w:line="240" w:lineRule="auto"/>
        <w:contextualSpacing/>
        <w:rPr>
          <w:rFonts w:ascii="Times New Roman" w:hAnsi="Times New Roman" w:cs="Times New Roman"/>
          <w:sz w:val="24"/>
          <w:szCs w:val="24"/>
        </w:rPr>
        <w:sectPr w:rsidR="00D83340">
          <w:pgSz w:w="12240" w:h="15840"/>
          <w:pgMar w:top="1440" w:right="1440" w:bottom="1440" w:left="1440" w:header="720" w:footer="720" w:gutter="0"/>
          <w:cols w:space="720"/>
          <w:docGrid w:linePitch="360"/>
        </w:sectPr>
      </w:pPr>
      <w:r w:rsidRPr="00421E39">
        <w:rPr>
          <w:rFonts w:ascii="Times New Roman" w:hAnsi="Times New Roman" w:cs="Times New Roman"/>
          <w:sz w:val="24"/>
          <w:szCs w:val="24"/>
        </w:rPr>
        <w:br w:type="page"/>
      </w:r>
    </w:p>
    <w:p w14:paraId="77A774F8" w14:textId="140E1C1E" w:rsidR="00421E39" w:rsidRDefault="00E97009" w:rsidP="00F00925">
      <w:pPr>
        <w:snapToGrid w:val="0"/>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Supplementary t</w:t>
      </w:r>
      <w:r w:rsidR="00D83340">
        <w:rPr>
          <w:rFonts w:ascii="Times New Roman" w:hAnsi="Times New Roman" w:cs="Times New Roman"/>
          <w:sz w:val="24"/>
          <w:szCs w:val="24"/>
        </w:rPr>
        <w:t>able 2. The results of sensitivity analysis</w:t>
      </w:r>
    </w:p>
    <w:tbl>
      <w:tblPr>
        <w:tblW w:w="0" w:type="auto"/>
        <w:tblLook w:val="04A0" w:firstRow="1" w:lastRow="0" w:firstColumn="1" w:lastColumn="0" w:noHBand="0" w:noVBand="1"/>
      </w:tblPr>
      <w:tblGrid>
        <w:gridCol w:w="2510"/>
        <w:gridCol w:w="633"/>
        <w:gridCol w:w="1239"/>
        <w:gridCol w:w="827"/>
        <w:gridCol w:w="622"/>
        <w:gridCol w:w="633"/>
        <w:gridCol w:w="566"/>
      </w:tblGrid>
      <w:tr w:rsidR="00D83340" w:rsidRPr="00D83340" w14:paraId="3663A7F9" w14:textId="77777777" w:rsidTr="00D83340">
        <w:trPr>
          <w:trHeight w:val="840"/>
        </w:trPr>
        <w:tc>
          <w:tcPr>
            <w:tcW w:w="0" w:type="auto"/>
            <w:tcBorders>
              <w:top w:val="single" w:sz="4" w:space="0" w:color="auto"/>
              <w:left w:val="nil"/>
              <w:bottom w:val="nil"/>
              <w:right w:val="nil"/>
            </w:tcBorders>
            <w:shd w:val="clear" w:color="auto" w:fill="auto"/>
            <w:noWrap/>
            <w:vAlign w:val="center"/>
            <w:hideMark/>
          </w:tcPr>
          <w:p w14:paraId="6A6FAC6D" w14:textId="675B8B67"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Variables</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5936D313" w14:textId="46686C0C"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Before matching</w:t>
            </w:r>
          </w:p>
        </w:tc>
        <w:tc>
          <w:tcPr>
            <w:tcW w:w="0" w:type="auto"/>
            <w:gridSpan w:val="3"/>
            <w:tcBorders>
              <w:top w:val="single" w:sz="4" w:space="0" w:color="auto"/>
              <w:left w:val="nil"/>
              <w:bottom w:val="single" w:sz="4" w:space="0" w:color="auto"/>
              <w:right w:val="nil"/>
            </w:tcBorders>
            <w:shd w:val="clear" w:color="auto" w:fill="auto"/>
            <w:noWrap/>
            <w:vAlign w:val="center"/>
            <w:hideMark/>
          </w:tcPr>
          <w:p w14:paraId="274C54F3" w14:textId="10BDA4F3"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After matching</w:t>
            </w:r>
          </w:p>
        </w:tc>
      </w:tr>
      <w:tr w:rsidR="00D83340" w:rsidRPr="00D83340" w14:paraId="22AC41EA" w14:textId="77777777" w:rsidTr="00D83340">
        <w:trPr>
          <w:trHeight w:val="278"/>
        </w:trPr>
        <w:tc>
          <w:tcPr>
            <w:tcW w:w="0" w:type="auto"/>
            <w:tcBorders>
              <w:top w:val="single" w:sz="4" w:space="0" w:color="auto"/>
              <w:left w:val="nil"/>
              <w:bottom w:val="nil"/>
              <w:right w:val="nil"/>
            </w:tcBorders>
            <w:shd w:val="clear" w:color="auto" w:fill="auto"/>
            <w:noWrap/>
            <w:vAlign w:val="center"/>
            <w:hideMark/>
          </w:tcPr>
          <w:p w14:paraId="282FD00E" w14:textId="1970151E"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Physical health</w:t>
            </w:r>
          </w:p>
        </w:tc>
        <w:tc>
          <w:tcPr>
            <w:tcW w:w="0" w:type="auto"/>
            <w:tcBorders>
              <w:top w:val="nil"/>
              <w:left w:val="nil"/>
              <w:bottom w:val="single" w:sz="4" w:space="0" w:color="auto"/>
              <w:right w:val="nil"/>
            </w:tcBorders>
            <w:shd w:val="clear" w:color="auto" w:fill="auto"/>
            <w:noWrap/>
            <w:vAlign w:val="center"/>
            <w:hideMark/>
          </w:tcPr>
          <w:p w14:paraId="4D4D5F55" w14:textId="77777777"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OR</w:t>
            </w:r>
          </w:p>
        </w:tc>
        <w:tc>
          <w:tcPr>
            <w:tcW w:w="0" w:type="auto"/>
            <w:tcBorders>
              <w:top w:val="nil"/>
              <w:left w:val="nil"/>
              <w:bottom w:val="single" w:sz="4" w:space="0" w:color="auto"/>
              <w:right w:val="nil"/>
            </w:tcBorders>
            <w:shd w:val="clear" w:color="auto" w:fill="auto"/>
            <w:noWrap/>
            <w:vAlign w:val="center"/>
            <w:hideMark/>
          </w:tcPr>
          <w:p w14:paraId="2C4F2D33" w14:textId="77777777"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95%CI</w:t>
            </w:r>
          </w:p>
        </w:tc>
        <w:tc>
          <w:tcPr>
            <w:tcW w:w="0" w:type="auto"/>
            <w:tcBorders>
              <w:top w:val="nil"/>
              <w:left w:val="nil"/>
              <w:bottom w:val="single" w:sz="4" w:space="0" w:color="auto"/>
              <w:right w:val="nil"/>
            </w:tcBorders>
            <w:shd w:val="clear" w:color="auto" w:fill="auto"/>
            <w:noWrap/>
            <w:vAlign w:val="center"/>
            <w:hideMark/>
          </w:tcPr>
          <w:p w14:paraId="7485D7E3" w14:textId="4CFAC03D"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t>
            </w:r>
            <w:r w:rsidRPr="00D83340">
              <w:rPr>
                <w:rFonts w:ascii="Times New Roman" w:eastAsia="Times New Roman" w:hAnsi="Times New Roman" w:cs="Times New Roman"/>
                <w:color w:val="000000"/>
                <w:sz w:val="20"/>
                <w:szCs w:val="20"/>
              </w:rPr>
              <w:t>-value</w:t>
            </w:r>
          </w:p>
        </w:tc>
        <w:tc>
          <w:tcPr>
            <w:tcW w:w="0" w:type="auto"/>
            <w:tcBorders>
              <w:top w:val="nil"/>
              <w:left w:val="nil"/>
              <w:bottom w:val="single" w:sz="4" w:space="0" w:color="auto"/>
              <w:right w:val="nil"/>
            </w:tcBorders>
            <w:shd w:val="clear" w:color="auto" w:fill="auto"/>
            <w:noWrap/>
            <w:vAlign w:val="center"/>
            <w:hideMark/>
          </w:tcPr>
          <w:p w14:paraId="4DB821EA" w14:textId="77777777"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OR</w:t>
            </w:r>
          </w:p>
        </w:tc>
        <w:tc>
          <w:tcPr>
            <w:tcW w:w="0" w:type="auto"/>
            <w:tcBorders>
              <w:top w:val="nil"/>
              <w:left w:val="nil"/>
              <w:bottom w:val="single" w:sz="4" w:space="0" w:color="auto"/>
              <w:right w:val="nil"/>
            </w:tcBorders>
            <w:shd w:val="clear" w:color="auto" w:fill="auto"/>
            <w:noWrap/>
            <w:vAlign w:val="center"/>
            <w:hideMark/>
          </w:tcPr>
          <w:p w14:paraId="2BF9F0FD" w14:textId="36A31FAB" w:rsidR="00D83340" w:rsidRPr="00D83340" w:rsidRDefault="00E97009" w:rsidP="00F00925">
            <w:pPr>
              <w:snapToGrid w:val="0"/>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w:t>
            </w:r>
          </w:p>
        </w:tc>
        <w:tc>
          <w:tcPr>
            <w:tcW w:w="0" w:type="auto"/>
            <w:tcBorders>
              <w:top w:val="nil"/>
              <w:left w:val="nil"/>
              <w:bottom w:val="single" w:sz="4" w:space="0" w:color="auto"/>
              <w:right w:val="nil"/>
            </w:tcBorders>
            <w:shd w:val="clear" w:color="auto" w:fill="auto"/>
            <w:noWrap/>
            <w:vAlign w:val="center"/>
            <w:hideMark/>
          </w:tcPr>
          <w:p w14:paraId="2E9EF1BA" w14:textId="77777777"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SE</w:t>
            </w:r>
          </w:p>
        </w:tc>
      </w:tr>
      <w:tr w:rsidR="00D83340" w:rsidRPr="00D83340" w14:paraId="1386C898" w14:textId="77777777" w:rsidTr="00D83340">
        <w:trPr>
          <w:trHeight w:val="278"/>
        </w:trPr>
        <w:tc>
          <w:tcPr>
            <w:tcW w:w="0" w:type="auto"/>
            <w:tcBorders>
              <w:top w:val="nil"/>
              <w:left w:val="nil"/>
              <w:bottom w:val="nil"/>
              <w:right w:val="nil"/>
            </w:tcBorders>
            <w:shd w:val="clear" w:color="auto" w:fill="auto"/>
            <w:noWrap/>
            <w:vAlign w:val="center"/>
            <w:hideMark/>
          </w:tcPr>
          <w:p w14:paraId="45698393" w14:textId="77777777"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 xml:space="preserve">  Body mass index</w:t>
            </w:r>
          </w:p>
        </w:tc>
        <w:tc>
          <w:tcPr>
            <w:tcW w:w="0" w:type="auto"/>
            <w:tcBorders>
              <w:top w:val="nil"/>
              <w:left w:val="nil"/>
              <w:bottom w:val="nil"/>
              <w:right w:val="nil"/>
            </w:tcBorders>
            <w:shd w:val="clear" w:color="auto" w:fill="auto"/>
            <w:noWrap/>
            <w:vAlign w:val="center"/>
            <w:hideMark/>
          </w:tcPr>
          <w:p w14:paraId="7BE988DF" w14:textId="77777777"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934D77C" w14:textId="77777777" w:rsidR="00D83340" w:rsidRPr="00D83340" w:rsidRDefault="00D83340" w:rsidP="00F00925">
            <w:pPr>
              <w:snapToGrid w:val="0"/>
              <w:spacing w:after="0" w:line="240" w:lineRule="auto"/>
              <w:contextualSpacing/>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B3B8F49"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6F491D4" w14:textId="77777777" w:rsidR="00D83340" w:rsidRPr="00D83340" w:rsidRDefault="00D83340" w:rsidP="00F00925">
            <w:pPr>
              <w:snapToGrid w:val="0"/>
              <w:spacing w:after="0" w:line="240" w:lineRule="auto"/>
              <w:contextualSpacing/>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F8B2F3B" w14:textId="77777777" w:rsidR="00D83340" w:rsidRPr="00D83340" w:rsidRDefault="00D83340" w:rsidP="00F00925">
            <w:pPr>
              <w:snapToGrid w:val="0"/>
              <w:spacing w:after="0" w:line="240" w:lineRule="auto"/>
              <w:contextualSpacing/>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99FD3A2" w14:textId="77777777" w:rsidR="00D83340" w:rsidRPr="00D83340" w:rsidRDefault="00D83340" w:rsidP="00F00925">
            <w:pPr>
              <w:snapToGrid w:val="0"/>
              <w:spacing w:after="0" w:line="240" w:lineRule="auto"/>
              <w:contextualSpacing/>
              <w:jc w:val="center"/>
              <w:rPr>
                <w:rFonts w:ascii="Times New Roman" w:eastAsia="Times New Roman" w:hAnsi="Times New Roman" w:cs="Times New Roman"/>
                <w:sz w:val="20"/>
                <w:szCs w:val="20"/>
              </w:rPr>
            </w:pPr>
          </w:p>
        </w:tc>
      </w:tr>
      <w:tr w:rsidR="00D83340" w:rsidRPr="00D83340" w14:paraId="71A1F09C" w14:textId="77777777" w:rsidTr="00D83340">
        <w:trPr>
          <w:trHeight w:val="278"/>
        </w:trPr>
        <w:tc>
          <w:tcPr>
            <w:tcW w:w="0" w:type="auto"/>
            <w:tcBorders>
              <w:top w:val="nil"/>
              <w:left w:val="nil"/>
              <w:bottom w:val="nil"/>
              <w:right w:val="nil"/>
            </w:tcBorders>
            <w:shd w:val="clear" w:color="auto" w:fill="auto"/>
            <w:noWrap/>
            <w:vAlign w:val="center"/>
            <w:hideMark/>
          </w:tcPr>
          <w:p w14:paraId="34CA216C" w14:textId="60B26245"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 xml:space="preserve">    Underweight</w:t>
            </w:r>
          </w:p>
        </w:tc>
        <w:tc>
          <w:tcPr>
            <w:tcW w:w="0" w:type="auto"/>
            <w:tcBorders>
              <w:top w:val="nil"/>
              <w:left w:val="nil"/>
              <w:bottom w:val="nil"/>
              <w:right w:val="nil"/>
            </w:tcBorders>
            <w:shd w:val="clear" w:color="auto" w:fill="auto"/>
            <w:noWrap/>
            <w:vAlign w:val="center"/>
            <w:hideMark/>
          </w:tcPr>
          <w:p w14:paraId="4970FA89"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1.03</w:t>
            </w:r>
          </w:p>
        </w:tc>
        <w:tc>
          <w:tcPr>
            <w:tcW w:w="0" w:type="auto"/>
            <w:tcBorders>
              <w:top w:val="nil"/>
              <w:left w:val="nil"/>
              <w:bottom w:val="nil"/>
              <w:right w:val="nil"/>
            </w:tcBorders>
            <w:shd w:val="clear" w:color="auto" w:fill="auto"/>
            <w:noWrap/>
            <w:vAlign w:val="center"/>
            <w:hideMark/>
          </w:tcPr>
          <w:p w14:paraId="0E482C7E"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0.53 to 2.00</w:t>
            </w:r>
          </w:p>
        </w:tc>
        <w:tc>
          <w:tcPr>
            <w:tcW w:w="0" w:type="auto"/>
            <w:tcBorders>
              <w:top w:val="nil"/>
              <w:left w:val="nil"/>
              <w:bottom w:val="nil"/>
              <w:right w:val="nil"/>
            </w:tcBorders>
            <w:shd w:val="clear" w:color="auto" w:fill="auto"/>
            <w:noWrap/>
            <w:vAlign w:val="center"/>
            <w:hideMark/>
          </w:tcPr>
          <w:p w14:paraId="01DFA5A2"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0.928</w:t>
            </w:r>
          </w:p>
        </w:tc>
        <w:tc>
          <w:tcPr>
            <w:tcW w:w="0" w:type="auto"/>
            <w:tcBorders>
              <w:top w:val="nil"/>
              <w:left w:val="nil"/>
              <w:bottom w:val="nil"/>
              <w:right w:val="nil"/>
            </w:tcBorders>
            <w:shd w:val="clear" w:color="auto" w:fill="auto"/>
            <w:noWrap/>
            <w:vAlign w:val="center"/>
            <w:hideMark/>
          </w:tcPr>
          <w:p w14:paraId="7BE1F2BE"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0.94</w:t>
            </w:r>
          </w:p>
        </w:tc>
        <w:tc>
          <w:tcPr>
            <w:tcW w:w="0" w:type="auto"/>
            <w:tcBorders>
              <w:top w:val="nil"/>
              <w:left w:val="nil"/>
              <w:bottom w:val="nil"/>
              <w:right w:val="nil"/>
            </w:tcBorders>
            <w:shd w:val="clear" w:color="auto" w:fill="auto"/>
            <w:noWrap/>
            <w:vAlign w:val="center"/>
            <w:hideMark/>
          </w:tcPr>
          <w:p w14:paraId="262A5A63"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-0.06</w:t>
            </w:r>
          </w:p>
        </w:tc>
        <w:tc>
          <w:tcPr>
            <w:tcW w:w="0" w:type="auto"/>
            <w:tcBorders>
              <w:top w:val="nil"/>
              <w:left w:val="nil"/>
              <w:bottom w:val="nil"/>
              <w:right w:val="nil"/>
            </w:tcBorders>
            <w:shd w:val="clear" w:color="auto" w:fill="auto"/>
            <w:noWrap/>
            <w:vAlign w:val="center"/>
            <w:hideMark/>
          </w:tcPr>
          <w:p w14:paraId="41DA6001"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0.70</w:t>
            </w:r>
          </w:p>
        </w:tc>
      </w:tr>
      <w:tr w:rsidR="00D83340" w:rsidRPr="00D83340" w14:paraId="530C3DE9" w14:textId="77777777" w:rsidTr="00D83340">
        <w:trPr>
          <w:trHeight w:val="278"/>
        </w:trPr>
        <w:tc>
          <w:tcPr>
            <w:tcW w:w="0" w:type="auto"/>
            <w:tcBorders>
              <w:top w:val="nil"/>
              <w:left w:val="nil"/>
              <w:bottom w:val="nil"/>
              <w:right w:val="nil"/>
            </w:tcBorders>
            <w:shd w:val="clear" w:color="auto" w:fill="auto"/>
            <w:noWrap/>
            <w:vAlign w:val="center"/>
            <w:hideMark/>
          </w:tcPr>
          <w:p w14:paraId="6C98803D" w14:textId="2377D1AD"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 xml:space="preserve">    Normal weight</w:t>
            </w:r>
          </w:p>
        </w:tc>
        <w:tc>
          <w:tcPr>
            <w:tcW w:w="0" w:type="auto"/>
            <w:tcBorders>
              <w:top w:val="nil"/>
              <w:left w:val="nil"/>
              <w:bottom w:val="nil"/>
              <w:right w:val="nil"/>
            </w:tcBorders>
            <w:shd w:val="clear" w:color="auto" w:fill="auto"/>
            <w:noWrap/>
            <w:vAlign w:val="center"/>
            <w:hideMark/>
          </w:tcPr>
          <w:p w14:paraId="317C8FD5"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(ref.)</w:t>
            </w:r>
          </w:p>
        </w:tc>
        <w:tc>
          <w:tcPr>
            <w:tcW w:w="0" w:type="auto"/>
            <w:tcBorders>
              <w:top w:val="nil"/>
              <w:left w:val="nil"/>
              <w:bottom w:val="nil"/>
              <w:right w:val="nil"/>
            </w:tcBorders>
            <w:shd w:val="clear" w:color="auto" w:fill="auto"/>
            <w:noWrap/>
            <w:vAlign w:val="center"/>
            <w:hideMark/>
          </w:tcPr>
          <w:p w14:paraId="12A6B8F8"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2112CCB9"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944ABBF"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(ref.)</w:t>
            </w:r>
          </w:p>
        </w:tc>
        <w:tc>
          <w:tcPr>
            <w:tcW w:w="0" w:type="auto"/>
            <w:tcBorders>
              <w:top w:val="nil"/>
              <w:left w:val="nil"/>
              <w:bottom w:val="nil"/>
              <w:right w:val="nil"/>
            </w:tcBorders>
            <w:shd w:val="clear" w:color="auto" w:fill="auto"/>
            <w:noWrap/>
            <w:vAlign w:val="center"/>
            <w:hideMark/>
          </w:tcPr>
          <w:p w14:paraId="0A7DB6BA"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(ref.)</w:t>
            </w:r>
          </w:p>
        </w:tc>
        <w:tc>
          <w:tcPr>
            <w:tcW w:w="0" w:type="auto"/>
            <w:tcBorders>
              <w:top w:val="nil"/>
              <w:left w:val="nil"/>
              <w:bottom w:val="nil"/>
              <w:right w:val="nil"/>
            </w:tcBorders>
            <w:shd w:val="clear" w:color="auto" w:fill="auto"/>
            <w:noWrap/>
            <w:vAlign w:val="center"/>
            <w:hideMark/>
          </w:tcPr>
          <w:p w14:paraId="13D7A61C"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p>
        </w:tc>
      </w:tr>
      <w:tr w:rsidR="00D83340" w:rsidRPr="00D83340" w14:paraId="0CB84A21" w14:textId="77777777" w:rsidTr="00D83340">
        <w:trPr>
          <w:trHeight w:val="278"/>
        </w:trPr>
        <w:tc>
          <w:tcPr>
            <w:tcW w:w="0" w:type="auto"/>
            <w:tcBorders>
              <w:top w:val="nil"/>
              <w:left w:val="nil"/>
              <w:bottom w:val="nil"/>
              <w:right w:val="nil"/>
            </w:tcBorders>
            <w:shd w:val="clear" w:color="auto" w:fill="auto"/>
            <w:noWrap/>
            <w:vAlign w:val="center"/>
            <w:hideMark/>
          </w:tcPr>
          <w:p w14:paraId="17B00743" w14:textId="725B2E26"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 xml:space="preserve">    Overweight</w:t>
            </w:r>
          </w:p>
        </w:tc>
        <w:tc>
          <w:tcPr>
            <w:tcW w:w="0" w:type="auto"/>
            <w:tcBorders>
              <w:top w:val="nil"/>
              <w:left w:val="nil"/>
              <w:bottom w:val="single" w:sz="4" w:space="0" w:color="auto"/>
              <w:right w:val="nil"/>
            </w:tcBorders>
            <w:shd w:val="clear" w:color="auto" w:fill="auto"/>
            <w:noWrap/>
            <w:vAlign w:val="center"/>
            <w:hideMark/>
          </w:tcPr>
          <w:p w14:paraId="5713533B"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0.67</w:t>
            </w:r>
          </w:p>
        </w:tc>
        <w:tc>
          <w:tcPr>
            <w:tcW w:w="0" w:type="auto"/>
            <w:tcBorders>
              <w:top w:val="nil"/>
              <w:left w:val="nil"/>
              <w:bottom w:val="single" w:sz="4" w:space="0" w:color="auto"/>
              <w:right w:val="nil"/>
            </w:tcBorders>
            <w:shd w:val="clear" w:color="auto" w:fill="auto"/>
            <w:noWrap/>
            <w:vAlign w:val="center"/>
            <w:hideMark/>
          </w:tcPr>
          <w:p w14:paraId="1B6CD9A0"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0.48 to 0.94</w:t>
            </w:r>
          </w:p>
        </w:tc>
        <w:tc>
          <w:tcPr>
            <w:tcW w:w="0" w:type="auto"/>
            <w:tcBorders>
              <w:top w:val="nil"/>
              <w:left w:val="nil"/>
              <w:bottom w:val="single" w:sz="4" w:space="0" w:color="auto"/>
              <w:right w:val="nil"/>
            </w:tcBorders>
            <w:shd w:val="clear" w:color="auto" w:fill="auto"/>
            <w:noWrap/>
            <w:vAlign w:val="center"/>
            <w:hideMark/>
          </w:tcPr>
          <w:p w14:paraId="39E584C6"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0.020</w:t>
            </w:r>
          </w:p>
        </w:tc>
        <w:tc>
          <w:tcPr>
            <w:tcW w:w="0" w:type="auto"/>
            <w:tcBorders>
              <w:top w:val="nil"/>
              <w:left w:val="nil"/>
              <w:bottom w:val="single" w:sz="4" w:space="0" w:color="auto"/>
              <w:right w:val="nil"/>
            </w:tcBorders>
            <w:shd w:val="clear" w:color="auto" w:fill="auto"/>
            <w:noWrap/>
            <w:vAlign w:val="center"/>
            <w:hideMark/>
          </w:tcPr>
          <w:p w14:paraId="35237BDE"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0.56</w:t>
            </w:r>
          </w:p>
        </w:tc>
        <w:tc>
          <w:tcPr>
            <w:tcW w:w="0" w:type="auto"/>
            <w:tcBorders>
              <w:top w:val="nil"/>
              <w:left w:val="nil"/>
              <w:bottom w:val="single" w:sz="4" w:space="0" w:color="auto"/>
              <w:right w:val="nil"/>
            </w:tcBorders>
            <w:shd w:val="clear" w:color="auto" w:fill="auto"/>
            <w:noWrap/>
            <w:vAlign w:val="center"/>
            <w:hideMark/>
          </w:tcPr>
          <w:p w14:paraId="2D53C89E"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-0.58</w:t>
            </w:r>
          </w:p>
        </w:tc>
        <w:tc>
          <w:tcPr>
            <w:tcW w:w="0" w:type="auto"/>
            <w:tcBorders>
              <w:top w:val="nil"/>
              <w:left w:val="nil"/>
              <w:bottom w:val="single" w:sz="4" w:space="0" w:color="auto"/>
              <w:right w:val="nil"/>
            </w:tcBorders>
            <w:shd w:val="clear" w:color="auto" w:fill="auto"/>
            <w:noWrap/>
            <w:vAlign w:val="center"/>
            <w:hideMark/>
          </w:tcPr>
          <w:p w14:paraId="02442E7E"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0.38</w:t>
            </w:r>
          </w:p>
        </w:tc>
      </w:tr>
      <w:tr w:rsidR="00D83340" w:rsidRPr="00D83340" w14:paraId="4E62160B" w14:textId="77777777" w:rsidTr="00D83340">
        <w:trPr>
          <w:trHeight w:val="278"/>
        </w:trPr>
        <w:tc>
          <w:tcPr>
            <w:tcW w:w="0" w:type="auto"/>
            <w:tcBorders>
              <w:top w:val="nil"/>
              <w:left w:val="nil"/>
              <w:bottom w:val="nil"/>
              <w:right w:val="nil"/>
            </w:tcBorders>
            <w:shd w:val="clear" w:color="auto" w:fill="auto"/>
            <w:noWrap/>
            <w:vAlign w:val="center"/>
            <w:hideMark/>
          </w:tcPr>
          <w:p w14:paraId="150089DE" w14:textId="20B78A2B"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Mental health</w:t>
            </w:r>
          </w:p>
        </w:tc>
        <w:tc>
          <w:tcPr>
            <w:tcW w:w="0" w:type="auto"/>
            <w:tcBorders>
              <w:top w:val="nil"/>
              <w:left w:val="nil"/>
              <w:bottom w:val="single" w:sz="4" w:space="0" w:color="auto"/>
              <w:right w:val="nil"/>
            </w:tcBorders>
            <w:shd w:val="clear" w:color="auto" w:fill="auto"/>
            <w:noWrap/>
            <w:vAlign w:val="center"/>
            <w:hideMark/>
          </w:tcPr>
          <w:p w14:paraId="50B5C4C2" w14:textId="0C77BBFC" w:rsidR="00D83340" w:rsidRPr="00D83340" w:rsidRDefault="00E97009" w:rsidP="00F00925">
            <w:pPr>
              <w:snapToGrid w:val="0"/>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w:t>
            </w:r>
          </w:p>
        </w:tc>
        <w:tc>
          <w:tcPr>
            <w:tcW w:w="0" w:type="auto"/>
            <w:tcBorders>
              <w:top w:val="nil"/>
              <w:left w:val="nil"/>
              <w:bottom w:val="single" w:sz="4" w:space="0" w:color="auto"/>
              <w:right w:val="nil"/>
            </w:tcBorders>
            <w:shd w:val="clear" w:color="auto" w:fill="auto"/>
            <w:noWrap/>
            <w:vAlign w:val="center"/>
            <w:hideMark/>
          </w:tcPr>
          <w:p w14:paraId="684A1D21" w14:textId="77777777"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95%CI</w:t>
            </w:r>
          </w:p>
        </w:tc>
        <w:tc>
          <w:tcPr>
            <w:tcW w:w="0" w:type="auto"/>
            <w:tcBorders>
              <w:top w:val="nil"/>
              <w:left w:val="nil"/>
              <w:bottom w:val="single" w:sz="4" w:space="0" w:color="auto"/>
              <w:right w:val="nil"/>
            </w:tcBorders>
            <w:shd w:val="clear" w:color="auto" w:fill="auto"/>
            <w:noWrap/>
            <w:vAlign w:val="center"/>
            <w:hideMark/>
          </w:tcPr>
          <w:p w14:paraId="7E4C6AA1" w14:textId="04568F15"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t>
            </w:r>
            <w:r w:rsidRPr="00D83340">
              <w:rPr>
                <w:rFonts w:ascii="Times New Roman" w:eastAsia="Times New Roman" w:hAnsi="Times New Roman" w:cs="Times New Roman"/>
                <w:color w:val="000000"/>
                <w:sz w:val="20"/>
                <w:szCs w:val="20"/>
              </w:rPr>
              <w:t>-value</w:t>
            </w:r>
          </w:p>
        </w:tc>
        <w:tc>
          <w:tcPr>
            <w:tcW w:w="0" w:type="auto"/>
            <w:tcBorders>
              <w:top w:val="nil"/>
              <w:left w:val="nil"/>
              <w:bottom w:val="single" w:sz="4" w:space="0" w:color="auto"/>
              <w:right w:val="nil"/>
            </w:tcBorders>
            <w:shd w:val="clear" w:color="auto" w:fill="auto"/>
            <w:noWrap/>
            <w:vAlign w:val="center"/>
            <w:hideMark/>
          </w:tcPr>
          <w:p w14:paraId="54A3950D" w14:textId="45A2C5D9"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229A0996" w14:textId="222F2584" w:rsidR="00D83340" w:rsidRPr="00D83340" w:rsidRDefault="00E97009" w:rsidP="00F00925">
            <w:pPr>
              <w:snapToGrid w:val="0"/>
              <w:spacing w:after="0" w:line="240" w:lineRule="auto"/>
              <w:contextualSpacing/>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w:t>
            </w:r>
          </w:p>
        </w:tc>
        <w:tc>
          <w:tcPr>
            <w:tcW w:w="0" w:type="auto"/>
            <w:tcBorders>
              <w:top w:val="nil"/>
              <w:left w:val="nil"/>
              <w:bottom w:val="single" w:sz="4" w:space="0" w:color="auto"/>
              <w:right w:val="nil"/>
            </w:tcBorders>
            <w:shd w:val="clear" w:color="auto" w:fill="auto"/>
            <w:noWrap/>
            <w:vAlign w:val="center"/>
            <w:hideMark/>
          </w:tcPr>
          <w:p w14:paraId="0A6E8E9F" w14:textId="77777777"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SE</w:t>
            </w:r>
          </w:p>
        </w:tc>
      </w:tr>
      <w:tr w:rsidR="00D83340" w:rsidRPr="00D83340" w14:paraId="6CC97332" w14:textId="77777777" w:rsidTr="00D83340">
        <w:trPr>
          <w:trHeight w:val="278"/>
        </w:trPr>
        <w:tc>
          <w:tcPr>
            <w:tcW w:w="0" w:type="auto"/>
            <w:tcBorders>
              <w:top w:val="nil"/>
              <w:left w:val="nil"/>
              <w:bottom w:val="nil"/>
              <w:right w:val="nil"/>
            </w:tcBorders>
            <w:shd w:val="clear" w:color="auto" w:fill="auto"/>
            <w:noWrap/>
            <w:vAlign w:val="center"/>
            <w:hideMark/>
          </w:tcPr>
          <w:p w14:paraId="23F48B40" w14:textId="77777777"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 xml:space="preserve">  SDQ total difficulties score</w:t>
            </w:r>
          </w:p>
        </w:tc>
        <w:tc>
          <w:tcPr>
            <w:tcW w:w="0" w:type="auto"/>
            <w:tcBorders>
              <w:top w:val="nil"/>
              <w:left w:val="nil"/>
              <w:bottom w:val="nil"/>
              <w:right w:val="nil"/>
            </w:tcBorders>
            <w:shd w:val="clear" w:color="auto" w:fill="auto"/>
            <w:noWrap/>
            <w:vAlign w:val="center"/>
            <w:hideMark/>
          </w:tcPr>
          <w:p w14:paraId="778ED543"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-0.07</w:t>
            </w:r>
          </w:p>
        </w:tc>
        <w:tc>
          <w:tcPr>
            <w:tcW w:w="0" w:type="auto"/>
            <w:tcBorders>
              <w:top w:val="nil"/>
              <w:left w:val="nil"/>
              <w:bottom w:val="nil"/>
              <w:right w:val="nil"/>
            </w:tcBorders>
            <w:shd w:val="clear" w:color="auto" w:fill="auto"/>
            <w:noWrap/>
            <w:vAlign w:val="center"/>
            <w:hideMark/>
          </w:tcPr>
          <w:p w14:paraId="3D986254"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-0.79 to 0.66</w:t>
            </w:r>
          </w:p>
        </w:tc>
        <w:tc>
          <w:tcPr>
            <w:tcW w:w="0" w:type="auto"/>
            <w:tcBorders>
              <w:top w:val="nil"/>
              <w:left w:val="nil"/>
              <w:bottom w:val="nil"/>
              <w:right w:val="nil"/>
            </w:tcBorders>
            <w:shd w:val="clear" w:color="auto" w:fill="auto"/>
            <w:noWrap/>
            <w:vAlign w:val="center"/>
            <w:hideMark/>
          </w:tcPr>
          <w:p w14:paraId="1A00F514"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0.857</w:t>
            </w:r>
          </w:p>
        </w:tc>
        <w:tc>
          <w:tcPr>
            <w:tcW w:w="0" w:type="auto"/>
            <w:tcBorders>
              <w:top w:val="nil"/>
              <w:left w:val="nil"/>
              <w:bottom w:val="nil"/>
              <w:right w:val="nil"/>
            </w:tcBorders>
            <w:shd w:val="clear" w:color="auto" w:fill="auto"/>
            <w:noWrap/>
            <w:vAlign w:val="center"/>
          </w:tcPr>
          <w:p w14:paraId="31C6BB76" w14:textId="1B0F9BE6"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0126460" w14:textId="17FCFA37"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-1.09</w:t>
            </w:r>
          </w:p>
        </w:tc>
        <w:tc>
          <w:tcPr>
            <w:tcW w:w="0" w:type="auto"/>
            <w:tcBorders>
              <w:top w:val="nil"/>
              <w:left w:val="nil"/>
              <w:bottom w:val="nil"/>
              <w:right w:val="nil"/>
            </w:tcBorders>
            <w:shd w:val="clear" w:color="auto" w:fill="auto"/>
            <w:noWrap/>
            <w:vAlign w:val="center"/>
            <w:hideMark/>
          </w:tcPr>
          <w:p w14:paraId="4CA18DCB"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0.62</w:t>
            </w:r>
          </w:p>
        </w:tc>
      </w:tr>
      <w:tr w:rsidR="00D83340" w:rsidRPr="00D83340" w14:paraId="06B8FFCE" w14:textId="77777777" w:rsidTr="00D83340">
        <w:trPr>
          <w:trHeight w:val="278"/>
        </w:trPr>
        <w:tc>
          <w:tcPr>
            <w:tcW w:w="0" w:type="auto"/>
            <w:tcBorders>
              <w:top w:val="nil"/>
              <w:left w:val="nil"/>
              <w:bottom w:val="nil"/>
              <w:right w:val="nil"/>
            </w:tcBorders>
            <w:shd w:val="clear" w:color="auto" w:fill="auto"/>
            <w:noWrap/>
            <w:vAlign w:val="center"/>
            <w:hideMark/>
          </w:tcPr>
          <w:p w14:paraId="075525D3" w14:textId="77777777"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 xml:space="preserve">  SDQ prosocial score</w:t>
            </w:r>
          </w:p>
        </w:tc>
        <w:tc>
          <w:tcPr>
            <w:tcW w:w="0" w:type="auto"/>
            <w:tcBorders>
              <w:top w:val="nil"/>
              <w:left w:val="nil"/>
              <w:bottom w:val="nil"/>
              <w:right w:val="nil"/>
            </w:tcBorders>
            <w:shd w:val="clear" w:color="auto" w:fill="auto"/>
            <w:noWrap/>
            <w:vAlign w:val="center"/>
            <w:hideMark/>
          </w:tcPr>
          <w:p w14:paraId="6898CF6A"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vAlign w:val="center"/>
            <w:hideMark/>
          </w:tcPr>
          <w:p w14:paraId="495A0573"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-0.29 to 0.26</w:t>
            </w:r>
          </w:p>
        </w:tc>
        <w:tc>
          <w:tcPr>
            <w:tcW w:w="0" w:type="auto"/>
            <w:tcBorders>
              <w:top w:val="nil"/>
              <w:left w:val="nil"/>
              <w:bottom w:val="nil"/>
              <w:right w:val="nil"/>
            </w:tcBorders>
            <w:shd w:val="clear" w:color="auto" w:fill="auto"/>
            <w:noWrap/>
            <w:vAlign w:val="center"/>
            <w:hideMark/>
          </w:tcPr>
          <w:p w14:paraId="1D8FF4DB"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0.900</w:t>
            </w:r>
          </w:p>
        </w:tc>
        <w:tc>
          <w:tcPr>
            <w:tcW w:w="0" w:type="auto"/>
            <w:tcBorders>
              <w:top w:val="nil"/>
              <w:left w:val="nil"/>
              <w:bottom w:val="nil"/>
              <w:right w:val="nil"/>
            </w:tcBorders>
            <w:shd w:val="clear" w:color="auto" w:fill="auto"/>
            <w:noWrap/>
            <w:vAlign w:val="center"/>
          </w:tcPr>
          <w:p w14:paraId="36B13480" w14:textId="40DC89C4"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4737DC28" w14:textId="5F17C16E"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-0.03</w:t>
            </w:r>
          </w:p>
        </w:tc>
        <w:tc>
          <w:tcPr>
            <w:tcW w:w="0" w:type="auto"/>
            <w:tcBorders>
              <w:top w:val="nil"/>
              <w:left w:val="nil"/>
              <w:bottom w:val="nil"/>
              <w:right w:val="nil"/>
            </w:tcBorders>
            <w:shd w:val="clear" w:color="auto" w:fill="auto"/>
            <w:noWrap/>
            <w:vAlign w:val="center"/>
            <w:hideMark/>
          </w:tcPr>
          <w:p w14:paraId="4505B336"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0.26</w:t>
            </w:r>
          </w:p>
        </w:tc>
      </w:tr>
      <w:tr w:rsidR="00D83340" w:rsidRPr="00D83340" w14:paraId="212AF810" w14:textId="77777777" w:rsidTr="00D83340">
        <w:trPr>
          <w:trHeight w:val="278"/>
        </w:trPr>
        <w:tc>
          <w:tcPr>
            <w:tcW w:w="0" w:type="auto"/>
            <w:tcBorders>
              <w:top w:val="nil"/>
              <w:left w:val="nil"/>
              <w:bottom w:val="nil"/>
              <w:right w:val="nil"/>
            </w:tcBorders>
            <w:shd w:val="clear" w:color="auto" w:fill="auto"/>
            <w:noWrap/>
            <w:vAlign w:val="center"/>
            <w:hideMark/>
          </w:tcPr>
          <w:p w14:paraId="023A2582" w14:textId="7434C590"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 xml:space="preserve">  Depression</w:t>
            </w:r>
          </w:p>
        </w:tc>
        <w:tc>
          <w:tcPr>
            <w:tcW w:w="0" w:type="auto"/>
            <w:tcBorders>
              <w:top w:val="nil"/>
              <w:left w:val="nil"/>
              <w:bottom w:val="nil"/>
              <w:right w:val="nil"/>
            </w:tcBorders>
            <w:shd w:val="clear" w:color="auto" w:fill="auto"/>
            <w:noWrap/>
            <w:vAlign w:val="center"/>
            <w:hideMark/>
          </w:tcPr>
          <w:p w14:paraId="0BBD8B07"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-0.24</w:t>
            </w:r>
          </w:p>
        </w:tc>
        <w:tc>
          <w:tcPr>
            <w:tcW w:w="0" w:type="auto"/>
            <w:tcBorders>
              <w:top w:val="nil"/>
              <w:left w:val="nil"/>
              <w:bottom w:val="nil"/>
              <w:right w:val="nil"/>
            </w:tcBorders>
            <w:shd w:val="clear" w:color="auto" w:fill="auto"/>
            <w:noWrap/>
            <w:vAlign w:val="center"/>
            <w:hideMark/>
          </w:tcPr>
          <w:p w14:paraId="018B31C3"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-0.84 to 0.36</w:t>
            </w:r>
          </w:p>
        </w:tc>
        <w:tc>
          <w:tcPr>
            <w:tcW w:w="0" w:type="auto"/>
            <w:tcBorders>
              <w:top w:val="nil"/>
              <w:left w:val="nil"/>
              <w:bottom w:val="nil"/>
              <w:right w:val="nil"/>
            </w:tcBorders>
            <w:shd w:val="clear" w:color="auto" w:fill="auto"/>
            <w:noWrap/>
            <w:vAlign w:val="center"/>
            <w:hideMark/>
          </w:tcPr>
          <w:p w14:paraId="5400C25F"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0.432</w:t>
            </w:r>
          </w:p>
        </w:tc>
        <w:tc>
          <w:tcPr>
            <w:tcW w:w="0" w:type="auto"/>
            <w:tcBorders>
              <w:top w:val="nil"/>
              <w:left w:val="nil"/>
              <w:bottom w:val="nil"/>
              <w:right w:val="nil"/>
            </w:tcBorders>
            <w:shd w:val="clear" w:color="auto" w:fill="auto"/>
            <w:noWrap/>
            <w:vAlign w:val="center"/>
          </w:tcPr>
          <w:p w14:paraId="3C2D9E78" w14:textId="679DFB6B"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vAlign w:val="center"/>
            <w:hideMark/>
          </w:tcPr>
          <w:p w14:paraId="3D25257B" w14:textId="2D6494AB"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vAlign w:val="center"/>
            <w:hideMark/>
          </w:tcPr>
          <w:p w14:paraId="551BA8E3"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0.55</w:t>
            </w:r>
          </w:p>
        </w:tc>
      </w:tr>
      <w:tr w:rsidR="00D83340" w:rsidRPr="00D83340" w14:paraId="1419E0E2" w14:textId="77777777" w:rsidTr="00D83340">
        <w:trPr>
          <w:trHeight w:val="278"/>
        </w:trPr>
        <w:tc>
          <w:tcPr>
            <w:tcW w:w="0" w:type="auto"/>
            <w:tcBorders>
              <w:top w:val="nil"/>
              <w:left w:val="nil"/>
              <w:bottom w:val="single" w:sz="4" w:space="0" w:color="auto"/>
              <w:right w:val="nil"/>
            </w:tcBorders>
            <w:shd w:val="clear" w:color="auto" w:fill="auto"/>
            <w:noWrap/>
            <w:vAlign w:val="center"/>
            <w:hideMark/>
          </w:tcPr>
          <w:p w14:paraId="087B515C" w14:textId="77777777" w:rsidR="00D83340" w:rsidRPr="00D83340" w:rsidRDefault="00D83340" w:rsidP="00F00925">
            <w:pPr>
              <w:snapToGrid w:val="0"/>
              <w:spacing w:after="0" w:line="240" w:lineRule="auto"/>
              <w:contextualSpacing/>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Self-rated health</w:t>
            </w:r>
          </w:p>
        </w:tc>
        <w:tc>
          <w:tcPr>
            <w:tcW w:w="0" w:type="auto"/>
            <w:tcBorders>
              <w:top w:val="nil"/>
              <w:left w:val="nil"/>
              <w:bottom w:val="single" w:sz="4" w:space="0" w:color="auto"/>
              <w:right w:val="nil"/>
            </w:tcBorders>
            <w:shd w:val="clear" w:color="auto" w:fill="auto"/>
            <w:noWrap/>
            <w:vAlign w:val="center"/>
            <w:hideMark/>
          </w:tcPr>
          <w:p w14:paraId="7DECFE33"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-0.03</w:t>
            </w:r>
          </w:p>
        </w:tc>
        <w:tc>
          <w:tcPr>
            <w:tcW w:w="0" w:type="auto"/>
            <w:tcBorders>
              <w:top w:val="nil"/>
              <w:left w:val="nil"/>
              <w:bottom w:val="single" w:sz="4" w:space="0" w:color="auto"/>
              <w:right w:val="nil"/>
            </w:tcBorders>
            <w:shd w:val="clear" w:color="auto" w:fill="auto"/>
            <w:noWrap/>
            <w:vAlign w:val="center"/>
            <w:hideMark/>
          </w:tcPr>
          <w:p w14:paraId="07E0EB2F"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-0.18 to 0.12</w:t>
            </w:r>
          </w:p>
        </w:tc>
        <w:tc>
          <w:tcPr>
            <w:tcW w:w="0" w:type="auto"/>
            <w:tcBorders>
              <w:top w:val="nil"/>
              <w:left w:val="nil"/>
              <w:bottom w:val="single" w:sz="4" w:space="0" w:color="auto"/>
              <w:right w:val="nil"/>
            </w:tcBorders>
            <w:shd w:val="clear" w:color="auto" w:fill="auto"/>
            <w:noWrap/>
            <w:vAlign w:val="center"/>
            <w:hideMark/>
          </w:tcPr>
          <w:p w14:paraId="5AAB18E7"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0.697</w:t>
            </w:r>
          </w:p>
        </w:tc>
        <w:tc>
          <w:tcPr>
            <w:tcW w:w="0" w:type="auto"/>
            <w:tcBorders>
              <w:top w:val="nil"/>
              <w:left w:val="nil"/>
              <w:bottom w:val="single" w:sz="4" w:space="0" w:color="auto"/>
              <w:right w:val="nil"/>
            </w:tcBorders>
            <w:shd w:val="clear" w:color="auto" w:fill="auto"/>
            <w:noWrap/>
            <w:vAlign w:val="center"/>
          </w:tcPr>
          <w:p w14:paraId="70E743E9" w14:textId="32C32232"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p>
        </w:tc>
        <w:tc>
          <w:tcPr>
            <w:tcW w:w="0" w:type="auto"/>
            <w:tcBorders>
              <w:top w:val="nil"/>
              <w:left w:val="nil"/>
              <w:bottom w:val="single" w:sz="4" w:space="0" w:color="auto"/>
              <w:right w:val="nil"/>
            </w:tcBorders>
            <w:shd w:val="clear" w:color="auto" w:fill="auto"/>
            <w:noWrap/>
            <w:vAlign w:val="center"/>
            <w:hideMark/>
          </w:tcPr>
          <w:p w14:paraId="7325345B" w14:textId="7EB9FF68" w:rsidR="00D83340" w:rsidRPr="00D83340" w:rsidRDefault="00D83340" w:rsidP="00F00925">
            <w:pPr>
              <w:snapToGrid w:val="0"/>
              <w:spacing w:after="0" w:line="240" w:lineRule="auto"/>
              <w:contextualSpacing/>
              <w:jc w:val="center"/>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0.04</w:t>
            </w:r>
          </w:p>
        </w:tc>
        <w:tc>
          <w:tcPr>
            <w:tcW w:w="0" w:type="auto"/>
            <w:tcBorders>
              <w:top w:val="nil"/>
              <w:left w:val="nil"/>
              <w:bottom w:val="single" w:sz="4" w:space="0" w:color="auto"/>
              <w:right w:val="nil"/>
            </w:tcBorders>
            <w:shd w:val="clear" w:color="auto" w:fill="auto"/>
            <w:noWrap/>
            <w:vAlign w:val="center"/>
            <w:hideMark/>
          </w:tcPr>
          <w:p w14:paraId="75568ADB" w14:textId="77777777" w:rsidR="00D83340" w:rsidRPr="00D83340" w:rsidRDefault="00D83340" w:rsidP="00F00925">
            <w:pPr>
              <w:snapToGrid w:val="0"/>
              <w:spacing w:after="0" w:line="240" w:lineRule="auto"/>
              <w:contextualSpacing/>
              <w:jc w:val="right"/>
              <w:rPr>
                <w:rFonts w:ascii="Times New Roman" w:eastAsia="Times New Roman" w:hAnsi="Times New Roman" w:cs="Times New Roman"/>
                <w:color w:val="000000"/>
                <w:sz w:val="20"/>
                <w:szCs w:val="20"/>
              </w:rPr>
            </w:pPr>
            <w:r w:rsidRPr="00D83340">
              <w:rPr>
                <w:rFonts w:ascii="Times New Roman" w:eastAsia="Times New Roman" w:hAnsi="Times New Roman" w:cs="Times New Roman"/>
                <w:color w:val="000000"/>
                <w:sz w:val="20"/>
                <w:szCs w:val="20"/>
              </w:rPr>
              <w:t>0.14</w:t>
            </w:r>
          </w:p>
        </w:tc>
      </w:tr>
    </w:tbl>
    <w:p w14:paraId="2255F9DB" w14:textId="77777777" w:rsidR="00D83340" w:rsidRPr="00421E39" w:rsidRDefault="00D83340" w:rsidP="00F00925">
      <w:pPr>
        <w:snapToGrid w:val="0"/>
        <w:spacing w:line="240" w:lineRule="auto"/>
        <w:contextualSpacing/>
        <w:rPr>
          <w:rFonts w:ascii="Times New Roman" w:hAnsi="Times New Roman" w:cs="Times New Roman"/>
          <w:sz w:val="24"/>
          <w:szCs w:val="24"/>
        </w:rPr>
      </w:pPr>
    </w:p>
    <w:p w14:paraId="0E11E958" w14:textId="77777777" w:rsidR="00421E39" w:rsidRDefault="00421E39" w:rsidP="00F00925">
      <w:pPr>
        <w:snapToGrid w:val="0"/>
        <w:spacing w:line="240" w:lineRule="auto"/>
        <w:contextualSpacing/>
        <w:rPr>
          <w:rFonts w:ascii="Times New Roman" w:hAnsi="Times New Roman" w:cs="Times New Roman"/>
          <w:sz w:val="24"/>
          <w:szCs w:val="24"/>
        </w:rPr>
        <w:sectPr w:rsidR="00421E39">
          <w:pgSz w:w="12240" w:h="15840"/>
          <w:pgMar w:top="1440" w:right="1440" w:bottom="1440" w:left="1440" w:header="720" w:footer="720" w:gutter="0"/>
          <w:cols w:space="720"/>
          <w:docGrid w:linePitch="360"/>
        </w:sectPr>
      </w:pPr>
    </w:p>
    <w:p w14:paraId="4D0D3CE6" w14:textId="77777777" w:rsidR="00D83340" w:rsidRDefault="00D83340" w:rsidP="00F00925">
      <w:pPr>
        <w:snapToGrid w:val="0"/>
        <w:spacing w:line="240" w:lineRule="auto"/>
        <w:contextualSpacing/>
        <w:rPr>
          <w:rFonts w:ascii="Times New Roman" w:hAnsi="Times New Roman" w:cs="Times New Roman"/>
          <w:sz w:val="24"/>
          <w:szCs w:val="24"/>
        </w:rPr>
        <w:sectPr w:rsidR="00D83340" w:rsidSect="00421E39">
          <w:type w:val="continuous"/>
          <w:pgSz w:w="12240" w:h="15840"/>
          <w:pgMar w:top="1440" w:right="1440" w:bottom="1440" w:left="1440" w:header="720" w:footer="720" w:gutter="0"/>
          <w:cols w:space="720"/>
          <w:docGrid w:linePitch="360"/>
        </w:sectPr>
      </w:pPr>
    </w:p>
    <w:p w14:paraId="68A15429" w14:textId="32D64A2A" w:rsidR="00421E39" w:rsidRDefault="00E97009" w:rsidP="00F00925">
      <w:pPr>
        <w:snapToGri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lastRenderedPageBreak/>
        <w:t>Supplementary m</w:t>
      </w:r>
      <w:r w:rsidR="00421E39" w:rsidRPr="00421E39">
        <w:rPr>
          <w:rFonts w:ascii="Times New Roman" w:hAnsi="Times New Roman" w:cs="Times New Roman"/>
          <w:sz w:val="24"/>
          <w:szCs w:val="24"/>
        </w:rPr>
        <w:t>ethod</w:t>
      </w:r>
      <w:r>
        <w:rPr>
          <w:rFonts w:ascii="Times New Roman" w:hAnsi="Times New Roman" w:cs="Times New Roman"/>
          <w:sz w:val="24"/>
          <w:szCs w:val="24"/>
        </w:rPr>
        <w:t xml:space="preserve"> 1. Mea</w:t>
      </w:r>
      <w:r w:rsidR="00421E39" w:rsidRPr="00585DA7">
        <w:rPr>
          <w:rFonts w:ascii="Times New Roman" w:hAnsi="Times New Roman" w:cs="Times New Roman"/>
          <w:color w:val="000000" w:themeColor="text1"/>
          <w:sz w:val="24"/>
          <w:szCs w:val="24"/>
        </w:rPr>
        <w:t>surements</w:t>
      </w:r>
    </w:p>
    <w:p w14:paraId="61E806F2" w14:textId="77777777" w:rsidR="00E97009" w:rsidRPr="00585DA7" w:rsidRDefault="00E97009" w:rsidP="00F00925">
      <w:pPr>
        <w:snapToGrid w:val="0"/>
        <w:spacing w:line="240" w:lineRule="auto"/>
        <w:contextualSpacing/>
        <w:rPr>
          <w:rFonts w:ascii="Times New Roman" w:hAnsi="Times New Roman" w:cs="Times New Roman"/>
          <w:color w:val="000000" w:themeColor="text1"/>
          <w:sz w:val="24"/>
          <w:szCs w:val="24"/>
        </w:rPr>
      </w:pPr>
    </w:p>
    <w:p w14:paraId="1026A727" w14:textId="77777777" w:rsidR="00421E39" w:rsidRPr="00585DA7" w:rsidRDefault="00421E39" w:rsidP="00F00925">
      <w:pPr>
        <w:snapToGrid w:val="0"/>
        <w:spacing w:line="240" w:lineRule="auto"/>
        <w:contextualSpacing/>
        <w:rPr>
          <w:rFonts w:ascii="Times New Roman" w:hAnsi="Times New Roman" w:cs="Times New Roman"/>
          <w:i/>
          <w:color w:val="000000" w:themeColor="text1"/>
          <w:sz w:val="24"/>
          <w:szCs w:val="24"/>
        </w:rPr>
      </w:pPr>
      <w:r w:rsidRPr="00585DA7">
        <w:rPr>
          <w:rFonts w:ascii="Times New Roman" w:hAnsi="Times New Roman" w:cs="Times New Roman"/>
          <w:i/>
          <w:color w:val="000000" w:themeColor="text1"/>
          <w:sz w:val="24"/>
          <w:szCs w:val="24"/>
        </w:rPr>
        <w:t>Child allowance</w:t>
      </w:r>
    </w:p>
    <w:p w14:paraId="35E7391E" w14:textId="77777777" w:rsidR="00421E39" w:rsidRPr="00585DA7" w:rsidRDefault="00421E39" w:rsidP="00F00925">
      <w:pPr>
        <w:snapToGrid w:val="0"/>
        <w:spacing w:line="240" w:lineRule="auto"/>
        <w:contextualSpacing/>
        <w:rPr>
          <w:rFonts w:ascii="Times New Roman" w:hAnsi="Times New Roman" w:cs="Times New Roman"/>
          <w:color w:val="000000" w:themeColor="text1"/>
          <w:sz w:val="24"/>
          <w:szCs w:val="24"/>
        </w:rPr>
      </w:pPr>
      <w:r w:rsidRPr="00585DA7">
        <w:rPr>
          <w:rFonts w:ascii="Times New Roman" w:hAnsi="Times New Roman" w:cs="Times New Roman"/>
          <w:color w:val="000000" w:themeColor="text1"/>
          <w:sz w:val="24"/>
          <w:szCs w:val="24"/>
        </w:rPr>
        <w:t xml:space="preserve">Child allowance status was assessed by asking parents: “How much does your household receive in child allowance per payment? Please fill in the blank with numbers”. Because we are interested in finding out whether caregivers are receiving child allowance or not, we dichotomized the responses if caregivers answered with a value more than ‘0 JPY’ (i.e. receiving) or ‘0 JPY’ (i.e. not receiving). </w:t>
      </w:r>
    </w:p>
    <w:p w14:paraId="02870559" w14:textId="77777777" w:rsidR="00421E39" w:rsidRPr="00585DA7" w:rsidRDefault="00421E39" w:rsidP="00F00925">
      <w:pPr>
        <w:snapToGrid w:val="0"/>
        <w:spacing w:line="240" w:lineRule="auto"/>
        <w:contextualSpacing/>
        <w:rPr>
          <w:rFonts w:ascii="Times New Roman" w:hAnsi="Times New Roman" w:cs="Times New Roman"/>
          <w:color w:val="000000" w:themeColor="text1"/>
          <w:sz w:val="24"/>
          <w:szCs w:val="24"/>
        </w:rPr>
      </w:pPr>
    </w:p>
    <w:p w14:paraId="10E4EBD2" w14:textId="77777777" w:rsidR="00421E39" w:rsidRPr="00585DA7" w:rsidRDefault="00421E39" w:rsidP="00F00925">
      <w:pPr>
        <w:snapToGrid w:val="0"/>
        <w:spacing w:line="240" w:lineRule="auto"/>
        <w:contextualSpacing/>
        <w:rPr>
          <w:rFonts w:ascii="Times New Roman" w:hAnsi="Times New Roman" w:cs="Times New Roman"/>
          <w:i/>
          <w:color w:val="000000" w:themeColor="text1"/>
          <w:sz w:val="24"/>
          <w:szCs w:val="24"/>
        </w:rPr>
      </w:pPr>
      <w:r w:rsidRPr="00585DA7">
        <w:rPr>
          <w:rFonts w:ascii="Times New Roman" w:hAnsi="Times New Roman" w:cs="Times New Roman"/>
          <w:i/>
          <w:color w:val="000000" w:themeColor="text1"/>
          <w:sz w:val="24"/>
          <w:szCs w:val="24"/>
        </w:rPr>
        <w:t>Child health outcomes</w:t>
      </w:r>
    </w:p>
    <w:p w14:paraId="39378B84" w14:textId="4D28E1A4" w:rsidR="00421E39" w:rsidRPr="00585DA7" w:rsidRDefault="00421E39" w:rsidP="00F00925">
      <w:pPr>
        <w:snapToGrid w:val="0"/>
        <w:spacing w:line="240" w:lineRule="auto"/>
        <w:contextualSpacing/>
        <w:rPr>
          <w:rFonts w:ascii="Times New Roman" w:hAnsi="Times New Roman" w:cs="Times New Roman"/>
          <w:color w:val="000000" w:themeColor="text1"/>
          <w:sz w:val="24"/>
          <w:szCs w:val="24"/>
        </w:rPr>
      </w:pPr>
      <w:r w:rsidRPr="00585DA7">
        <w:rPr>
          <w:rFonts w:ascii="Times New Roman" w:hAnsi="Times New Roman" w:cs="Times New Roman"/>
          <w:color w:val="000000" w:themeColor="text1"/>
          <w:sz w:val="24"/>
          <w:szCs w:val="24"/>
        </w:rPr>
        <w:t>Children’s BMI was calculated with self-reported heights and weights obtained from children themselves (for 8</w:t>
      </w:r>
      <w:r w:rsidRPr="00585DA7">
        <w:rPr>
          <w:rFonts w:ascii="Times New Roman" w:hAnsi="Times New Roman" w:cs="Times New Roman"/>
          <w:color w:val="000000" w:themeColor="text1"/>
          <w:sz w:val="24"/>
          <w:szCs w:val="24"/>
          <w:vertAlign w:val="superscript"/>
        </w:rPr>
        <w:t>th</w:t>
      </w:r>
      <w:r w:rsidRPr="00585DA7">
        <w:rPr>
          <w:rFonts w:ascii="Times New Roman" w:hAnsi="Times New Roman" w:cs="Times New Roman"/>
          <w:color w:val="000000" w:themeColor="text1"/>
          <w:sz w:val="24"/>
          <w:szCs w:val="24"/>
        </w:rPr>
        <w:t xml:space="preserve"> graders) and caregivers (for 1</w:t>
      </w:r>
      <w:r w:rsidRPr="00585DA7">
        <w:rPr>
          <w:rFonts w:ascii="Times New Roman" w:hAnsi="Times New Roman" w:cs="Times New Roman"/>
          <w:color w:val="000000" w:themeColor="text1"/>
          <w:sz w:val="24"/>
          <w:szCs w:val="24"/>
          <w:vertAlign w:val="superscript"/>
        </w:rPr>
        <w:t>st</w:t>
      </w:r>
      <w:r w:rsidRPr="00585DA7">
        <w:rPr>
          <w:rFonts w:ascii="Times New Roman" w:hAnsi="Times New Roman" w:cs="Times New Roman"/>
          <w:color w:val="000000" w:themeColor="text1"/>
          <w:sz w:val="24"/>
          <w:szCs w:val="24"/>
        </w:rPr>
        <w:t xml:space="preserve"> and 5</w:t>
      </w:r>
      <w:r w:rsidRPr="00585DA7">
        <w:rPr>
          <w:rFonts w:ascii="Times New Roman" w:hAnsi="Times New Roman" w:cs="Times New Roman"/>
          <w:color w:val="000000" w:themeColor="text1"/>
          <w:sz w:val="24"/>
          <w:szCs w:val="24"/>
          <w:vertAlign w:val="superscript"/>
        </w:rPr>
        <w:t>th</w:t>
      </w:r>
      <w:r w:rsidRPr="00585DA7">
        <w:rPr>
          <w:rFonts w:ascii="Times New Roman" w:hAnsi="Times New Roman" w:cs="Times New Roman"/>
          <w:color w:val="000000" w:themeColor="text1"/>
          <w:sz w:val="24"/>
          <w:szCs w:val="24"/>
        </w:rPr>
        <w:t xml:space="preserve"> graders). BMI was expressed as z-scores representing the deviation in standard deviation units from the mean of a standard normal distribution of BMI specific to age and sex according to the WHO Child Growth Standards </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&lt;EndNote&gt;&lt;Cite&gt;&lt;Author&gt;Cole&lt;/Author&gt;&lt;Year&gt;1990&lt;/Year&gt;&lt;RecNum&gt;252&lt;/RecNum&gt;&lt;DisplayText&gt;[1]&lt;/DisplayText&gt;&lt;record&gt;&lt;rec-number&gt;252&lt;/rec-number&gt;&lt;foreign-keys&gt;&lt;key app="EN" db-id="eda2pszt8xrpr6e02dovwtzizsafxr9xvavr" timestamp="1560212025"&gt;252&lt;/key&gt;&lt;/foreign-keys&gt;&lt;ref-type name="Journal Article"&gt;17&lt;/ref-type&gt;&lt;contributors&gt;&lt;authors&gt;&lt;author&gt;Cole, Tim J&lt;/author&gt;&lt;/authors&gt;&lt;/contributors&gt;&lt;titles&gt;&lt;title&gt;The LMS method for constructing normalized growth standards&lt;/title&gt;&lt;secondary-title&gt;European journal of clinical nutrition&lt;/secondary-title&gt;&lt;/titles&gt;&lt;periodical&gt;&lt;full-title&gt;European journal of clinical nutrition&lt;/full-title&gt;&lt;/periodical&gt;&lt;pages&gt;45-60&lt;/pages&gt;&lt;volume&gt;44&lt;/volume&gt;&lt;number&gt;1&lt;/number&gt;&lt;dates&gt;&lt;year&gt;1990&lt;/year&gt;&lt;/dates&gt;&lt;isbn&gt;0954-3007&lt;/isbn&gt;&lt;urls&gt;&lt;/urls&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[1]</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We categorized BMI as underweight (&lt;1SD), normal weight (-1SD to 1SD) and overweight (+1SD).</w:t>
      </w:r>
    </w:p>
    <w:p w14:paraId="22F02896" w14:textId="78B680C1" w:rsidR="00421E39" w:rsidRPr="00585DA7" w:rsidRDefault="00421E39" w:rsidP="00F00925">
      <w:pPr>
        <w:snapToGrid w:val="0"/>
        <w:spacing w:line="240" w:lineRule="auto"/>
        <w:ind w:firstLineChars="250" w:firstLine="600"/>
        <w:contextualSpacing/>
        <w:rPr>
          <w:rFonts w:ascii="Times New Roman" w:hAnsi="Times New Roman" w:cs="Times New Roman"/>
          <w:color w:val="000000" w:themeColor="text1"/>
          <w:sz w:val="24"/>
          <w:szCs w:val="24"/>
        </w:rPr>
      </w:pPr>
      <w:r w:rsidRPr="00585DA7">
        <w:rPr>
          <w:rFonts w:ascii="Times New Roman" w:hAnsi="Times New Roman" w:cs="Times New Roman"/>
          <w:color w:val="000000" w:themeColor="text1"/>
          <w:sz w:val="24"/>
          <w:szCs w:val="24"/>
        </w:rPr>
        <w:t>Problem behavior was assessed by caregivers using the Japanese version of the Strengths and Difficulties Questionnaire (SDQ)</w:t>
      </w:r>
      <w:r w:rsidRPr="00585DA7">
        <w:rPr>
          <w:color w:val="000000" w:themeColor="text1"/>
        </w:rPr>
        <w:t xml:space="preserve"> </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&lt;EndNote&gt;&lt;Cite&gt;&lt;Author&gt;Matsuishi&lt;/Author&gt;&lt;Year&gt;2008&lt;/Year&gt;&lt;RecNum&gt;143&lt;/RecNum&gt;&lt;DisplayText&gt;[2]&lt;/DisplayText&gt;&lt;record&gt;&lt;rec-number&gt;143&lt;/rec-number&gt;&lt;foreign-keys&gt;&lt;key app="EN" db-id="eda2pszt8xrpr6e02dovwtzizsafxr9xvavr" timestamp="1543286728"&gt;143&lt;/key&gt;&lt;/foreign-keys&gt;&lt;ref-type name="Journal Article"&gt;17&lt;/ref-type&gt;&lt;contributors&gt;&lt;authors&gt;&lt;author&gt;Matsuishi, Toyojiro&lt;/author&gt;&lt;author&gt;Nagano, Miki&lt;/author&gt;&lt;author&gt;Araki, Yuko&lt;/author&gt;&lt;author&gt;Tanaka, Yoshiyuki&lt;/author&gt;&lt;author&gt;Iwasaki, Mizue&lt;/author&gt;&lt;author&gt;Yamashita, Yushiro&lt;/author&gt;&lt;author&gt;Nagamitsu, Schinichiro&lt;/author&gt;&lt;author&gt;Iizuka, Chiho&lt;/author&gt;&lt;author&gt;Ohya, Takashi&lt;/author&gt;&lt;author&gt;Shibuya, Kunihiko&lt;/author&gt;&lt;author&gt;Hara, Munetsugu&lt;/author&gt;&lt;author&gt;Matsuda, Kentaro&lt;/author&gt;&lt;author&gt;Tsuda, Akira&lt;/author&gt;&lt;author&gt;Kakuma, Tatsuyuki&lt;/author&gt;&lt;/authors&gt;&lt;/contributors&gt;&lt;titles&gt;&lt;title&gt;Scale properties of the Japanese version of the Strengths and Difficulties Questionnaire (SDQ): A study of infant and school children in community samples&lt;/title&gt;&lt;secondary-title&gt;Brain and Development&lt;/secondary-title&gt;&lt;/titles&gt;&lt;periodical&gt;&lt;full-title&gt;Brain and Development&lt;/full-title&gt;&lt;/periodical&gt;&lt;pages&gt;410-415&lt;/pages&gt;&lt;volume&gt;30&lt;/volume&gt;&lt;number&gt;6&lt;/number&gt;&lt;keywords&gt;&lt;keyword&gt;Strengths and Difficulties Questionnaire (SDQ)&lt;/keyword&gt;&lt;keyword&gt;Parent ratings&lt;/keyword&gt;&lt;keyword&gt;Community sample&lt;/keyword&gt;&lt;keyword&gt;Screening instrument&lt;/keyword&gt;&lt;/keywords&gt;&lt;dates&gt;&lt;year&gt;2008&lt;/year&gt;&lt;pub-dates&gt;&lt;date&gt;2008/06/01/&lt;/date&gt;&lt;/pub-dates&gt;&lt;/dates&gt;&lt;isbn&gt;0387-7604&lt;/isbn&gt;&lt;urls&gt;&lt;related-urls&gt;&lt;url&gt;http://www.sciencedirect.com/science/article/pii/S0387760407002525&lt;/url&gt;&lt;/related-urls&gt;&lt;/urls&gt;&lt;electronic-resource-num&gt;https://doi.org/10.1016/j.braindev.2007.12.003&lt;/electronic-resource-num&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[2]</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which was generated from the original version</w:t>
      </w:r>
      <w:r w:rsidRPr="00585DA7">
        <w:rPr>
          <w:color w:val="000000" w:themeColor="text1"/>
        </w:rPr>
        <w:t xml:space="preserve"> </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&lt;EndNote&gt;&lt;Cite&gt;&lt;Author&gt;Goodman&lt;/Author&gt;&lt;Year&gt;1997&lt;/Year&gt;&lt;RecNum&gt;144&lt;/RecNum&gt;&lt;DisplayText&gt;[3]&lt;/DisplayText&gt;&lt;record&gt;&lt;rec-number&gt;144&lt;/rec-number&gt;&lt;foreign-keys&gt;&lt;key app="EN" db-id="eda2pszt8xrpr6e02dovwtzizsafxr9xvavr" timestamp="1543286844"&gt;144&lt;/key&gt;&lt;/foreign-keys&gt;&lt;ref-type name="Journal Article"&gt;17&lt;/ref-type&gt;&lt;contributors&gt;&lt;authors&gt;&lt;author&gt;Goodman, Robert&lt;/author&gt;&lt;/authors&gt;&lt;/contributors&gt;&lt;titles&gt;&lt;title&gt;The Strengths and Difficulties Questionnaire: a research note&lt;/title&gt;&lt;secondary-title&gt;Journal of child psychology and psychiatry&lt;/secondary-title&gt;&lt;/titles&gt;&lt;periodical&gt;&lt;full-title&gt;Journal of child psychology and psychiatry&lt;/full-title&gt;&lt;/periodical&gt;&lt;pages&gt;581-586&lt;/pages&gt;&lt;volume&gt;38&lt;/volume&gt;&lt;number&gt;5&lt;/number&gt;&lt;dates&gt;&lt;year&gt;1997&lt;/year&gt;&lt;/dates&gt;&lt;isbn&gt;0021-9630&lt;/isbn&gt;&lt;urls&gt;&lt;/urls&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[3]</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The SDQ scores were calculated using the scale of total difficulties scores and prosocial behavior scores. The Cronbach’s alpha for total difficulties score and prosocial behavior were 0.81 and 0.72 in the current study, respectively. Higher total difficulties scores and prosocial behavior scores indicated more problematic behavior and more prosocial behavior, respectively.</w:t>
      </w:r>
    </w:p>
    <w:p w14:paraId="7251CFF7" w14:textId="77118B48" w:rsidR="00421E39" w:rsidRPr="00585DA7" w:rsidRDefault="00421E39" w:rsidP="00F00925">
      <w:pPr>
        <w:snapToGrid w:val="0"/>
        <w:spacing w:line="240" w:lineRule="auto"/>
        <w:ind w:firstLineChars="250" w:firstLine="600"/>
        <w:contextualSpacing/>
        <w:rPr>
          <w:rFonts w:ascii="Times New Roman" w:hAnsi="Times New Roman" w:cs="Times New Roman"/>
          <w:color w:val="000000" w:themeColor="text1"/>
          <w:sz w:val="24"/>
          <w:szCs w:val="24"/>
        </w:rPr>
      </w:pPr>
      <w:r w:rsidRPr="00585DA7">
        <w:rPr>
          <w:rFonts w:ascii="Times New Roman" w:hAnsi="Times New Roman" w:cs="Times New Roman"/>
          <w:color w:val="000000" w:themeColor="text1"/>
          <w:sz w:val="24"/>
          <w:szCs w:val="24"/>
        </w:rPr>
        <w:t>Child depressive symptoms were assessed by children (5</w:t>
      </w:r>
      <w:r w:rsidRPr="00585DA7">
        <w:rPr>
          <w:rFonts w:ascii="Times New Roman" w:hAnsi="Times New Roman" w:cs="Times New Roman"/>
          <w:color w:val="000000" w:themeColor="text1"/>
          <w:sz w:val="24"/>
          <w:szCs w:val="24"/>
          <w:vertAlign w:val="superscript"/>
        </w:rPr>
        <w:t>th</w:t>
      </w:r>
      <w:r w:rsidRPr="00585DA7">
        <w:rPr>
          <w:rFonts w:ascii="Times New Roman" w:hAnsi="Times New Roman" w:cs="Times New Roman"/>
          <w:color w:val="000000" w:themeColor="text1"/>
          <w:sz w:val="24"/>
          <w:szCs w:val="24"/>
        </w:rPr>
        <w:t xml:space="preserve"> and 8</w:t>
      </w:r>
      <w:r w:rsidRPr="00585DA7">
        <w:rPr>
          <w:rFonts w:ascii="Times New Roman" w:hAnsi="Times New Roman" w:cs="Times New Roman"/>
          <w:color w:val="000000" w:themeColor="text1"/>
          <w:sz w:val="24"/>
          <w:szCs w:val="24"/>
          <w:vertAlign w:val="superscript"/>
        </w:rPr>
        <w:t>th</w:t>
      </w:r>
      <w:r w:rsidRPr="00585DA7">
        <w:rPr>
          <w:rFonts w:ascii="Times New Roman" w:hAnsi="Times New Roman" w:cs="Times New Roman"/>
          <w:color w:val="000000" w:themeColor="text1"/>
          <w:sz w:val="24"/>
          <w:szCs w:val="24"/>
        </w:rPr>
        <w:t xml:space="preserve"> graders) using the Japanese version of the Depression Self-Rating Scale (DSRS)</w:t>
      </w:r>
      <w:r w:rsidRPr="00585DA7">
        <w:rPr>
          <w:color w:val="000000" w:themeColor="text1"/>
        </w:rPr>
        <w:t xml:space="preserve"> </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&lt;EndNote&gt;&lt;Cite&gt;&lt;Author&gt;Sato Hiroshi&lt;/Author&gt;&lt;Year&gt;2002&lt;/Year&gt;&lt;RecNum&gt;249&lt;/RecNum&gt;&lt;DisplayText&gt;[4]&lt;/DisplayText&gt;&lt;record&gt;&lt;rec-number&gt;249&lt;/rec-number&gt;&lt;foreign-keys&gt;&lt;key app="EN" db-id="eda2pszt8xrpr6e02dovwtzizsafxr9xvavr" timestamp="1558403619"&gt;249&lt;/key&gt;&lt;/foreign-keys&gt;&lt;ref-type name="Journal Article"&gt;17&lt;/ref-type&gt;&lt;contributors&gt;&lt;authors&gt;&lt;author&gt;Sato Hiroshi, Arai Kunijiro&lt;/author&gt;&lt;/authors&gt;&lt;/contributors&gt;&lt;titles&gt;&lt;title&gt;The investigation of factor structure and normative data for Depression Self-Rating Scale for Children(DSRS)Japanese version [in Japanese]&lt;/title&gt;&lt;secondary-title&gt;Bulletin of Tsukuba Developmental and Clinical Psychology&lt;/secondary-title&gt;&lt;/titles&gt;&lt;periodical&gt;&lt;full-title&gt;Bulletin of Tsukuba Developmental and Clinical Psychology&lt;/full-title&gt;&lt;/periodical&gt;&lt;pages&gt;85-91&lt;/pages&gt;&lt;number&gt;14&lt;/number&gt;&lt;dates&gt;&lt;year&gt;2002&lt;/year&gt;&lt;/dates&gt;&lt;urls&gt;&lt;/urls&gt;&lt;/record&gt;&lt;/Cite&gt;&lt;/EndNote&gt;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[4]</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xml:space="preserve">, which was translated and modified from the English version by omitting two items (i.e., “I can stick up for myself” and “I think life isn’t worth living”) to avoid psychological invasion </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&lt;EndNote&gt;&lt;Cite&gt;&lt;Author&gt;Birleson&lt;/Author&gt;&lt;Year&gt;1981&lt;/Year&gt;&lt;RecNum&gt;250&lt;/RecNum&gt;&lt;DisplayText&gt;[5]&lt;/DisplayText&gt;&lt;record&gt;&lt;rec-number&gt;250&lt;/rec-number&gt;&lt;foreign-keys&gt;&lt;key app="EN" db-id="eda2pszt8xrpr6e02dovwtzizsafxr9xvavr" timestamp="1558403668"&gt;2</w:instrText>
      </w:r>
      <w:r w:rsidR="0067549E">
        <w:rPr>
          <w:rFonts w:ascii="Times New Roman" w:hAnsi="Times New Roman" w:cs="Times New Roman" w:hint="eastAsia"/>
          <w:color w:val="000000" w:themeColor="text1"/>
          <w:sz w:val="24"/>
          <w:szCs w:val="24"/>
        </w:rPr>
        <w:instrText>50&lt;/key&gt;&lt;/foreign-keys&gt;&lt;ref-type name="Journal Article"&gt;17&lt;/ref-type&gt;&lt;contributors&gt;&lt;authors&gt;&lt;author&gt;Birleson, Peter&lt;/author&gt;&lt;/authors&gt;&lt;/contributors&gt;&lt;titles&gt;&lt;title&gt;The validity of depressive disorder in childhood and the development of a self</w:instrText>
      </w:r>
      <w:r w:rsidR="0067549E">
        <w:rPr>
          <w:rFonts w:ascii="Times New Roman" w:hAnsi="Times New Roman" w:cs="Times New Roman" w:hint="eastAsia"/>
          <w:color w:val="000000" w:themeColor="text1"/>
          <w:sz w:val="24"/>
          <w:szCs w:val="24"/>
        </w:rPr>
        <w:instrText>‐</w:instrText>
      </w:r>
      <w:r w:rsidR="0067549E">
        <w:rPr>
          <w:rFonts w:ascii="Times New Roman" w:hAnsi="Times New Roman" w:cs="Times New Roman" w:hint="eastAsia"/>
          <w:color w:val="000000" w:themeColor="text1"/>
          <w:sz w:val="24"/>
          <w:szCs w:val="24"/>
        </w:rPr>
        <w:instrText>rating scale</w:instrText>
      </w:r>
      <w:r w:rsidR="0067549E">
        <w:rPr>
          <w:rFonts w:ascii="Times New Roman" w:hAnsi="Times New Roman" w:cs="Times New Roman"/>
          <w:color w:val="000000" w:themeColor="text1"/>
          <w:sz w:val="24"/>
          <w:szCs w:val="24"/>
        </w:rPr>
        <w:instrText>: a research report&lt;/title&gt;&lt;secondary-title&gt;Journal of Child Psychology and Psychiatry&lt;/secondary-title&gt;&lt;/titles&gt;&lt;periodical&gt;&lt;full-title&gt;Journal of child psychology and psychiatry&lt;/full-title&gt;&lt;/periodical&gt;&lt;pages&gt;73-88&lt;/pages&gt;&lt;volume&gt;22&lt;/volume&gt;&lt;number&gt;1&lt;/number&gt;&lt;dates&gt;&lt;year&gt;1981&lt;/year&gt;&lt;/dates&gt;&lt;isbn&gt;0021-9630&lt;/isbn&gt;&lt;urls&gt;&lt;/urls&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[5]</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We additionally excluded the item “I like talking with my family” from the original Japanese version to avoid biased answers, because children might respond to their questionnaire at home and might be influenced by their caregiver’s presence. In the current study, children answered a total of 15 items with the scale from “0 = never” to “2 = most of the time”, and we calculated the sum of the rated values (Cronbach’s alpha = 0.84). A higher score indicates children have more depressive symptoms.</w:t>
      </w:r>
    </w:p>
    <w:p w14:paraId="47A42FE4" w14:textId="461D5990" w:rsidR="00421E39" w:rsidRPr="00585DA7" w:rsidRDefault="00421E39" w:rsidP="00F00925">
      <w:pPr>
        <w:snapToGrid w:val="0"/>
        <w:spacing w:line="240" w:lineRule="auto"/>
        <w:ind w:firstLineChars="250" w:firstLine="600"/>
        <w:contextualSpacing/>
        <w:rPr>
          <w:rFonts w:ascii="Times New Roman" w:hAnsi="Times New Roman" w:cs="Times New Roman"/>
          <w:color w:val="000000" w:themeColor="text1"/>
          <w:sz w:val="24"/>
          <w:szCs w:val="24"/>
        </w:rPr>
      </w:pPr>
      <w:r w:rsidRPr="00585DA7">
        <w:rPr>
          <w:rFonts w:ascii="Times New Roman" w:hAnsi="Times New Roman" w:cs="Times New Roman"/>
          <w:color w:val="000000" w:themeColor="text1"/>
          <w:sz w:val="24"/>
          <w:szCs w:val="24"/>
        </w:rPr>
        <w:t xml:space="preserve"> Child’s self-rated health (SRH) was assessed among 5</w:t>
      </w:r>
      <w:r w:rsidRPr="00585DA7">
        <w:rPr>
          <w:rFonts w:ascii="Times New Roman" w:hAnsi="Times New Roman" w:cs="Times New Roman"/>
          <w:color w:val="000000" w:themeColor="text1"/>
          <w:sz w:val="24"/>
          <w:szCs w:val="24"/>
          <w:vertAlign w:val="superscript"/>
        </w:rPr>
        <w:t>th</w:t>
      </w:r>
      <w:r w:rsidRPr="00585DA7">
        <w:rPr>
          <w:rFonts w:ascii="Times New Roman" w:hAnsi="Times New Roman" w:cs="Times New Roman"/>
          <w:color w:val="000000" w:themeColor="text1"/>
          <w:sz w:val="24"/>
          <w:szCs w:val="24"/>
        </w:rPr>
        <w:t xml:space="preserve"> and 8</w:t>
      </w:r>
      <w:r w:rsidRPr="00585DA7">
        <w:rPr>
          <w:rFonts w:ascii="Times New Roman" w:hAnsi="Times New Roman" w:cs="Times New Roman"/>
          <w:color w:val="000000" w:themeColor="text1"/>
          <w:sz w:val="24"/>
          <w:szCs w:val="24"/>
          <w:vertAlign w:val="superscript"/>
        </w:rPr>
        <w:t>th</w:t>
      </w:r>
      <w:r w:rsidRPr="00585DA7">
        <w:rPr>
          <w:rFonts w:ascii="Times New Roman" w:hAnsi="Times New Roman" w:cs="Times New Roman"/>
          <w:color w:val="000000" w:themeColor="text1"/>
          <w:sz w:val="24"/>
          <w:szCs w:val="24"/>
        </w:rPr>
        <w:t xml:space="preserve"> grade children with the following question: “How do you feel about your health condition?” and responses were selected from a five-point Likert scale (1 = not good; 2 = not very good; 3 = normal; 4 = somewhat good; 5 = good). Child’s SRH was confirmed as an indicator of physical and psychological health </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&lt;EndNote&gt;&lt;Cite&gt;&lt;Author&gt;Fosse&lt;/Author&gt;&lt;Year&gt;2009&lt;/Year&gt;&lt;RecNum&gt;251&lt;/RecNum&gt;&lt;DisplayText&gt;[6]&lt;/DisplayText&gt;&lt;record&gt;&lt;rec-number&gt;251&lt;/rec-number&gt;&lt;foreign-keys&gt;&lt;key app="EN" db-id="eda2pszt8xrpr6e02dovwtzizsafxr9xvavr" timestamp="1558404714"&gt;251&lt;/key&gt;&lt;/foreign-keys&gt;&lt;ref-type name="Journal Article"&gt;17&lt;/ref-type&gt;&lt;contributors&gt;&lt;authors&gt;&lt;author&gt;Fosse, Nathan E&lt;/author&gt;&lt;author&gt;Haas, Steven A&lt;/author&gt;&lt;/authors&gt;&lt;/contributors&gt;&lt;titles&gt;&lt;title&gt;Validity and stability of self-reported health among adolescents in a longitudinal, nationally representative survey&lt;/title&gt;&lt;secondary-title&gt;Pediatrics&lt;/secondary-title&gt;&lt;/titles&gt;&lt;periodical&gt;&lt;full-title&gt;Pediatrics&lt;/full-title&gt;&lt;abbr-1&gt;Pediatrics&lt;/abbr-1&gt;&lt;/periodical&gt;&lt;pages&gt;e496-e501&lt;/pages&gt;&lt;volume&gt;123&lt;/volume&gt;&lt;number&gt;3&lt;/number&gt;&lt;dates&gt;&lt;year&gt;2009&lt;/year&gt;&lt;/dates&gt;&lt;isbn&gt;0031-4005&lt;/isbn&gt;&lt;urls&gt;&lt;/urls&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[6]</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xml:space="preserve">. </w:t>
      </w:r>
    </w:p>
    <w:p w14:paraId="00CE0CBB" w14:textId="77777777" w:rsidR="00421E39" w:rsidRPr="00585DA7" w:rsidRDefault="00421E39" w:rsidP="00F00925">
      <w:pPr>
        <w:snapToGrid w:val="0"/>
        <w:spacing w:line="240" w:lineRule="auto"/>
        <w:contextualSpacing/>
        <w:rPr>
          <w:rFonts w:ascii="Times New Roman" w:hAnsi="Times New Roman" w:cs="Times New Roman"/>
          <w:color w:val="000000" w:themeColor="text1"/>
          <w:sz w:val="24"/>
          <w:szCs w:val="24"/>
        </w:rPr>
      </w:pPr>
    </w:p>
    <w:p w14:paraId="7BCB1FAC" w14:textId="77777777" w:rsidR="00421E39" w:rsidRPr="00585DA7" w:rsidRDefault="00421E39" w:rsidP="00F00925">
      <w:pPr>
        <w:snapToGrid w:val="0"/>
        <w:spacing w:line="240" w:lineRule="auto"/>
        <w:contextualSpacing/>
        <w:rPr>
          <w:rFonts w:ascii="Times New Roman" w:hAnsi="Times New Roman" w:cs="Times New Roman"/>
          <w:i/>
          <w:color w:val="000000" w:themeColor="text1"/>
          <w:sz w:val="24"/>
          <w:szCs w:val="24"/>
        </w:rPr>
      </w:pPr>
      <w:r w:rsidRPr="00585DA7">
        <w:rPr>
          <w:rFonts w:ascii="Times New Roman" w:hAnsi="Times New Roman" w:cs="Times New Roman"/>
          <w:i/>
          <w:color w:val="000000" w:themeColor="text1"/>
          <w:sz w:val="24"/>
          <w:szCs w:val="24"/>
        </w:rPr>
        <w:t>Household expenditure for children</w:t>
      </w:r>
    </w:p>
    <w:p w14:paraId="3A8AFD1A" w14:textId="7DCEE1C0" w:rsidR="00421E39" w:rsidRPr="00585DA7" w:rsidRDefault="00421E39" w:rsidP="00F00925">
      <w:pPr>
        <w:snapToGrid w:val="0"/>
        <w:spacing w:line="240" w:lineRule="auto"/>
        <w:contextualSpacing/>
        <w:rPr>
          <w:rFonts w:ascii="Times New Roman" w:hAnsi="Times New Roman" w:cs="Times New Roman"/>
          <w:color w:val="000000" w:themeColor="text1"/>
          <w:sz w:val="24"/>
          <w:szCs w:val="24"/>
        </w:rPr>
      </w:pPr>
      <w:r w:rsidRPr="00585DA7">
        <w:rPr>
          <w:rFonts w:ascii="Times New Roman" w:hAnsi="Times New Roman" w:cs="Times New Roman"/>
          <w:color w:val="000000" w:themeColor="text1"/>
          <w:sz w:val="24"/>
          <w:szCs w:val="24"/>
        </w:rPr>
        <w:t xml:space="preserve">Household expenditure for children was assessed as financial investment and time investment in children </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&lt;EndNote&gt;&lt;Cite&gt;&lt;Author&gt;Jones&lt;/Author&gt;&lt;Year&gt;2015&lt;/Year&gt;&lt;RecNum&gt;201&lt;/RecNum&gt;&lt;DisplayText&gt;[7, 8]&lt;/DisplayText&gt;&lt;record&gt;&lt;rec-number&gt;201&lt;/rec-number&gt;&lt;foreign-keys&gt;&lt;key app="EN" db-id="eda2pszt8xrpr6e02dovwtzizsafxr9xvavr" timestamp="1551493969"&gt;201&lt;/key&gt;&lt;/foreign-keys&gt;&lt;ref-type name="Report"&gt;27&lt;/ref-type&gt;&lt;contributors&gt;&lt;authors&gt;&lt;author&gt;Jones, Lauren E&lt;/author&gt;&lt;author&gt;Milligan, Kevin S&lt;/author&gt;&lt;author&gt;Stabile, Mark&lt;/author&gt;&lt;/authors&gt;&lt;/contributors&gt;&lt;titles&gt;&lt;title&gt;Child cash benefits and family expenditures: Evidence from the National Child Benefit&lt;/title&gt;&lt;/titles&gt;&lt;dates&gt;&lt;year&gt;2015&lt;/year&gt;&lt;/dates&gt;&lt;publisher&gt;National Bureau of Economic Research&lt;/publisher&gt;&lt;urls&gt;&lt;/urls&gt;&lt;/record&gt;&lt;/Cite&gt;&lt;Cite&gt;&lt;Author&gt;Milligan&lt;/Author&gt;&lt;Year&gt;2011&lt;/Year&gt;&lt;RecNum&gt;200&lt;/RecNum&gt;&lt;record&gt;&lt;rec-number&gt;200&lt;/rec-number&gt;&lt;foreign-keys&gt;&lt;key app="EN" db-id="eda2pszt8xrpr6e02dovwtzizsafxr9xvavr" timestamp="1551493951"&gt;200&lt;/key&gt;&lt;/foreign-keys&gt;&lt;ref-type name="Journal Article"&gt;17&lt;/ref-type&gt;&lt;contributors&gt;&lt;authors&gt;&lt;author&gt;Milligan, Kevin&lt;/author&gt;&lt;author&gt;Stabile, Mark&lt;/author&gt;&lt;/authors&gt;&lt;/contributors&gt;&lt;titles&gt;&lt;title&gt;Do child tax benefits affect the well-being of children? Evidence from Canadian child benefit expansions&lt;/title&gt;&lt;secondary-title&gt;American Economic Journal: Economic Policy&lt;/secondary-title&gt;&lt;/titles&gt;&lt;periodical&gt;&lt;full-title&gt;American Economic Journal: Economic Policy&lt;/full-title&gt;&lt;/periodical&gt;&lt;pages&gt;175-205&lt;/pages&gt;&lt;volume&gt;3&lt;/volume&gt;&lt;number&gt;3&lt;/number&gt;&lt;dates&gt;&lt;year&gt;2011&lt;/year&gt;&lt;/dates&gt;&lt;isbn&gt;1945-7731&lt;/isbn&gt;&lt;urls&gt;&lt;/urls&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[7, 8]</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xml:space="preserve">. Caregivers were asked whether they could not afford to have the following materials in their home due to financial reasons: room or space for doing homework at home, books for children, sporting goods, stuffed animals or toys for children, and electronic game devices. Caregivers could also select an option stating that none of these materials were lacking. If at least one of them was not affordable, they were coded as “0 = not having goods for child”, otherwise they were coded as “1 = having goods for child”. They were also asked whether they participated in the following events as a family: having a birthday party, taking an annual family trip, and giving presents to each other for Christmas and New Year’s Day. If at least one event </w:t>
      </w:r>
      <w:r w:rsidRPr="00585DA7">
        <w:rPr>
          <w:rFonts w:ascii="Times New Roman" w:hAnsi="Times New Roman" w:cs="Times New Roman"/>
          <w:color w:val="000000" w:themeColor="text1"/>
          <w:sz w:val="24"/>
          <w:szCs w:val="24"/>
        </w:rPr>
        <w:lastRenderedPageBreak/>
        <w:t xml:space="preserve">was not held due to financial difficulties, they were coded as “0 = not having family events”, otherwise they were coded as “1 = having family events”. </w:t>
      </w:r>
      <w:bookmarkStart w:id="1" w:name="_Hlk26125289"/>
      <w:r w:rsidRPr="00585DA7">
        <w:rPr>
          <w:rFonts w:ascii="Times New Roman" w:hAnsi="Times New Roman" w:cs="Times New Roman"/>
          <w:color w:val="000000" w:themeColor="text1"/>
          <w:sz w:val="24"/>
          <w:szCs w:val="24"/>
        </w:rPr>
        <w:t xml:space="preserve">For investment in extracurricular activities, caregivers were asked: “how much do you pay for the following activities: cram school or extracurricular educational fees, extracurricular lessons and club activities or sports clubs?” and they answered by writing the actual monthly payment. The sum of the fees was calculated and </w:t>
      </w:r>
      <w:r w:rsidRPr="00421E39">
        <w:rPr>
          <w:rFonts w:ascii="Times New Roman" w:hAnsi="Times New Roman" w:cs="Times New Roman"/>
          <w:color w:val="000000" w:themeColor="text1"/>
          <w:sz w:val="24"/>
          <w:szCs w:val="24"/>
        </w:rPr>
        <w:t>categorized as “0 JPY”, “1–10,000 JPY”, “10,001–20,000 JPY”, “20,001–30,000 JPY”, and “+ 30,001 JPY”.</w:t>
      </w:r>
      <w:bookmarkEnd w:id="1"/>
      <w:r w:rsidRPr="00585DA7">
        <w:rPr>
          <w:rFonts w:ascii="Times New Roman" w:hAnsi="Times New Roman" w:cs="Times New Roman"/>
          <w:color w:val="000000" w:themeColor="text1"/>
          <w:sz w:val="24"/>
          <w:szCs w:val="24"/>
        </w:rPr>
        <w:t xml:space="preserve"> </w:t>
      </w:r>
    </w:p>
    <w:p w14:paraId="011C97F4" w14:textId="094E7EEA" w:rsidR="00421E39" w:rsidRPr="00585DA7" w:rsidRDefault="00421E39" w:rsidP="00F00925">
      <w:pPr>
        <w:snapToGrid w:val="0"/>
        <w:spacing w:line="240" w:lineRule="auto"/>
        <w:ind w:firstLineChars="250" w:firstLine="600"/>
        <w:contextualSpacing/>
        <w:rPr>
          <w:rFonts w:ascii="Times New Roman" w:hAnsi="Times New Roman" w:cs="Times New Roman"/>
          <w:color w:val="000000" w:themeColor="text1"/>
          <w:sz w:val="24"/>
          <w:szCs w:val="24"/>
        </w:rPr>
      </w:pPr>
      <w:r w:rsidRPr="00585DA7">
        <w:rPr>
          <w:rFonts w:ascii="Times New Roman" w:hAnsi="Times New Roman" w:cs="Times New Roman"/>
          <w:color w:val="000000" w:themeColor="text1"/>
          <w:sz w:val="24"/>
          <w:szCs w:val="24"/>
        </w:rPr>
        <w:t xml:space="preserve">Time investment was assessed by the frequency of caregivers’ interaction with children and no maltreatment of children to account for both quantity and quality of investment. Parental interaction with children was assessed with the question: “do you have any opportunity to do the following activities: helping your child with homework; exercising with your child; playing computer games with your child; talking about school life; talking about social news; talking about TV programs; cooking together; and going out together?” with a 5-point Likert scale, then the arithmetic sum of the answer was calculated (Cronbach’s alpha = </w:t>
      </w:r>
      <w:r>
        <w:rPr>
          <w:rFonts w:ascii="Times New Roman" w:hAnsi="Times New Roman" w:cs="Times New Roman"/>
          <w:color w:val="000000" w:themeColor="text1"/>
          <w:sz w:val="24"/>
          <w:szCs w:val="24"/>
        </w:rPr>
        <w:t>0.65</w:t>
      </w:r>
      <w:r w:rsidRPr="00585DA7">
        <w:rPr>
          <w:rFonts w:ascii="Times New Roman" w:hAnsi="Times New Roman" w:cs="Times New Roman"/>
          <w:color w:val="000000" w:themeColor="text1"/>
          <w:sz w:val="24"/>
          <w:szCs w:val="24"/>
        </w:rPr>
        <w:t xml:space="preserve">) for the parent-child positive interaction score (ranged from 1 to </w:t>
      </w:r>
      <w:r>
        <w:rPr>
          <w:rFonts w:ascii="Times New Roman" w:hAnsi="Times New Roman" w:cs="Times New Roman"/>
          <w:color w:val="000000" w:themeColor="text1"/>
          <w:sz w:val="24"/>
          <w:szCs w:val="24"/>
        </w:rPr>
        <w:t>40</w:t>
      </w:r>
      <w:r w:rsidRPr="00585DA7">
        <w:rPr>
          <w:rFonts w:ascii="Times New Roman" w:hAnsi="Times New Roman" w:cs="Times New Roman"/>
          <w:color w:val="000000" w:themeColor="text1"/>
          <w:sz w:val="24"/>
          <w:szCs w:val="24"/>
        </w:rPr>
        <w:t>)</w:t>
      </w:r>
      <w:r w:rsidRPr="00585DA7">
        <w:rPr>
          <w:color w:val="000000" w:themeColor="text1"/>
        </w:rPr>
        <w:t xml:space="preserve"> </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&lt;EndNote&gt;&lt;Cite&gt;&lt;Author&gt;Kizuki&lt;/Author&gt;&lt;Year&gt;2018&lt;/Year&gt;&lt;RecNum&gt;463&lt;/RecNum&gt;&lt;DisplayText&gt;[9]&lt;/DisplayText&gt;&lt;record&gt;&lt;rec-number&gt;463&lt;/rec-number&gt;&lt;foreign-keys&gt;&lt;key app="EN" db-id="eda2pszt8xrpr6e02dovwtzizsafxr9xvavr" timestamp="1567558095"&gt;463&lt;/key&gt;&lt;/foreign-keys&gt;&lt;ref-type name="Journal Article"&gt;17&lt;/ref-type&gt;&lt;contributors&gt;&lt;authors&gt;&lt;author&gt;Kizuki, Masashi&lt;/author&gt;&lt;author&gt;Ochi, Manami&lt;/author&gt;&lt;author&gt;Isumi, Aya&lt;/author&gt;&lt;author&gt;Kato, Tsuguhiko&lt;/author&gt;&lt;author&gt;Fujiwara, Takeo&lt;/author&gt;&lt;/authors&gt;&lt;/contributors&gt;&lt;titles&gt;&lt;title&gt;Parental time of returning home from work and child mental health among first-year primary school students in Japan: result from A-CHILD Study&lt;/title&gt;&lt;secondary-title&gt;Frontiers in pediatrics&lt;/secondary-title&gt;&lt;/titles&gt;&lt;periodical&gt;&lt;full-title&gt;Frontiers in Pediatrics&lt;/full-title&gt;&lt;/periodical&gt;&lt;pages&gt;179&lt;/pages&gt;&lt;volume&gt;6&lt;/volume&gt;&lt;dates&gt;&lt;year&gt;2018&lt;/year&gt;&lt;/dates&gt;&lt;isbn&gt;2296-2360&lt;/isbn&gt;&lt;urls&gt;&lt;/urls&gt;&lt;/record&gt;&lt;/Cite&gt;&lt;/EndNote&gt;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[9]</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Child maltreatment was assessed by parental response to 8 items on child maltreatment, such as beating or kicking</w:t>
      </w:r>
      <w:r w:rsidRPr="00585DA7">
        <w:rPr>
          <w:color w:val="000000" w:themeColor="text1"/>
        </w:rPr>
        <w:t xml:space="preserve"> </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&lt;EndNote&gt;&lt;Cite&gt;&lt;Author&gt;Fujiwara&lt;/Author&gt;&lt;Year&gt;2014&lt;/Year&gt;&lt;RecNum&gt;253&lt;/RecNum&gt;&lt;DisplayText&gt;[10, 11]&lt;/DisplayText&gt;&lt;record&gt;&lt;rec-number&gt;253&lt;/rec-number&gt;&lt;foreign-keys&gt;&lt;key app="EN" db-id="eda2pszt8xrpr6e02dovwtzizsafxr9xvavr" timestamp="1560212105"&gt;253&lt;/key&gt;&lt;/foreign-keys&gt;&lt;ref-type name="Journal Article"&gt;17&lt;/ref-type&gt;&lt;contributors&gt;&lt;authors&gt;&lt;author&gt;Fujiwara, Takeo&lt;/author&gt;&lt;author&gt;Kasahara, Mari&lt;/author&gt;&lt;author&gt;Tsujii, Hiromi&lt;/author&gt;&lt;author&gt;Okuyama, Makiko&lt;/author&gt;&lt;/authors&gt;&lt;/contributors&gt;&lt;titles&gt;&lt;title&gt;Association of maternal developmental disorder traits with child mistreatment: a prospective study in Japan&lt;/title&gt;&lt;secondary-title&gt;Child abuse &amp;amp; neglect&lt;/secondary-title&gt;&lt;/titles&gt;&lt;periodical&gt;&lt;full-title&gt;Child Abuse Negl&lt;/full-title&gt;&lt;abbr-1&gt;Child abuse &amp;amp; neglect&lt;/abbr-1&gt;&lt;/periodical&gt;&lt;pages&gt;1283-1289&lt;/pages&gt;&lt;volume&gt;38&lt;/volume&gt;&lt;number&gt;8&lt;/number&gt;&lt;dates&gt;&lt;year&gt;2014&lt;/year&gt;&lt;/dates&gt;&lt;isbn&gt;0145-2134&lt;/isbn&gt;&lt;urls&gt;&lt;/urls&gt;&lt;/record&gt;&lt;/Cite&gt;&lt;Cite&gt;&lt;Author&gt;Tokunaga&lt;/Author&gt;&lt;Year&gt;2000&lt;/Year&gt;&lt;RecNum&gt;254&lt;/RecNum&gt;&lt;record&gt;&lt;rec-number&gt;254&lt;/rec-number&gt;&lt;foreign-keys&gt;&lt;key app="EN" db-id="eda2pszt8xrpr6e02dovwtzizsafxr9xvavr" timestamp="1560212122"&gt;254&lt;/key&gt;&lt;/foreign-keys&gt;&lt;ref-type name="Journal Article"&gt;17&lt;/ref-type&gt;&lt;contributors&gt;&lt;authors&gt;&lt;author&gt;Tokunaga, M&lt;/author&gt;&lt;author&gt;Ohara, M&lt;/author&gt;&lt;author&gt;Kayama, M&lt;/author&gt;&lt;author&gt;Yoshimura, K&lt;/author&gt;&lt;author&gt;Mitsuhashi, J&lt;/author&gt;&lt;author&gt;Senoo, E&lt;/author&gt;&lt;/authors&gt;&lt;/contributors&gt;&lt;titles&gt;&lt;title&gt;Survey of child maltreatment among general population in Greater Tokyo&lt;/title&gt;&lt;secondary-title&gt;Kosei no Shihyo&lt;/secondary-title&gt;&lt;/titles&gt;&lt;periodical&gt;&lt;full-title&gt;Kosei no Shihyo&lt;/full-title&gt;&lt;/periodical&gt;&lt;pages&gt;3-10&lt;/pages&gt;&lt;volume&gt;47&lt;/volume&gt;&lt;number&gt;15&lt;/number&gt;&lt;dates&gt;&lt;year&gt;2000&lt;/year&gt;&lt;/dates&gt;&lt;urls&gt;&lt;/urls&gt;&lt;/record&gt;&lt;/Cite&gt;&lt;/EndNote&gt;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[10, 11]</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xml:space="preserve"> with a 4-point Likert scale, where “1 = often”, “2 = sometimes”, “3 = rarely”, and “4 = not at all” and all the responses were dichotomized with “1 = yes” and “0 = no” regarding the expert review based on the frequency and severity of child abuse</w:t>
      </w:r>
      <w:r w:rsidRPr="00585DA7">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&lt;EndNote&gt;&lt;Cite&gt;&lt;Author&gt;Isumi&lt;/Author&gt;&lt;Year&gt;2018&lt;/Year&gt;&lt;RecNum&gt;153&lt;/RecNum&gt;&lt;DisplayText&gt;[12]&lt;/DisplayText&gt;&lt;record&gt;&lt;rec-number&gt;153&lt;/rec-number&gt;&lt;foreign-keys&gt;&lt;key app="EN" db-id="eda2pszt8xrpr6e02dovwtzizsafxr9xvavr" timestamp="1546829749"&gt;153&lt;/key&gt;&lt;/foreign-keys&gt;&lt;ref-type name="Journal Article"&gt;17&lt;/ref-type&gt;&lt;contributors&gt;&lt;authors&gt;&lt;author&gt;Isumi, Aya&lt;/author&gt;&lt;author&gt;Fujiwara, Takeo&lt;/author&gt;&lt;author&gt;Nawa, Nobutoshi&lt;/author&gt;&lt;author&gt;Ochi, Manami&lt;/author&gt;&lt;author&gt;Kato, Tsuguhiko&lt;/author&gt;&lt;/authors&gt;&lt;/contributors&gt;&lt;titles&gt;&lt;title&gt;Mediating effects of parental psychological distress and individual-level social capital on the association between child poverty and maltreatment in Japan&lt;/title&gt;&lt;secondary-title&gt;Child Abuse &amp;amp; Neglect&lt;/secondary-title&gt;&lt;/titles&gt;&lt;periodical&gt;&lt;full-title&gt;Child Abuse Negl&lt;/full-title&gt;&lt;abbr-1&gt;Child abuse &amp;amp; neglect&lt;/abbr-1&gt;&lt;/periodical&gt;&lt;pages&gt;142-150&lt;/pages&gt;&lt;volume&gt;83&lt;/volume&gt;&lt;keywords&gt;&lt;keyword&gt;Child poverty&lt;/keyword&gt;&lt;keyword&gt;Child maltreatment&lt;/keyword&gt;&lt;keyword&gt;Social capital&lt;/keyword&gt;&lt;keyword&gt;Social support&lt;/keyword&gt;&lt;/keywords&gt;&lt;dates&gt;&lt;year&gt;2018&lt;/year&gt;&lt;pub-dates&gt;&lt;date&gt;2018/09/01/&lt;/date&gt;&lt;/pub-dates&gt;&lt;/dates&gt;&lt;isbn&gt;0145-2134&lt;/isbn&gt;&lt;urls&gt;&lt;related-urls&gt;&lt;url&gt;http://www.sciencedirect.com/science/article/pii/S0145213418302722&lt;/url&gt;&lt;/related-urls&gt;&lt;/urls&gt;&lt;electronic-resource-num&gt;https://doi.org/10.1016/j.chiabu.2018.07.005&lt;/electronic-resource-num&gt;&lt;/record&gt;&lt;/Cite&gt;&lt;/EndNote&gt;</w:instrText>
      </w:r>
      <w:r w:rsidRPr="00585DA7">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[12]</w:t>
      </w:r>
      <w:r w:rsidRPr="00585DA7">
        <w:rPr>
          <w:rFonts w:ascii="Times New Roman" w:hAnsi="Times New Roman" w:cs="Times New Roman"/>
          <w:color w:val="000000" w:themeColor="text1"/>
          <w:sz w:val="24"/>
          <w:szCs w:val="24"/>
        </w:rPr>
        <w:fldChar w:fldCharType="end"/>
      </w:r>
      <w:r w:rsidRPr="00585DA7">
        <w:rPr>
          <w:rFonts w:ascii="Times New Roman" w:hAnsi="Times New Roman" w:cs="Times New Roman"/>
          <w:color w:val="000000" w:themeColor="text1"/>
          <w:sz w:val="24"/>
          <w:szCs w:val="24"/>
        </w:rPr>
        <w:t>. Caregivers who reported no maltreatment were coded as “1 = no maltreatment”, otherwise “0 = maltreatment”.</w:t>
      </w:r>
    </w:p>
    <w:p w14:paraId="40FE2662" w14:textId="77777777" w:rsidR="00421E39" w:rsidRPr="00585DA7" w:rsidRDefault="00421E39" w:rsidP="00F00925">
      <w:pPr>
        <w:snapToGrid w:val="0"/>
        <w:spacing w:line="240" w:lineRule="auto"/>
        <w:contextualSpacing/>
        <w:rPr>
          <w:rFonts w:ascii="Times New Roman" w:hAnsi="Times New Roman" w:cs="Times New Roman"/>
          <w:color w:val="000000" w:themeColor="text1"/>
          <w:sz w:val="24"/>
          <w:szCs w:val="24"/>
        </w:rPr>
      </w:pPr>
    </w:p>
    <w:p w14:paraId="01CB7809" w14:textId="031F9C22" w:rsidR="00421E39" w:rsidRDefault="00421E39" w:rsidP="00F00925">
      <w:pPr>
        <w:snapToGrid w:val="0"/>
        <w:spacing w:line="240" w:lineRule="auto"/>
        <w:contextualSpacing/>
        <w:rPr>
          <w:rFonts w:ascii="Times New Roman" w:hAnsi="Times New Roman" w:cs="Times New Roman"/>
          <w:i/>
          <w:color w:val="000000" w:themeColor="text1"/>
          <w:sz w:val="24"/>
          <w:szCs w:val="24"/>
        </w:rPr>
      </w:pPr>
      <w:r w:rsidRPr="00585DA7">
        <w:rPr>
          <w:rFonts w:ascii="Times New Roman" w:hAnsi="Times New Roman" w:cs="Times New Roman"/>
          <w:i/>
          <w:color w:val="000000" w:themeColor="text1"/>
          <w:sz w:val="24"/>
          <w:szCs w:val="24"/>
        </w:rPr>
        <w:t>Covariates</w:t>
      </w:r>
    </w:p>
    <w:p w14:paraId="6EB57E6B" w14:textId="12E7FA47" w:rsidR="00300A7F" w:rsidRDefault="00300A7F" w:rsidP="00F00925">
      <w:pPr>
        <w:snapToGrid w:val="0"/>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Respondents were asked to choose their relationship with children and categorized as follows; mother, father and others (including maternal grandmother, maternal grandfather, paternal grandmother, paternal grandfather, siblings, others, office staffs). </w:t>
      </w:r>
    </w:p>
    <w:p w14:paraId="0C3C045D" w14:textId="39B016F1" w:rsidR="00300A7F" w:rsidRDefault="00300A7F" w:rsidP="00F00925">
      <w:pPr>
        <w:snapToGrid w:val="0"/>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Parental educational attainment was categorized as follows; high school or lower (junior high school, high school dropout and high school), technical/ junior college/ university dropout, university or higher (university, graduate university) and missing (other, unknown, missing).</w:t>
      </w:r>
    </w:p>
    <w:p w14:paraId="336CF910" w14:textId="73705823" w:rsidR="00300A7F" w:rsidRDefault="00300A7F" w:rsidP="00F00925">
      <w:pPr>
        <w:snapToGrid w:val="0"/>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Parental occupation was categorized as follows; full-time employee (company executive, full employee in private company, government employee), part-time/ temporary employee, self-employed/ others (independent business, freelance professional, association staff member, other work), not working (full-time housewife, student, retirement, job seeking, other reason not to work) and missing. </w:t>
      </w:r>
    </w:p>
    <w:p w14:paraId="04F71778" w14:textId="77777777" w:rsidR="008B4371" w:rsidRDefault="00300A7F" w:rsidP="00F00925">
      <w:pPr>
        <w:snapToGrid w:val="0"/>
        <w:spacing w:line="240" w:lineRule="auto"/>
        <w:contextualSpacing/>
        <w:rPr>
          <w:rFonts w:ascii="Times New Roman" w:hAnsi="Times New Roman" w:cs="Times New Roman"/>
          <w:iCs/>
          <w:color w:val="000000" w:themeColor="text1"/>
          <w:sz w:val="24"/>
          <w:szCs w:val="24"/>
        </w:rPr>
        <w:sectPr w:rsidR="008B4371" w:rsidSect="00D83340">
          <w:pgSz w:w="12240" w:h="15840"/>
          <w:pgMar w:top="1440" w:right="1440" w:bottom="1440" w:left="1440" w:header="720" w:footer="720" w:gutter="0"/>
          <w:cols w:space="720"/>
          <w:docGrid w:linePitch="360"/>
        </w:sectPr>
      </w:pPr>
      <w:r>
        <w:rPr>
          <w:rFonts w:ascii="Times New Roman" w:hAnsi="Times New Roman" w:cs="Times New Roman"/>
          <w:iCs/>
          <w:color w:val="000000" w:themeColor="text1"/>
          <w:sz w:val="24"/>
          <w:szCs w:val="24"/>
        </w:rPr>
        <w:t>Household income was asked to choose from the categories from “JPY 0”, “JPY 1-</w:t>
      </w:r>
      <w:r w:rsidR="00ED4610">
        <w:rPr>
          <w:rFonts w:ascii="Times New Roman" w:hAnsi="Times New Roman" w:cs="Times New Roman"/>
          <w:iCs/>
          <w:color w:val="000000" w:themeColor="text1"/>
          <w:sz w:val="24"/>
          <w:szCs w:val="24"/>
        </w:rPr>
        <w:t>499,999</w:t>
      </w:r>
      <w:r>
        <w:rPr>
          <w:rFonts w:ascii="Times New Roman" w:hAnsi="Times New Roman" w:cs="Times New Roman"/>
          <w:iCs/>
          <w:color w:val="000000" w:themeColor="text1"/>
          <w:sz w:val="24"/>
          <w:szCs w:val="24"/>
        </w:rPr>
        <w:t>”, “JPY 500,00</w:t>
      </w:r>
      <w:r w:rsidR="00ED4610">
        <w:rPr>
          <w:rFonts w:ascii="Times New Roman" w:hAnsi="Times New Roman" w:cs="Times New Roman"/>
          <w:iCs/>
          <w:color w:val="000000" w:themeColor="text1"/>
          <w:sz w:val="24"/>
          <w:szCs w:val="24"/>
        </w:rPr>
        <w:t>0</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999,999</w:t>
      </w:r>
      <w:r>
        <w:rPr>
          <w:rFonts w:ascii="Times New Roman" w:hAnsi="Times New Roman" w:cs="Times New Roman"/>
          <w:iCs/>
          <w:color w:val="000000" w:themeColor="text1"/>
          <w:sz w:val="24"/>
          <w:szCs w:val="24"/>
        </w:rPr>
        <w:t>”, “JPY 1,000,00</w:t>
      </w:r>
      <w:r w:rsidR="00ED4610">
        <w:rPr>
          <w:rFonts w:ascii="Times New Roman" w:hAnsi="Times New Roman" w:cs="Times New Roman"/>
          <w:iCs/>
          <w:color w:val="000000" w:themeColor="text1"/>
          <w:sz w:val="24"/>
          <w:szCs w:val="24"/>
        </w:rPr>
        <w:t>0</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1,999,999</w:t>
      </w:r>
      <w:r>
        <w:rPr>
          <w:rFonts w:ascii="Times New Roman" w:hAnsi="Times New Roman" w:cs="Times New Roman"/>
          <w:iCs/>
          <w:color w:val="000000" w:themeColor="text1"/>
          <w:sz w:val="24"/>
          <w:szCs w:val="24"/>
        </w:rPr>
        <w:t>”, “JPY 2,000,00</w:t>
      </w:r>
      <w:r w:rsidR="00ED4610">
        <w:rPr>
          <w:rFonts w:ascii="Times New Roman" w:hAnsi="Times New Roman" w:cs="Times New Roman"/>
          <w:iCs/>
          <w:color w:val="000000" w:themeColor="text1"/>
          <w:sz w:val="24"/>
          <w:szCs w:val="24"/>
        </w:rPr>
        <w:t>0</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2,999,999</w:t>
      </w:r>
      <w:r>
        <w:rPr>
          <w:rFonts w:ascii="Times New Roman" w:hAnsi="Times New Roman" w:cs="Times New Roman"/>
          <w:iCs/>
          <w:color w:val="000000" w:themeColor="text1"/>
          <w:sz w:val="24"/>
          <w:szCs w:val="24"/>
        </w:rPr>
        <w:t>”, “JPY 3,000,00</w:t>
      </w:r>
      <w:r w:rsidR="00ED4610">
        <w:rPr>
          <w:rFonts w:ascii="Times New Roman" w:hAnsi="Times New Roman" w:cs="Times New Roman"/>
          <w:iCs/>
          <w:color w:val="000000" w:themeColor="text1"/>
          <w:sz w:val="24"/>
          <w:szCs w:val="24"/>
        </w:rPr>
        <w:t>0</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3,999,999</w:t>
      </w:r>
      <w:r>
        <w:rPr>
          <w:rFonts w:ascii="Times New Roman" w:hAnsi="Times New Roman" w:cs="Times New Roman"/>
          <w:iCs/>
          <w:color w:val="000000" w:themeColor="text1"/>
          <w:sz w:val="24"/>
          <w:szCs w:val="24"/>
        </w:rPr>
        <w:t>”, “JPY 4,000,00</w:t>
      </w:r>
      <w:r w:rsidR="00ED4610">
        <w:rPr>
          <w:rFonts w:ascii="Times New Roman" w:hAnsi="Times New Roman" w:cs="Times New Roman"/>
          <w:iCs/>
          <w:color w:val="000000" w:themeColor="text1"/>
          <w:sz w:val="24"/>
          <w:szCs w:val="24"/>
        </w:rPr>
        <w:t>0</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4,999,999</w:t>
      </w:r>
      <w:r>
        <w:rPr>
          <w:rFonts w:ascii="Times New Roman" w:hAnsi="Times New Roman" w:cs="Times New Roman"/>
          <w:iCs/>
          <w:color w:val="000000" w:themeColor="text1"/>
          <w:sz w:val="24"/>
          <w:szCs w:val="24"/>
        </w:rPr>
        <w:t>”, “JPY 5,000,00</w:t>
      </w:r>
      <w:r w:rsidR="00ED4610">
        <w:rPr>
          <w:rFonts w:ascii="Times New Roman" w:hAnsi="Times New Roman" w:cs="Times New Roman"/>
          <w:iCs/>
          <w:color w:val="000000" w:themeColor="text1"/>
          <w:sz w:val="24"/>
          <w:szCs w:val="24"/>
        </w:rPr>
        <w:t>0</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5,999,999</w:t>
      </w:r>
      <w:r>
        <w:rPr>
          <w:rFonts w:ascii="Times New Roman" w:hAnsi="Times New Roman" w:cs="Times New Roman"/>
          <w:iCs/>
          <w:color w:val="000000" w:themeColor="text1"/>
          <w:sz w:val="24"/>
          <w:szCs w:val="24"/>
        </w:rPr>
        <w:t>”, “JPY 6,000,00</w:t>
      </w:r>
      <w:r w:rsidR="00ED4610">
        <w:rPr>
          <w:rFonts w:ascii="Times New Roman" w:hAnsi="Times New Roman" w:cs="Times New Roman"/>
          <w:iCs/>
          <w:color w:val="000000" w:themeColor="text1"/>
          <w:sz w:val="24"/>
          <w:szCs w:val="24"/>
        </w:rPr>
        <w:t>0</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6,999,999</w:t>
      </w:r>
      <w:r>
        <w:rPr>
          <w:rFonts w:ascii="Times New Roman" w:hAnsi="Times New Roman" w:cs="Times New Roman"/>
          <w:iCs/>
          <w:color w:val="000000" w:themeColor="text1"/>
          <w:sz w:val="24"/>
          <w:szCs w:val="24"/>
        </w:rPr>
        <w:t>”, “JPY 7,000,00</w:t>
      </w:r>
      <w:r w:rsidR="00ED4610">
        <w:rPr>
          <w:rFonts w:ascii="Times New Roman" w:hAnsi="Times New Roman" w:cs="Times New Roman"/>
          <w:iCs/>
          <w:color w:val="000000" w:themeColor="text1"/>
          <w:sz w:val="24"/>
          <w:szCs w:val="24"/>
        </w:rPr>
        <w:t>0</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7,999,999</w:t>
      </w:r>
      <w:r>
        <w:rPr>
          <w:rFonts w:ascii="Times New Roman" w:hAnsi="Times New Roman" w:cs="Times New Roman"/>
          <w:iCs/>
          <w:color w:val="000000" w:themeColor="text1"/>
          <w:sz w:val="24"/>
          <w:szCs w:val="24"/>
        </w:rPr>
        <w:t>”, “JPY 8,000,00</w:t>
      </w:r>
      <w:r w:rsidR="00ED4610">
        <w:rPr>
          <w:rFonts w:ascii="Times New Roman" w:hAnsi="Times New Roman" w:cs="Times New Roman"/>
          <w:iCs/>
          <w:color w:val="000000" w:themeColor="text1"/>
          <w:sz w:val="24"/>
          <w:szCs w:val="24"/>
        </w:rPr>
        <w:t>0</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8,999,999</w:t>
      </w:r>
      <w:r>
        <w:rPr>
          <w:rFonts w:ascii="Times New Roman" w:hAnsi="Times New Roman" w:cs="Times New Roman"/>
          <w:iCs/>
          <w:color w:val="000000" w:themeColor="text1"/>
          <w:sz w:val="24"/>
          <w:szCs w:val="24"/>
        </w:rPr>
        <w:t>”, “JPY 9,000,00</w:t>
      </w:r>
      <w:r w:rsidR="00ED4610">
        <w:rPr>
          <w:rFonts w:ascii="Times New Roman" w:hAnsi="Times New Roman" w:cs="Times New Roman"/>
          <w:iCs/>
          <w:color w:val="000000" w:themeColor="text1"/>
          <w:sz w:val="24"/>
          <w:szCs w:val="24"/>
        </w:rPr>
        <w:t>0 or more</w:t>
      </w:r>
      <w:r>
        <w:rPr>
          <w:rFonts w:ascii="Times New Roman" w:hAnsi="Times New Roman" w:cs="Times New Roman"/>
          <w:iCs/>
          <w:color w:val="000000" w:themeColor="text1"/>
          <w:sz w:val="24"/>
          <w:szCs w:val="24"/>
        </w:rPr>
        <w:t>”</w:t>
      </w:r>
      <w:r w:rsidR="00ED4610">
        <w:rPr>
          <w:rFonts w:ascii="Times New Roman" w:hAnsi="Times New Roman" w:cs="Times New Roman"/>
          <w:iCs/>
          <w:color w:val="000000" w:themeColor="text1"/>
          <w:sz w:val="24"/>
          <w:szCs w:val="24"/>
        </w:rPr>
        <w:t>, and “Unknown”. We converted it into “JPY &lt; 3,000,000”, “JPY 3,000,000-5,999,999”, “JPY 6,000,000-8,999,999”, “JPY 9,000,000 or more” and “missing” considering the poverty line and average income in Japan.</w:t>
      </w:r>
    </w:p>
    <w:p w14:paraId="37F21AE5" w14:textId="0AD86E19" w:rsidR="00300A7F" w:rsidRDefault="00E97009" w:rsidP="00F00925">
      <w:pPr>
        <w:snapToGrid w:val="0"/>
        <w:spacing w:line="240" w:lineRule="auto"/>
        <w:contextualSpacing/>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lastRenderedPageBreak/>
        <w:t xml:space="preserve">Supplementary method 2. </w:t>
      </w:r>
      <w:r w:rsidR="008B4371">
        <w:rPr>
          <w:rFonts w:ascii="Times New Roman" w:hAnsi="Times New Roman" w:cs="Times New Roman"/>
          <w:iCs/>
          <w:color w:val="000000" w:themeColor="text1"/>
          <w:sz w:val="24"/>
          <w:szCs w:val="24"/>
        </w:rPr>
        <w:t>Sensitivity analysis</w:t>
      </w:r>
    </w:p>
    <w:p w14:paraId="2C0460B1" w14:textId="77777777" w:rsidR="00F00925" w:rsidRDefault="00F00925" w:rsidP="00F00925">
      <w:pPr>
        <w:snapToGrid w:val="0"/>
        <w:spacing w:line="240" w:lineRule="auto"/>
        <w:contextualSpacing/>
        <w:rPr>
          <w:rFonts w:ascii="Times New Roman" w:hAnsi="Times New Roman" w:cs="Times New Roman"/>
          <w:iCs/>
          <w:color w:val="000000" w:themeColor="text1"/>
          <w:sz w:val="24"/>
          <w:szCs w:val="24"/>
        </w:rPr>
      </w:pPr>
    </w:p>
    <w:p w14:paraId="5A29905B" w14:textId="7EAB2B34" w:rsidR="008B4371" w:rsidRPr="0067549E" w:rsidRDefault="008B4371" w:rsidP="00F00925">
      <w:pPr>
        <w:snapToGrid w:val="0"/>
        <w:spacing w:line="240" w:lineRule="auto"/>
        <w:contextualSpacing/>
        <w:rPr>
          <w:rFonts w:ascii="Times New Roman" w:hAnsi="Times New Roman" w:cs="Times New Roman"/>
          <w:i/>
          <w:iCs/>
          <w:color w:val="000000" w:themeColor="text1"/>
          <w:sz w:val="24"/>
          <w:szCs w:val="24"/>
        </w:rPr>
      </w:pPr>
      <w:r w:rsidRPr="0067549E">
        <w:rPr>
          <w:rFonts w:ascii="Times New Roman" w:hAnsi="Times New Roman" w:cs="Times New Roman"/>
          <w:i/>
          <w:iCs/>
          <w:color w:val="000000" w:themeColor="text1"/>
          <w:sz w:val="24"/>
          <w:szCs w:val="24"/>
        </w:rPr>
        <w:t>Multiple imputation</w:t>
      </w:r>
    </w:p>
    <w:p w14:paraId="07A56F6B" w14:textId="087A5438" w:rsidR="008B4371" w:rsidRDefault="7EA40908" w:rsidP="00F00925">
      <w:pPr>
        <w:snapToGrid w:val="0"/>
        <w:spacing w:line="240" w:lineRule="auto"/>
        <w:contextualSpacing/>
        <w:rPr>
          <w:rFonts w:ascii="Times New Roman" w:hAnsi="Times New Roman" w:cs="Times New Roman"/>
          <w:color w:val="000000" w:themeColor="text1"/>
          <w:sz w:val="24"/>
          <w:szCs w:val="24"/>
        </w:rPr>
      </w:pPr>
      <w:r w:rsidRPr="7EA40908">
        <w:rPr>
          <w:rFonts w:ascii="Times New Roman" w:hAnsi="Times New Roman" w:cs="Times New Roman"/>
          <w:color w:val="000000" w:themeColor="text1"/>
          <w:sz w:val="24"/>
          <w:szCs w:val="24"/>
        </w:rPr>
        <w:t>In order to take into account the missing in covariates, we analyzed by imputing the missing with multiple imputation. Percentage of missing in our variables are ranged from 0.5</w:t>
      </w:r>
      <w:r w:rsidR="00E12A5C">
        <w:rPr>
          <w:rFonts w:ascii="Times New Roman" w:hAnsi="Times New Roman" w:cs="Times New Roman"/>
          <w:color w:val="000000" w:themeColor="text1"/>
          <w:sz w:val="24"/>
          <w:szCs w:val="24"/>
        </w:rPr>
        <w:t>%</w:t>
      </w:r>
      <w:r w:rsidRPr="7EA40908">
        <w:rPr>
          <w:rFonts w:ascii="Times New Roman" w:hAnsi="Times New Roman" w:cs="Times New Roman"/>
          <w:color w:val="000000" w:themeColor="text1"/>
          <w:sz w:val="24"/>
          <w:szCs w:val="24"/>
        </w:rPr>
        <w:t xml:space="preserve"> to 18.5% and complete case is </w:t>
      </w:r>
      <w:r w:rsidR="00D83340">
        <w:rPr>
          <w:rFonts w:ascii="Times New Roman" w:hAnsi="Times New Roman" w:cs="Times New Roman"/>
          <w:color w:val="000000" w:themeColor="text1"/>
          <w:sz w:val="24"/>
          <w:szCs w:val="24"/>
        </w:rPr>
        <w:t>53% of total cases.</w:t>
      </w:r>
      <w:r w:rsidRPr="7EA40908">
        <w:rPr>
          <w:rFonts w:ascii="Times New Roman" w:hAnsi="Times New Roman" w:cs="Times New Roman"/>
          <w:color w:val="000000" w:themeColor="text1"/>
          <w:sz w:val="24"/>
          <w:szCs w:val="24"/>
        </w:rPr>
        <w:t xml:space="preserve"> Missing pattern was assumed to be missing at random. We </w:t>
      </w:r>
      <w:r w:rsidR="0067549E">
        <w:rPr>
          <w:rFonts w:ascii="Times New Roman" w:hAnsi="Times New Roman" w:cs="Times New Roman"/>
          <w:color w:val="000000" w:themeColor="text1"/>
          <w:sz w:val="24"/>
          <w:szCs w:val="24"/>
        </w:rPr>
        <w:t>imputed missing variables using</w:t>
      </w:r>
      <w:r w:rsidRPr="7EA40908">
        <w:rPr>
          <w:rFonts w:ascii="Times New Roman" w:hAnsi="Times New Roman" w:cs="Times New Roman"/>
          <w:color w:val="000000" w:themeColor="text1"/>
          <w:sz w:val="24"/>
          <w:szCs w:val="24"/>
        </w:rPr>
        <w:t xml:space="preserve"> multivariate normality distribution based on the previous studie</w:t>
      </w:r>
      <w:r w:rsidR="0067549E">
        <w:rPr>
          <w:rFonts w:ascii="Times New Roman" w:hAnsi="Times New Roman" w:cs="Times New Roman"/>
          <w:color w:val="000000" w:themeColor="text1"/>
          <w:sz w:val="24"/>
          <w:szCs w:val="24"/>
        </w:rPr>
        <w:t>s</w:t>
      </w:r>
      <w:r w:rsidR="0067549E">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&lt;EndNote&gt;&lt;Cite&gt;&lt;Author&gt;Demirtas&lt;/Author&gt;&lt;Year&gt;2008&lt;/Year&gt;&lt;RecNum&gt;677&lt;/RecNum&gt;&lt;DisplayText&gt;[13, 14]&lt;/DisplayText&gt;&lt;record&gt;&lt;rec-number&gt;677&lt;/rec-number&gt;&lt;foreign-keys&gt;&lt;key app="EN" db-id="eda2pszt8xrpr6e02dovwtzizsafxr9xvavr" timestamp="1575885704"&gt;677&lt;/key&gt;&lt;/foreign-keys&gt;&lt;ref-type name="Journal Article"&gt;17&lt;/ref-type&gt;&lt;contributors&gt;&lt;authors&gt;&lt;author&gt;Demirtas, Hakan&lt;/author&gt;&lt;author&gt;Freels, Sally A.&lt;/author&gt;&lt;author&gt;Yucel, Recai M.&lt;/author&gt;&lt;/authors&gt;&lt;/contributors&gt;&lt;titles&gt;&lt;title&gt;Plausibility of multivariate normality assumption when multiply imputing non-Gaussian continuous outcomes: a simulation assessment&lt;/title&gt;&lt;secondary-title&gt;Journal of Statistical Computation and Simulation&lt;/secondary-title&gt;&lt;/titles&gt;&lt;periodical&gt;&lt;full-title&gt;Journal of Statistical Computation and Simulation&lt;/full-title&gt;&lt;/periodical&gt;&lt;pages&gt;69-84&lt;/pages&gt;&lt;volume&gt;78&lt;/volume&gt;&lt;number&gt;1&lt;/number&gt;&lt;dates&gt;&lt;year&gt;2008&lt;/year&gt;&lt;/dates&gt;&lt;isbn&gt;0094-9655&lt;/isbn&gt;&lt;urls&gt;&lt;/urls&gt;&lt;/record&gt;&lt;/Cite&gt;&lt;Cite&gt;&lt;Author&gt;Lee&lt;/Author&gt;&lt;Year&gt;2010&lt;/Year&gt;&lt;RecNum&gt;676&lt;/RecNum&gt;&lt;record&gt;&lt;rec-number&gt;676&lt;/rec-number&gt;&lt;foreign-keys&gt;&lt;key app="EN" db-id="eda2pszt8xrpr6e02dovwtzizsafxr9xvavr" timestamp="1575885569"&gt;676&lt;/key&gt;&lt;/foreign-keys&gt;&lt;ref-type name="Journal Article"&gt;17&lt;/ref-type&gt;&lt;contributors&gt;&lt;authors&gt;&lt;author&gt;Lee, Katherine J.&lt;/author&gt;&lt;author&gt;Carlin, John B.&lt;/author&gt;&lt;/authors&gt;&lt;/contributors&gt;&lt;titles&gt;&lt;title&gt;Multiple imputation for missing data: fully conditional specification versus multivariate normal imputation&lt;/title&gt;&lt;secondary-title&gt;American journal of epidemiology&lt;/secondary-title&gt;&lt;/titles&gt;&lt;periodical&gt;&lt;full-title&gt;American journal of epidemiology&lt;/full-title&gt;&lt;/periodical&gt;&lt;pages&gt;624-632&lt;/pages&gt;&lt;volume&gt;171&lt;/volume&gt;&lt;number&gt;5&lt;/number&gt;&lt;dates&gt;&lt;year&gt;2010&lt;/year&gt;&lt;/dates&gt;&lt;isbn&gt;1476-6256&lt;/isbn&gt;&lt;urls&gt;&lt;/urls&gt;&lt;/record&gt;&lt;/Cite&gt;&lt;/EndNote&gt;</w:instrText>
      </w:r>
      <w:r w:rsidR="0067549E">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[13, 14]</w:t>
      </w:r>
      <w:r w:rsidR="0067549E">
        <w:rPr>
          <w:rFonts w:ascii="Times New Roman" w:hAnsi="Times New Roman" w:cs="Times New Roman"/>
          <w:color w:val="000000" w:themeColor="text1"/>
          <w:sz w:val="24"/>
          <w:szCs w:val="24"/>
        </w:rPr>
        <w:fldChar w:fldCharType="end"/>
      </w:r>
      <w:r w:rsidRPr="7EA40908">
        <w:rPr>
          <w:rFonts w:ascii="Times New Roman" w:hAnsi="Times New Roman" w:cs="Times New Roman"/>
          <w:color w:val="000000" w:themeColor="text1"/>
          <w:sz w:val="24"/>
          <w:szCs w:val="24"/>
        </w:rPr>
        <w:t xml:space="preserve"> and relatively large sample size. All covariates including child allowance status were included in imputation model and totally 50 imputation datasets were created considering the proportion of incomplete cases</w:t>
      </w:r>
      <w:r w:rsidR="0067549E">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&lt;EndNote&gt;&lt;Cite&gt;&lt;Author&gt;White&lt;/Author&gt;&lt;Year&gt;2011&lt;/Year&gt;&lt;RecNum&gt;678&lt;/RecNum&gt;&lt;DisplayText&gt;[15]&lt;/DisplayText&gt;&lt;record&gt;&lt;rec-number&gt;678&lt;/rec-number&gt;&lt;foreign-keys&gt;&lt;key app="EN" db-id="eda2pszt8xrpr6e02dovwtzizsafxr9xvavr" timestamp="1575885829"&gt;678&lt;/key&gt;&lt;/foreign-keys&gt;&lt;ref-type name="Journal Article"&gt;17&lt;/ref-type&gt;&lt;contributors&gt;&lt;authors&gt;&lt;author&gt;White, Ian R.&lt;/author&gt;&lt;author&gt;Royston, Patrick&lt;/author&gt;&lt;author&gt;Wood, Angela M.&lt;/author&gt;&lt;/authors&gt;&lt;/contributors&gt;&lt;titles&gt;&lt;title&gt;Multiple imputation using chained equations: issues and guidance for practice&lt;/title&gt;&lt;secondary-title&gt;Statistics in medicine&lt;/secondary-title&gt;&lt;/titles&gt;&lt;periodical&gt;&lt;full-title&gt;Statistics in medicine&lt;/full-title&gt;&lt;/periodical&gt;&lt;pages&gt;377-399&lt;/pages&gt;&lt;volume&gt;30&lt;/volume&gt;&lt;number&gt;4&lt;/number&gt;&lt;dates&gt;&lt;year&gt;2011&lt;/year&gt;&lt;/dates&gt;&lt;isbn&gt;0277-6715&lt;/isbn&gt;&lt;urls&gt;&lt;/urls&gt;&lt;/record&gt;&lt;/Cite&gt;&lt;/EndNote&gt;</w:instrText>
      </w:r>
      <w:r w:rsidR="0067549E">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[15]</w:t>
      </w:r>
      <w:r w:rsidR="0067549E">
        <w:rPr>
          <w:rFonts w:ascii="Times New Roman" w:hAnsi="Times New Roman" w:cs="Times New Roman"/>
          <w:color w:val="000000" w:themeColor="text1"/>
          <w:sz w:val="24"/>
          <w:szCs w:val="24"/>
        </w:rPr>
        <w:fldChar w:fldCharType="end"/>
      </w:r>
      <w:r w:rsidRPr="7EA40908">
        <w:rPr>
          <w:rFonts w:ascii="Times New Roman" w:hAnsi="Times New Roman" w:cs="Times New Roman"/>
          <w:color w:val="000000" w:themeColor="text1"/>
          <w:sz w:val="24"/>
          <w:szCs w:val="24"/>
        </w:rPr>
        <w:t xml:space="preserve">. Imputation was conducted with command “mi impute </w:t>
      </w:r>
      <w:proofErr w:type="spellStart"/>
      <w:r w:rsidRPr="7EA40908">
        <w:rPr>
          <w:rFonts w:ascii="Times New Roman" w:hAnsi="Times New Roman" w:cs="Times New Roman"/>
          <w:color w:val="000000" w:themeColor="text1"/>
          <w:sz w:val="24"/>
          <w:szCs w:val="24"/>
        </w:rPr>
        <w:t>mvn</w:t>
      </w:r>
      <w:proofErr w:type="spellEnd"/>
      <w:r w:rsidRPr="7EA40908">
        <w:rPr>
          <w:rFonts w:ascii="Times New Roman" w:hAnsi="Times New Roman" w:cs="Times New Roman"/>
          <w:color w:val="000000" w:themeColor="text1"/>
          <w:sz w:val="24"/>
          <w:szCs w:val="24"/>
        </w:rPr>
        <w:t>” in STATA 15.</w:t>
      </w:r>
    </w:p>
    <w:p w14:paraId="57FD9DFE" w14:textId="77777777" w:rsidR="00F00925" w:rsidRDefault="00F00925" w:rsidP="00F00925">
      <w:pPr>
        <w:snapToGrid w:val="0"/>
        <w:spacing w:line="240" w:lineRule="auto"/>
        <w:contextualSpacing/>
        <w:rPr>
          <w:rFonts w:ascii="Times New Roman" w:hAnsi="Times New Roman" w:cs="Times New Roman"/>
          <w:color w:val="000000" w:themeColor="text1"/>
          <w:sz w:val="24"/>
          <w:szCs w:val="24"/>
        </w:rPr>
      </w:pPr>
    </w:p>
    <w:p w14:paraId="4DBAE406" w14:textId="3D074948" w:rsidR="7EA40908" w:rsidRPr="0067549E" w:rsidRDefault="7EA40908" w:rsidP="00F00925">
      <w:pPr>
        <w:snapToGrid w:val="0"/>
        <w:spacing w:line="240" w:lineRule="auto"/>
        <w:contextualSpacing/>
        <w:rPr>
          <w:rFonts w:ascii="Times New Roman" w:hAnsi="Times New Roman" w:cs="Times New Roman"/>
          <w:i/>
          <w:color w:val="000000" w:themeColor="text1"/>
          <w:sz w:val="24"/>
          <w:szCs w:val="24"/>
        </w:rPr>
      </w:pPr>
      <w:r w:rsidRPr="0067549E">
        <w:rPr>
          <w:rFonts w:ascii="Times New Roman" w:hAnsi="Times New Roman" w:cs="Times New Roman"/>
          <w:i/>
          <w:color w:val="000000" w:themeColor="text1"/>
          <w:sz w:val="24"/>
          <w:szCs w:val="24"/>
        </w:rPr>
        <w:t>Propensity score estimation and matching</w:t>
      </w:r>
    </w:p>
    <w:p w14:paraId="6CEFBF5A" w14:textId="09766BAE" w:rsidR="7EA40908" w:rsidRDefault="7EA40908" w:rsidP="00F00925">
      <w:pPr>
        <w:snapToGrid w:val="0"/>
        <w:spacing w:line="240" w:lineRule="auto"/>
        <w:contextualSpacing/>
        <w:rPr>
          <w:rFonts w:ascii="Times New Roman" w:hAnsi="Times New Roman" w:cs="Times New Roman"/>
          <w:color w:val="000000" w:themeColor="text1"/>
          <w:sz w:val="24"/>
          <w:szCs w:val="24"/>
        </w:rPr>
      </w:pPr>
      <w:r w:rsidRPr="7EA40908">
        <w:rPr>
          <w:rFonts w:ascii="Times New Roman" w:hAnsi="Times New Roman" w:cs="Times New Roman"/>
          <w:color w:val="000000" w:themeColor="text1"/>
          <w:sz w:val="24"/>
          <w:szCs w:val="24"/>
        </w:rPr>
        <w:t>Based on the previous study, propensity score was estimated for each imputed dataset</w:t>
      </w:r>
      <w:r w:rsidR="0067549E">
        <w:rPr>
          <w:rFonts w:ascii="Times New Roman" w:hAnsi="Times New Roman" w:cs="Times New Roman"/>
          <w:color w:val="000000" w:themeColor="text1"/>
          <w:sz w:val="24"/>
          <w:szCs w:val="24"/>
        </w:rPr>
        <w:fldChar w:fldCharType="begin"/>
      </w:r>
      <w:r w:rsidR="0067549E">
        <w:rPr>
          <w:rFonts w:ascii="Times New Roman" w:hAnsi="Times New Roman" w:cs="Times New Roman"/>
          <w:color w:val="000000" w:themeColor="text1"/>
          <w:sz w:val="24"/>
          <w:szCs w:val="24"/>
        </w:rPr>
        <w:instrText xml:space="preserve"> ADDIN EN.CITE &lt;EndNote&gt;&lt;Cite&gt;&lt;Author&gt;Leyrat&lt;/Author&gt;&lt;Year&gt;2019&lt;/Year&gt;&lt;RecNum&gt;679&lt;/RecNum&gt;&lt;DisplayText&gt;[16]&lt;/DisplayText&gt;&lt;record&gt;&lt;rec-number&gt;679&lt;/rec-number&gt;&lt;foreign-keys&gt;&lt;key app="EN" db-id="eda2pszt8xrpr6e02dovwtzizsafxr9xvavr" timestamp="1575885904"&gt;679&lt;/key&gt;&lt;/foreign-keys&gt;&lt;ref-type name="Journal Article"&gt;17&lt;/ref-type&gt;&lt;contributors&gt;&lt;authors&gt;&lt;author&gt;Leyrat, Clémence&lt;/author&gt;&lt;author&gt;Seaman, Shaun R.&lt;/author&gt;&lt;author&gt;White, Ian R.&lt;/author&gt;&lt;author&gt;Douglas, Ian&lt;/author&gt;&lt;author&gt;Smeeth, Liam&lt;/author&gt;&lt;author&gt;Kim, Joseph&lt;/author&gt;&lt;author&gt;Resche-Rigon, Matthieu&lt;/author&gt;&lt;author&gt;Carpenter, James R.&lt;/author&gt;&lt;author&gt;Williamson, Elizabeth J.&lt;/author&gt;&lt;/authors&gt;&lt;/contributors&gt;&lt;titles&gt;&lt;title&gt;Propensity score analysis with partially observed covariates: How should multiple imputation be used?&lt;/title&gt;&lt;secondary-title&gt;Statistical methods in medical research&lt;/secondary-title&gt;&lt;/titles&gt;&lt;periodical&gt;&lt;full-title&gt;Statistical methods in medical research&lt;/full-title&gt;&lt;/periodical&gt;&lt;pages&gt;3-19&lt;/pages&gt;&lt;volume&gt;28&lt;/volume&gt;&lt;number&gt;1&lt;/number&gt;&lt;dates&gt;&lt;year&gt;2019&lt;/year&gt;&lt;/dates&gt;&lt;isbn&gt;0962-2802&lt;/isbn&gt;&lt;urls&gt;&lt;/urls&gt;&lt;/record&gt;&lt;/Cite&gt;&lt;/EndNote&gt;</w:instrText>
      </w:r>
      <w:r w:rsidR="0067549E">
        <w:rPr>
          <w:rFonts w:ascii="Times New Roman" w:hAnsi="Times New Roman" w:cs="Times New Roman"/>
          <w:color w:val="000000" w:themeColor="text1"/>
          <w:sz w:val="24"/>
          <w:szCs w:val="24"/>
        </w:rPr>
        <w:fldChar w:fldCharType="separate"/>
      </w:r>
      <w:r w:rsidR="0067549E">
        <w:rPr>
          <w:rFonts w:ascii="Times New Roman" w:hAnsi="Times New Roman" w:cs="Times New Roman"/>
          <w:noProof/>
          <w:color w:val="000000" w:themeColor="text1"/>
          <w:sz w:val="24"/>
          <w:szCs w:val="24"/>
        </w:rPr>
        <w:t>[16]</w:t>
      </w:r>
      <w:r w:rsidR="0067549E">
        <w:rPr>
          <w:rFonts w:ascii="Times New Roman" w:hAnsi="Times New Roman" w:cs="Times New Roman"/>
          <w:color w:val="000000" w:themeColor="text1"/>
          <w:sz w:val="24"/>
          <w:szCs w:val="24"/>
        </w:rPr>
        <w:fldChar w:fldCharType="end"/>
      </w:r>
      <w:r w:rsidRPr="7EA40908">
        <w:rPr>
          <w:rFonts w:ascii="Times New Roman" w:hAnsi="Times New Roman" w:cs="Times New Roman"/>
          <w:color w:val="000000" w:themeColor="text1"/>
          <w:sz w:val="24"/>
          <w:szCs w:val="24"/>
        </w:rPr>
        <w:t>. Analysis model for propensity score of child allowance and matching procedure were same as the one used main analysis.</w:t>
      </w:r>
      <w:r w:rsidR="00630671">
        <w:rPr>
          <w:rFonts w:ascii="Times New Roman" w:hAnsi="Times New Roman" w:cs="Times New Roman"/>
          <w:color w:val="000000" w:themeColor="text1"/>
          <w:sz w:val="24"/>
          <w:szCs w:val="24"/>
        </w:rPr>
        <w:t xml:space="preserve"> Imputed values for categorical variables (respondent relationship with children, marital status, residential area, parental educational attainment, parental occupation, parental working time</w:t>
      </w:r>
      <w:r w:rsidR="00553DEF">
        <w:rPr>
          <w:rFonts w:ascii="Times New Roman" w:hAnsi="Times New Roman" w:cs="Times New Roman"/>
          <w:color w:val="000000" w:themeColor="text1"/>
          <w:sz w:val="24"/>
          <w:szCs w:val="24"/>
        </w:rPr>
        <w:t>, income</w:t>
      </w:r>
      <w:r w:rsidR="00630671">
        <w:rPr>
          <w:rFonts w:ascii="Times New Roman" w:hAnsi="Times New Roman" w:cs="Times New Roman"/>
          <w:color w:val="000000" w:themeColor="text1"/>
          <w:sz w:val="24"/>
          <w:szCs w:val="24"/>
        </w:rPr>
        <w:t>, self-rated health</w:t>
      </w:r>
      <w:r w:rsidR="00A9202D">
        <w:rPr>
          <w:rFonts w:ascii="Times New Roman" w:hAnsi="Times New Roman" w:cs="Times New Roman"/>
          <w:color w:val="000000" w:themeColor="text1"/>
          <w:sz w:val="24"/>
          <w:szCs w:val="24"/>
        </w:rPr>
        <w:t>,</w:t>
      </w:r>
      <w:r w:rsidR="00630671">
        <w:rPr>
          <w:rFonts w:ascii="Times New Roman" w:hAnsi="Times New Roman" w:cs="Times New Roman"/>
          <w:color w:val="000000" w:themeColor="text1"/>
          <w:sz w:val="24"/>
          <w:szCs w:val="24"/>
        </w:rPr>
        <w:t xml:space="preserve"> parental smoking status and child sex) were rounded to the nearest value before included into analysis model</w:t>
      </w:r>
      <w:r w:rsidR="003C34A7">
        <w:rPr>
          <w:rFonts w:ascii="Times New Roman" w:hAnsi="Times New Roman" w:cs="Times New Roman"/>
          <w:color w:val="000000" w:themeColor="text1"/>
          <w:sz w:val="24"/>
          <w:szCs w:val="24"/>
        </w:rPr>
        <w:fldChar w:fldCharType="begin"/>
      </w:r>
      <w:r w:rsidR="003C34A7">
        <w:rPr>
          <w:rFonts w:ascii="Times New Roman" w:hAnsi="Times New Roman" w:cs="Times New Roman"/>
          <w:color w:val="000000" w:themeColor="text1"/>
          <w:sz w:val="24"/>
          <w:szCs w:val="24"/>
        </w:rPr>
        <w:instrText xml:space="preserve"> ADDIN EN.CITE &lt;EndNote&gt;&lt;Cite&gt;&lt;Author&gt;Lee&lt;/Author&gt;&lt;Year&gt;2010&lt;/Year&gt;&lt;RecNum&gt;676&lt;/RecNum&gt;&lt;DisplayText&gt;[14]&lt;/DisplayText&gt;&lt;record&gt;&lt;rec-number&gt;676&lt;/rec-number&gt;&lt;foreign-keys&gt;&lt;key app="EN" db-id="eda2pszt8xrpr6e02dovwtzizsafxr9xvavr" timestamp="1575885569"&gt;676&lt;/key&gt;&lt;/foreign-keys&gt;&lt;ref-type name="Journal Article"&gt;17&lt;/ref-type&gt;&lt;contributors&gt;&lt;authors&gt;&lt;author&gt;Lee, Katherine J.&lt;/author&gt;&lt;author&gt;Carlin, John B.&lt;/author&gt;&lt;/authors&gt;&lt;/contributors&gt;&lt;titles&gt;&lt;title&gt;Multiple imputation for missing data: fully conditional specification versus multivariate normal imputation&lt;/title&gt;&lt;secondary-title&gt;American journal of epidemiology&lt;/secondary-title&gt;&lt;/titles&gt;&lt;periodical&gt;&lt;full-title&gt;American journal of epidemiology&lt;/full-title&gt;&lt;/periodical&gt;&lt;pages&gt;624-632&lt;/pages&gt;&lt;volume&gt;171&lt;/volume&gt;&lt;number&gt;5&lt;/number&gt;&lt;dates&gt;&lt;year&gt;2010&lt;/year&gt;&lt;/dates&gt;&lt;isbn&gt;1476-6256&lt;/isbn&gt;&lt;urls&gt;&lt;/urls&gt;&lt;/record&gt;&lt;/Cite&gt;&lt;/EndNote&gt;</w:instrText>
      </w:r>
      <w:r w:rsidR="003C34A7">
        <w:rPr>
          <w:rFonts w:ascii="Times New Roman" w:hAnsi="Times New Roman" w:cs="Times New Roman"/>
          <w:color w:val="000000" w:themeColor="text1"/>
          <w:sz w:val="24"/>
          <w:szCs w:val="24"/>
        </w:rPr>
        <w:fldChar w:fldCharType="separate"/>
      </w:r>
      <w:r w:rsidR="003C34A7">
        <w:rPr>
          <w:rFonts w:ascii="Times New Roman" w:hAnsi="Times New Roman" w:cs="Times New Roman"/>
          <w:noProof/>
          <w:color w:val="000000" w:themeColor="text1"/>
          <w:sz w:val="24"/>
          <w:szCs w:val="24"/>
        </w:rPr>
        <w:t>[14]</w:t>
      </w:r>
      <w:r w:rsidR="003C34A7">
        <w:rPr>
          <w:rFonts w:ascii="Times New Roman" w:hAnsi="Times New Roman" w:cs="Times New Roman"/>
          <w:color w:val="000000" w:themeColor="text1"/>
          <w:sz w:val="24"/>
          <w:szCs w:val="24"/>
        </w:rPr>
        <w:fldChar w:fldCharType="end"/>
      </w:r>
      <w:r w:rsidR="00630671">
        <w:rPr>
          <w:rFonts w:ascii="Times New Roman" w:hAnsi="Times New Roman" w:cs="Times New Roman"/>
          <w:color w:val="000000" w:themeColor="text1"/>
          <w:sz w:val="24"/>
          <w:szCs w:val="24"/>
        </w:rPr>
        <w:t xml:space="preserve">. </w:t>
      </w:r>
      <w:r w:rsidR="00553DEF">
        <w:rPr>
          <w:rFonts w:ascii="Times New Roman" w:hAnsi="Times New Roman" w:cs="Times New Roman"/>
          <w:color w:val="000000" w:themeColor="text1"/>
          <w:sz w:val="24"/>
          <w:szCs w:val="24"/>
        </w:rPr>
        <w:t xml:space="preserve">Also, as for family size, number of younger siblings, number of older siblings, number of grandparents, parental working time and K6 score, imputed values less than 0 were replaced with the smallest observed values, and values greater than the maximum values of each observed values were truncated at the maximum values. </w:t>
      </w:r>
    </w:p>
    <w:p w14:paraId="57A8D98B" w14:textId="77777777" w:rsidR="00E97009" w:rsidRDefault="7EA40908" w:rsidP="00F00925">
      <w:pPr>
        <w:snapToGrid w:val="0"/>
        <w:spacing w:line="240" w:lineRule="auto"/>
        <w:contextualSpacing/>
        <w:rPr>
          <w:rFonts w:ascii="Times New Roman" w:hAnsi="Times New Roman" w:cs="Times New Roman"/>
          <w:color w:val="000000" w:themeColor="text1"/>
          <w:sz w:val="24"/>
          <w:szCs w:val="24"/>
        </w:rPr>
        <w:sectPr w:rsidR="00E97009" w:rsidSect="008B4371">
          <w:pgSz w:w="12240" w:h="15840"/>
          <w:pgMar w:top="1440" w:right="1440" w:bottom="1440" w:left="1440" w:header="720" w:footer="720" w:gutter="0"/>
          <w:cols w:space="720"/>
          <w:docGrid w:linePitch="360"/>
        </w:sectPr>
      </w:pPr>
      <w:r w:rsidRPr="7EA40908">
        <w:rPr>
          <w:rFonts w:ascii="Times New Roman" w:hAnsi="Times New Roman" w:cs="Times New Roman"/>
          <w:color w:val="000000" w:themeColor="text1"/>
          <w:sz w:val="24"/>
          <w:szCs w:val="24"/>
        </w:rPr>
        <w:t>Estimation of final coefficients was obtained by pooling parameter estimate in each imputed dataset using Rubin's Rules.</w:t>
      </w:r>
    </w:p>
    <w:p w14:paraId="19C2E002" w14:textId="2FC7F03E" w:rsidR="00FD3B15" w:rsidRDefault="00FD3B15" w:rsidP="00F00925">
      <w:pPr>
        <w:snapToGri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Supplementary figure 1. Histogram of propensity scores for recipients and non-recipients</w:t>
      </w:r>
    </w:p>
    <w:p w14:paraId="2458381E" w14:textId="73CBE1C3" w:rsidR="00FD3B15" w:rsidRDefault="00FD3B15" w:rsidP="00F00925">
      <w:pPr>
        <w:snapToGrid w:val="0"/>
        <w:spacing w:line="240" w:lineRule="auto"/>
        <w:contextualSpacing/>
        <w:rPr>
          <w:rFonts w:ascii="Times New Roman" w:hAnsi="Times New Roman" w:cs="Times New Roman"/>
          <w:color w:val="000000" w:themeColor="text1"/>
          <w:sz w:val="24"/>
          <w:szCs w:val="24"/>
        </w:rPr>
      </w:pPr>
      <w:r w:rsidRPr="00FD3B15">
        <w:rPr>
          <w:rFonts w:ascii="Times New Roman" w:hAnsi="Times New Roman" w:cs="Times New Roman"/>
          <w:noProof/>
          <w:color w:val="000000" w:themeColor="text1"/>
          <w:sz w:val="24"/>
          <w:szCs w:val="24"/>
        </w:rPr>
        <w:drawing>
          <wp:inline distT="0" distB="0" distL="0" distR="0" wp14:anchorId="17146CFA" wp14:editId="0DEDB881">
            <wp:extent cx="5121910" cy="3752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21910" cy="3752850"/>
                    </a:xfrm>
                    <a:prstGeom prst="rect">
                      <a:avLst/>
                    </a:prstGeom>
                    <a:noFill/>
                    <a:ln>
                      <a:noFill/>
                    </a:ln>
                  </pic:spPr>
                </pic:pic>
              </a:graphicData>
            </a:graphic>
          </wp:inline>
        </w:drawing>
      </w:r>
    </w:p>
    <w:p w14:paraId="6A274490" w14:textId="787ACACC" w:rsidR="00FD3B15" w:rsidRPr="00FD3B15" w:rsidRDefault="00FD3B15" w:rsidP="00F00925">
      <w:pPr>
        <w:snapToGrid w:val="0"/>
        <w:spacing w:line="240" w:lineRule="auto"/>
        <w:contextualSpacing/>
        <w:rPr>
          <w:rFonts w:ascii="Times New Roman" w:hAnsi="Times New Roman" w:cs="Times New Roman"/>
          <w:sz w:val="24"/>
          <w:szCs w:val="24"/>
        </w:rPr>
        <w:sectPr w:rsidR="00FD3B15" w:rsidRPr="00FD3B15" w:rsidSect="00FD3B15">
          <w:pgSz w:w="12240" w:h="15840"/>
          <w:pgMar w:top="1440" w:right="1440" w:bottom="1440" w:left="1440" w:header="720" w:footer="720" w:gutter="0"/>
          <w:cols w:space="720"/>
          <w:docGrid w:linePitch="360"/>
        </w:sectPr>
      </w:pPr>
    </w:p>
    <w:p w14:paraId="6E59C0B8" w14:textId="3EFE3533" w:rsidR="00E97009" w:rsidRDefault="00E97009" w:rsidP="00F00925">
      <w:pPr>
        <w:snapToGri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Appendix 1. Child allowance system in Japan</w:t>
      </w:r>
    </w:p>
    <w:p w14:paraId="394BC9A2" w14:textId="77777777" w:rsidR="00F00925" w:rsidRDefault="00F00925" w:rsidP="00F00925">
      <w:pPr>
        <w:snapToGrid w:val="0"/>
        <w:spacing w:line="240" w:lineRule="auto"/>
        <w:contextualSpacing/>
        <w:rPr>
          <w:rFonts w:ascii="Times New Roman" w:hAnsi="Times New Roman" w:cs="Times New Roman"/>
          <w:color w:val="000000" w:themeColor="text1"/>
          <w:sz w:val="24"/>
          <w:szCs w:val="24"/>
        </w:rPr>
      </w:pPr>
    </w:p>
    <w:p w14:paraId="663136B9" w14:textId="2B83191B" w:rsidR="00BD2A84" w:rsidRDefault="000A1318" w:rsidP="00F00925">
      <w:pPr>
        <w:snapToGri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Under the child allowance system, 15,000 JPY will be monthly given to a child younger than 3 years old; 10,000 JPY for the first</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 xml:space="preserve"> and second-born child who is older than 3 and up to </w:t>
      </w:r>
      <w:r w:rsidR="00BD2A84">
        <w:rPr>
          <w:rFonts w:ascii="Times New Roman" w:hAnsi="Times New Roman" w:cs="Times New Roman"/>
          <w:color w:val="000000" w:themeColor="text1"/>
          <w:sz w:val="24"/>
          <w:szCs w:val="24"/>
        </w:rPr>
        <w:t>6</w:t>
      </w:r>
      <w:r w:rsidR="00BD2A84" w:rsidRPr="00BD2A84">
        <w:rPr>
          <w:rFonts w:ascii="Times New Roman" w:hAnsi="Times New Roman" w:cs="Times New Roman"/>
          <w:color w:val="000000" w:themeColor="text1"/>
          <w:sz w:val="24"/>
          <w:szCs w:val="24"/>
          <w:vertAlign w:val="superscript"/>
        </w:rPr>
        <w:t>th</w:t>
      </w:r>
      <w:r w:rsidR="00BD2A84">
        <w:rPr>
          <w:rFonts w:ascii="Times New Roman" w:hAnsi="Times New Roman" w:cs="Times New Roman"/>
          <w:color w:val="000000" w:themeColor="text1"/>
          <w:sz w:val="24"/>
          <w:szCs w:val="24"/>
        </w:rPr>
        <w:t xml:space="preserve"> grade</w:t>
      </w:r>
      <w:r>
        <w:rPr>
          <w:rFonts w:ascii="Times New Roman" w:hAnsi="Times New Roman" w:cs="Times New Roman"/>
          <w:color w:val="000000" w:themeColor="text1"/>
          <w:sz w:val="24"/>
          <w:szCs w:val="24"/>
        </w:rPr>
        <w:t>; 15,000 JPY for the third</w:t>
      </w:r>
      <w:r w:rsidR="00BD2A84">
        <w:rPr>
          <w:rFonts w:ascii="Times New Roman" w:hAnsi="Times New Roman" w:cs="Times New Roman"/>
          <w:color w:val="000000" w:themeColor="text1"/>
          <w:sz w:val="24"/>
          <w:szCs w:val="24"/>
        </w:rPr>
        <w:t>born</w:t>
      </w:r>
      <w:r>
        <w:rPr>
          <w:rFonts w:ascii="Times New Roman" w:hAnsi="Times New Roman" w:cs="Times New Roman"/>
          <w:color w:val="000000" w:themeColor="text1"/>
          <w:sz w:val="24"/>
          <w:szCs w:val="24"/>
        </w:rPr>
        <w:t xml:space="preserve"> and younger children </w:t>
      </w:r>
      <w:r w:rsidR="00BD2A84">
        <w:rPr>
          <w:rFonts w:ascii="Times New Roman" w:hAnsi="Times New Roman" w:cs="Times New Roman"/>
          <w:color w:val="000000" w:themeColor="text1"/>
          <w:sz w:val="24"/>
          <w:szCs w:val="24"/>
        </w:rPr>
        <w:t xml:space="preserve">aged 3 years old to graded 6 years, </w:t>
      </w:r>
      <w:r>
        <w:rPr>
          <w:rFonts w:ascii="Times New Roman" w:hAnsi="Times New Roman" w:cs="Times New Roman"/>
          <w:color w:val="000000" w:themeColor="text1"/>
          <w:sz w:val="24"/>
          <w:szCs w:val="24"/>
        </w:rPr>
        <w:t xml:space="preserve">and 10,000 JPY for </w:t>
      </w:r>
      <w:r w:rsidR="00BD2A84">
        <w:rPr>
          <w:rFonts w:ascii="Times New Roman" w:hAnsi="Times New Roman" w:cs="Times New Roman"/>
          <w:color w:val="000000" w:themeColor="text1"/>
          <w:sz w:val="24"/>
          <w:szCs w:val="24"/>
        </w:rPr>
        <w:t>7</w:t>
      </w:r>
      <w:r w:rsidR="00BD2A84" w:rsidRPr="00BD2A84">
        <w:rPr>
          <w:rFonts w:ascii="Times New Roman" w:hAnsi="Times New Roman" w:cs="Times New Roman"/>
          <w:color w:val="000000" w:themeColor="text1"/>
          <w:sz w:val="24"/>
          <w:szCs w:val="24"/>
          <w:vertAlign w:val="superscript"/>
        </w:rPr>
        <w:t>th</w:t>
      </w:r>
      <w:r w:rsidR="00BD2A84">
        <w:rPr>
          <w:rFonts w:ascii="Times New Roman" w:hAnsi="Times New Roman" w:cs="Times New Roman"/>
          <w:color w:val="000000" w:themeColor="text1"/>
          <w:sz w:val="24"/>
          <w:szCs w:val="24"/>
        </w:rPr>
        <w:t xml:space="preserve"> to 9</w:t>
      </w:r>
      <w:r w:rsidR="00BD2A84" w:rsidRPr="00BD2A84">
        <w:rPr>
          <w:rFonts w:ascii="Times New Roman" w:hAnsi="Times New Roman" w:cs="Times New Roman"/>
          <w:color w:val="000000" w:themeColor="text1"/>
          <w:sz w:val="24"/>
          <w:szCs w:val="24"/>
          <w:vertAlign w:val="superscript"/>
        </w:rPr>
        <w:t>th</w:t>
      </w:r>
      <w:r w:rsidR="00BD2A84">
        <w:rPr>
          <w:rFonts w:ascii="Times New Roman" w:hAnsi="Times New Roman" w:cs="Times New Roman"/>
          <w:color w:val="000000" w:themeColor="text1"/>
          <w:sz w:val="24"/>
          <w:szCs w:val="24"/>
        </w:rPr>
        <w:t xml:space="preserve"> grade children</w:t>
      </w:r>
      <w:r>
        <w:rPr>
          <w:rFonts w:ascii="Times New Roman" w:hAnsi="Times New Roman" w:cs="Times New Roman"/>
          <w:color w:val="000000" w:themeColor="text1"/>
          <w:sz w:val="24"/>
          <w:szCs w:val="24"/>
        </w:rPr>
        <w:t>. However, any family where annual income of either parents exceeds 9.6 million JPY will lose eligibility. Because of the special benefit (</w:t>
      </w:r>
      <w:proofErr w:type="spellStart"/>
      <w:r w:rsidRPr="000A1318">
        <w:rPr>
          <w:rFonts w:ascii="Times New Roman" w:hAnsi="Times New Roman" w:cs="Times New Roman"/>
          <w:i/>
          <w:iCs/>
          <w:color w:val="000000" w:themeColor="text1"/>
          <w:sz w:val="24"/>
          <w:szCs w:val="24"/>
        </w:rPr>
        <w:t>tokurei</w:t>
      </w:r>
      <w:proofErr w:type="spellEnd"/>
      <w:r w:rsidRPr="000A1318">
        <w:rPr>
          <w:rFonts w:ascii="Times New Roman" w:hAnsi="Times New Roman" w:cs="Times New Roman"/>
          <w:i/>
          <w:iCs/>
          <w:color w:val="000000" w:themeColor="text1"/>
          <w:sz w:val="24"/>
          <w:szCs w:val="24"/>
        </w:rPr>
        <w:t xml:space="preserve"> </w:t>
      </w:r>
      <w:proofErr w:type="spellStart"/>
      <w:r w:rsidRPr="000A1318">
        <w:rPr>
          <w:rFonts w:ascii="Times New Roman" w:hAnsi="Times New Roman" w:cs="Times New Roman"/>
          <w:i/>
          <w:iCs/>
          <w:color w:val="000000" w:themeColor="text1"/>
          <w:sz w:val="24"/>
          <w:szCs w:val="24"/>
        </w:rPr>
        <w:t>kyufu</w:t>
      </w:r>
      <w:proofErr w:type="spellEnd"/>
      <w:r>
        <w:rPr>
          <w:rFonts w:ascii="Times New Roman" w:hAnsi="Times New Roman" w:cs="Times New Roman"/>
          <w:color w:val="000000" w:themeColor="text1"/>
          <w:sz w:val="24"/>
          <w:szCs w:val="24"/>
        </w:rPr>
        <w:t>), 5,000 JPY will be monthly given for each child in those households.</w:t>
      </w:r>
    </w:p>
    <w:p w14:paraId="5F66DEB3" w14:textId="77777777" w:rsidR="00F00925" w:rsidRDefault="00F00925" w:rsidP="00F00925">
      <w:pPr>
        <w:snapToGrid w:val="0"/>
        <w:spacing w:line="240" w:lineRule="auto"/>
        <w:contextualSpacing/>
        <w:rPr>
          <w:rFonts w:ascii="Times New Roman" w:hAnsi="Times New Roman" w:cs="Times New Roman"/>
          <w:color w:val="000000" w:themeColor="text1"/>
          <w:sz w:val="24"/>
          <w:szCs w:val="24"/>
        </w:rPr>
      </w:pPr>
    </w:p>
    <w:tbl>
      <w:tblPr>
        <w:tblW w:w="0" w:type="auto"/>
        <w:tblLook w:val="04A0" w:firstRow="1" w:lastRow="0" w:firstColumn="1" w:lastColumn="0" w:noHBand="0" w:noVBand="1"/>
      </w:tblPr>
      <w:tblGrid>
        <w:gridCol w:w="1863"/>
        <w:gridCol w:w="989"/>
        <w:gridCol w:w="1571"/>
        <w:gridCol w:w="4937"/>
      </w:tblGrid>
      <w:tr w:rsidR="00CD3DF0" w:rsidRPr="00BD2A84" w14:paraId="354272DF" w14:textId="77777777" w:rsidTr="00CD3DF0">
        <w:trPr>
          <w:trHeight w:val="285"/>
        </w:trPr>
        <w:tc>
          <w:tcPr>
            <w:tcW w:w="0" w:type="auto"/>
            <w:gridSpan w:val="2"/>
            <w:tcBorders>
              <w:top w:val="single" w:sz="4" w:space="0" w:color="auto"/>
              <w:left w:val="nil"/>
              <w:bottom w:val="single" w:sz="4" w:space="0" w:color="auto"/>
              <w:right w:val="nil"/>
            </w:tcBorders>
            <w:shd w:val="clear" w:color="auto" w:fill="auto"/>
            <w:noWrap/>
            <w:vAlign w:val="center"/>
            <w:hideMark/>
          </w:tcPr>
          <w:p w14:paraId="3EC6898C" w14:textId="77777777" w:rsidR="00BD2A84" w:rsidRPr="00BD2A84" w:rsidRDefault="00BD2A84"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Criteria</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61979A12" w14:textId="77777777" w:rsidR="00BD2A84" w:rsidRPr="00BD2A84" w:rsidRDefault="00BD2A84"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Monthly allowance</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0FFE990E" w14:textId="77777777" w:rsidR="00BD2A84" w:rsidRPr="00BD2A84" w:rsidRDefault="00BD2A84"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Note</w:t>
            </w:r>
          </w:p>
        </w:tc>
      </w:tr>
      <w:tr w:rsidR="00CD3DF0" w:rsidRPr="00BD2A84" w14:paraId="1F9C66B5" w14:textId="77777777" w:rsidTr="00BD2A84">
        <w:trPr>
          <w:trHeight w:val="285"/>
        </w:trPr>
        <w:tc>
          <w:tcPr>
            <w:tcW w:w="0" w:type="auto"/>
            <w:tcBorders>
              <w:top w:val="nil"/>
              <w:left w:val="nil"/>
              <w:bottom w:val="single" w:sz="4" w:space="0" w:color="auto"/>
              <w:right w:val="nil"/>
            </w:tcBorders>
            <w:shd w:val="clear" w:color="auto" w:fill="auto"/>
            <w:noWrap/>
            <w:vAlign w:val="center"/>
            <w:hideMark/>
          </w:tcPr>
          <w:p w14:paraId="513DA51C" w14:textId="77777777" w:rsidR="00BD2A84" w:rsidRPr="00BD2A84" w:rsidRDefault="00BD2A84"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Age</w:t>
            </w:r>
          </w:p>
        </w:tc>
        <w:tc>
          <w:tcPr>
            <w:tcW w:w="0" w:type="auto"/>
            <w:tcBorders>
              <w:top w:val="nil"/>
              <w:left w:val="nil"/>
              <w:bottom w:val="single" w:sz="4" w:space="0" w:color="auto"/>
              <w:right w:val="nil"/>
            </w:tcBorders>
            <w:shd w:val="clear" w:color="auto" w:fill="auto"/>
            <w:noWrap/>
            <w:vAlign w:val="center"/>
            <w:hideMark/>
          </w:tcPr>
          <w:p w14:paraId="44F403AE" w14:textId="77777777" w:rsidR="00BD2A84" w:rsidRPr="00BD2A84" w:rsidRDefault="00BD2A84"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Birth order</w:t>
            </w:r>
          </w:p>
        </w:tc>
        <w:tc>
          <w:tcPr>
            <w:tcW w:w="0" w:type="auto"/>
            <w:vMerge/>
            <w:tcBorders>
              <w:top w:val="nil"/>
              <w:left w:val="nil"/>
              <w:bottom w:val="single" w:sz="4" w:space="0" w:color="000000"/>
              <w:right w:val="nil"/>
            </w:tcBorders>
            <w:vAlign w:val="center"/>
            <w:hideMark/>
          </w:tcPr>
          <w:p w14:paraId="603E0240"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p>
        </w:tc>
        <w:tc>
          <w:tcPr>
            <w:tcW w:w="0" w:type="auto"/>
            <w:vMerge/>
            <w:tcBorders>
              <w:top w:val="nil"/>
              <w:left w:val="nil"/>
              <w:bottom w:val="single" w:sz="4" w:space="0" w:color="000000"/>
              <w:right w:val="nil"/>
            </w:tcBorders>
            <w:vAlign w:val="center"/>
            <w:hideMark/>
          </w:tcPr>
          <w:p w14:paraId="45E93B80"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p>
        </w:tc>
      </w:tr>
      <w:tr w:rsidR="00CD3DF0" w:rsidRPr="00BD2A84" w14:paraId="744E4F51" w14:textId="77777777" w:rsidTr="00CD3DF0">
        <w:trPr>
          <w:trHeight w:val="285"/>
        </w:trPr>
        <w:tc>
          <w:tcPr>
            <w:tcW w:w="0" w:type="auto"/>
            <w:tcBorders>
              <w:top w:val="nil"/>
              <w:left w:val="nil"/>
              <w:bottom w:val="nil"/>
              <w:right w:val="nil"/>
            </w:tcBorders>
            <w:shd w:val="clear" w:color="auto" w:fill="auto"/>
            <w:noWrap/>
            <w:vAlign w:val="center"/>
            <w:hideMark/>
          </w:tcPr>
          <w:p w14:paraId="4E1CF2FD"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r w:rsidRPr="00BD2A84">
              <w:rPr>
                <w:rFonts w:ascii="Times New Roman" w:eastAsia="Times New Roman" w:hAnsi="Times New Roman" w:cs="Times New Roman"/>
                <w:color w:val="000000"/>
              </w:rPr>
              <w:t>0-3 years old</w:t>
            </w:r>
          </w:p>
        </w:tc>
        <w:tc>
          <w:tcPr>
            <w:tcW w:w="0" w:type="auto"/>
            <w:tcBorders>
              <w:top w:val="nil"/>
              <w:left w:val="nil"/>
              <w:bottom w:val="nil"/>
              <w:right w:val="nil"/>
            </w:tcBorders>
            <w:shd w:val="clear" w:color="auto" w:fill="auto"/>
            <w:noWrap/>
            <w:vAlign w:val="center"/>
            <w:hideMark/>
          </w:tcPr>
          <w:p w14:paraId="47A2A774"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r w:rsidRPr="00BD2A84">
              <w:rPr>
                <w:rFonts w:ascii="Times New Roman" w:eastAsia="Times New Roman" w:hAnsi="Times New Roman" w:cs="Times New Roman"/>
                <w:color w:val="000000"/>
              </w:rPr>
              <w:t>N.A.</w:t>
            </w:r>
          </w:p>
        </w:tc>
        <w:tc>
          <w:tcPr>
            <w:tcW w:w="0" w:type="auto"/>
            <w:tcBorders>
              <w:top w:val="nil"/>
              <w:left w:val="nil"/>
              <w:bottom w:val="nil"/>
              <w:right w:val="nil"/>
            </w:tcBorders>
            <w:shd w:val="clear" w:color="auto" w:fill="auto"/>
            <w:noWrap/>
            <w:vAlign w:val="center"/>
            <w:hideMark/>
          </w:tcPr>
          <w:p w14:paraId="45FEFB49" w14:textId="77777777" w:rsidR="00BD2A84" w:rsidRPr="00BD2A84" w:rsidRDefault="00BD2A84"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15,000 JPY</w:t>
            </w:r>
          </w:p>
        </w:tc>
        <w:tc>
          <w:tcPr>
            <w:tcW w:w="0" w:type="auto"/>
            <w:vMerge w:val="restart"/>
            <w:tcBorders>
              <w:top w:val="nil"/>
              <w:left w:val="nil"/>
              <w:bottom w:val="nil"/>
              <w:right w:val="nil"/>
            </w:tcBorders>
            <w:shd w:val="clear" w:color="auto" w:fill="auto"/>
            <w:noWrap/>
            <w:vAlign w:val="center"/>
            <w:hideMark/>
          </w:tcPr>
          <w:p w14:paraId="61FAF9CE"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r w:rsidRPr="00BD2A84">
              <w:rPr>
                <w:rFonts w:ascii="Times New Roman" w:eastAsia="Times New Roman" w:hAnsi="Times New Roman" w:cs="Times New Roman"/>
                <w:color w:val="000000"/>
              </w:rPr>
              <w:t xml:space="preserve">Income of any family members do not exceed the income threshold </w:t>
            </w:r>
          </w:p>
        </w:tc>
      </w:tr>
      <w:tr w:rsidR="00CD3DF0" w:rsidRPr="00BD2A84" w14:paraId="58CB5D40" w14:textId="77777777" w:rsidTr="00CD3DF0">
        <w:trPr>
          <w:trHeight w:val="285"/>
        </w:trPr>
        <w:tc>
          <w:tcPr>
            <w:tcW w:w="0" w:type="auto"/>
            <w:vMerge w:val="restart"/>
            <w:tcBorders>
              <w:top w:val="nil"/>
              <w:left w:val="nil"/>
              <w:right w:val="nil"/>
            </w:tcBorders>
            <w:shd w:val="clear" w:color="auto" w:fill="auto"/>
            <w:noWrap/>
            <w:vAlign w:val="center"/>
            <w:hideMark/>
          </w:tcPr>
          <w:p w14:paraId="7B45BD73" w14:textId="77777777" w:rsidR="00CD3DF0" w:rsidRPr="00BD2A84" w:rsidRDefault="00CD3DF0" w:rsidP="00F00925">
            <w:pPr>
              <w:snapToGrid w:val="0"/>
              <w:spacing w:after="0" w:line="240" w:lineRule="auto"/>
              <w:contextualSpacing/>
              <w:rPr>
                <w:rFonts w:ascii="Times New Roman" w:eastAsia="Times New Roman" w:hAnsi="Times New Roman" w:cs="Times New Roman"/>
                <w:color w:val="000000"/>
              </w:rPr>
            </w:pPr>
            <w:r w:rsidRPr="00BD2A84">
              <w:rPr>
                <w:rFonts w:ascii="Times New Roman" w:eastAsia="Times New Roman" w:hAnsi="Times New Roman" w:cs="Times New Roman"/>
                <w:color w:val="000000"/>
              </w:rPr>
              <w:t>3 years old to 6th grade</w:t>
            </w:r>
          </w:p>
        </w:tc>
        <w:tc>
          <w:tcPr>
            <w:tcW w:w="0" w:type="auto"/>
            <w:tcBorders>
              <w:top w:val="nil"/>
              <w:left w:val="nil"/>
              <w:bottom w:val="nil"/>
              <w:right w:val="nil"/>
            </w:tcBorders>
            <w:shd w:val="clear" w:color="auto" w:fill="auto"/>
            <w:noWrap/>
            <w:vAlign w:val="center"/>
            <w:hideMark/>
          </w:tcPr>
          <w:p w14:paraId="3D81DBB0" w14:textId="450DC38E" w:rsidR="00CD3DF0" w:rsidRPr="00BD2A84" w:rsidRDefault="00CD3DF0" w:rsidP="00F00925">
            <w:pPr>
              <w:snapToGrid w:val="0"/>
              <w:spacing w:after="0"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D3DF0">
              <w:rPr>
                <w:rFonts w:ascii="Times New Roman" w:eastAsia="Times New Roman" w:hAnsi="Times New Roman" w:cs="Times New Roman"/>
                <w:color w:val="000000"/>
                <w:vertAlign w:val="superscript"/>
              </w:rPr>
              <w:t>st</w:t>
            </w:r>
            <w:r w:rsidRPr="00BD2A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2</w:t>
            </w:r>
            <w:r w:rsidRPr="00CD3DF0">
              <w:rPr>
                <w:rFonts w:ascii="Times New Roman" w:eastAsia="Times New Roman" w:hAnsi="Times New Roman" w:cs="Times New Roman"/>
                <w:color w:val="000000"/>
                <w:vertAlign w:val="superscript"/>
              </w:rPr>
              <w:t>nd</w:t>
            </w:r>
            <w:r>
              <w:rPr>
                <w:rFonts w:ascii="Times New Roman" w:eastAsia="Times New Roman" w:hAnsi="Times New Roman" w:cs="Times New Roman"/>
                <w:color w:val="000000"/>
              </w:rPr>
              <w:t xml:space="preserve"> </w:t>
            </w:r>
          </w:p>
        </w:tc>
        <w:tc>
          <w:tcPr>
            <w:tcW w:w="0" w:type="auto"/>
            <w:tcBorders>
              <w:top w:val="nil"/>
              <w:left w:val="nil"/>
              <w:bottom w:val="nil"/>
              <w:right w:val="nil"/>
            </w:tcBorders>
            <w:shd w:val="clear" w:color="auto" w:fill="auto"/>
            <w:noWrap/>
            <w:vAlign w:val="center"/>
            <w:hideMark/>
          </w:tcPr>
          <w:p w14:paraId="39D5D2F8" w14:textId="77777777" w:rsidR="00CD3DF0" w:rsidRPr="00BD2A84" w:rsidRDefault="00CD3DF0"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10,000 JPY</w:t>
            </w:r>
          </w:p>
        </w:tc>
        <w:tc>
          <w:tcPr>
            <w:tcW w:w="0" w:type="auto"/>
            <w:vMerge/>
            <w:tcBorders>
              <w:top w:val="nil"/>
              <w:left w:val="nil"/>
              <w:bottom w:val="nil"/>
              <w:right w:val="nil"/>
            </w:tcBorders>
            <w:vAlign w:val="center"/>
            <w:hideMark/>
          </w:tcPr>
          <w:p w14:paraId="5B0B3A60" w14:textId="77777777" w:rsidR="00CD3DF0" w:rsidRPr="00BD2A84" w:rsidRDefault="00CD3DF0" w:rsidP="00F00925">
            <w:pPr>
              <w:snapToGrid w:val="0"/>
              <w:spacing w:after="0" w:line="240" w:lineRule="auto"/>
              <w:contextualSpacing/>
              <w:rPr>
                <w:rFonts w:ascii="Times New Roman" w:eastAsia="Times New Roman" w:hAnsi="Times New Roman" w:cs="Times New Roman"/>
                <w:color w:val="000000"/>
              </w:rPr>
            </w:pPr>
          </w:p>
        </w:tc>
      </w:tr>
      <w:tr w:rsidR="00CD3DF0" w:rsidRPr="00BD2A84" w14:paraId="3442EC46" w14:textId="77777777" w:rsidTr="00CD3DF0">
        <w:trPr>
          <w:trHeight w:val="285"/>
        </w:trPr>
        <w:tc>
          <w:tcPr>
            <w:tcW w:w="0" w:type="auto"/>
            <w:vMerge/>
            <w:tcBorders>
              <w:left w:val="nil"/>
              <w:bottom w:val="nil"/>
              <w:right w:val="nil"/>
            </w:tcBorders>
            <w:shd w:val="clear" w:color="auto" w:fill="auto"/>
            <w:noWrap/>
            <w:vAlign w:val="center"/>
            <w:hideMark/>
          </w:tcPr>
          <w:p w14:paraId="0CC53B11" w14:textId="77777777" w:rsidR="00CD3DF0" w:rsidRPr="00BD2A84" w:rsidRDefault="00CD3DF0" w:rsidP="00F00925">
            <w:pPr>
              <w:snapToGrid w:val="0"/>
              <w:spacing w:after="0" w:line="240" w:lineRule="auto"/>
              <w:contextualSpacing/>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center"/>
            <w:hideMark/>
          </w:tcPr>
          <w:p w14:paraId="0577B45A" w14:textId="3C13F282" w:rsidR="00CD3DF0" w:rsidRPr="00BD2A84" w:rsidRDefault="00CD3DF0" w:rsidP="00F00925">
            <w:pPr>
              <w:snapToGrid w:val="0"/>
              <w:spacing w:after="0" w:line="240" w:lineRule="auto"/>
              <w:contextualSpacing/>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D3DF0">
              <w:rPr>
                <w:rFonts w:ascii="Times New Roman" w:eastAsia="Times New Roman" w:hAnsi="Times New Roman" w:cs="Times New Roman"/>
                <w:color w:val="000000"/>
                <w:vertAlign w:val="superscript"/>
              </w:rPr>
              <w:t>rd</w:t>
            </w:r>
            <w:r>
              <w:rPr>
                <w:rFonts w:ascii="Times New Roman" w:eastAsia="Times New Roman" w:hAnsi="Times New Roman" w:cs="Times New Roman"/>
                <w:color w:val="000000"/>
              </w:rPr>
              <w:t xml:space="preserve"> /</w:t>
            </w:r>
            <w:r w:rsidRPr="00BD2A84">
              <w:rPr>
                <w:rFonts w:ascii="Times New Roman" w:eastAsia="Times New Roman" w:hAnsi="Times New Roman" w:cs="Times New Roman"/>
                <w:color w:val="000000"/>
              </w:rPr>
              <w:t xml:space="preserve">later </w:t>
            </w:r>
          </w:p>
        </w:tc>
        <w:tc>
          <w:tcPr>
            <w:tcW w:w="0" w:type="auto"/>
            <w:tcBorders>
              <w:top w:val="nil"/>
              <w:left w:val="nil"/>
              <w:bottom w:val="nil"/>
              <w:right w:val="nil"/>
            </w:tcBorders>
            <w:shd w:val="clear" w:color="auto" w:fill="auto"/>
            <w:noWrap/>
            <w:vAlign w:val="center"/>
            <w:hideMark/>
          </w:tcPr>
          <w:p w14:paraId="5C4E8482" w14:textId="77777777" w:rsidR="00CD3DF0" w:rsidRPr="00BD2A84" w:rsidRDefault="00CD3DF0"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15,000 JPY</w:t>
            </w:r>
          </w:p>
        </w:tc>
        <w:tc>
          <w:tcPr>
            <w:tcW w:w="0" w:type="auto"/>
            <w:vMerge/>
            <w:tcBorders>
              <w:top w:val="nil"/>
              <w:left w:val="nil"/>
              <w:bottom w:val="nil"/>
              <w:right w:val="nil"/>
            </w:tcBorders>
            <w:vAlign w:val="center"/>
            <w:hideMark/>
          </w:tcPr>
          <w:p w14:paraId="4B3E68AF" w14:textId="77777777" w:rsidR="00CD3DF0" w:rsidRPr="00BD2A84" w:rsidRDefault="00CD3DF0" w:rsidP="00F00925">
            <w:pPr>
              <w:snapToGrid w:val="0"/>
              <w:spacing w:after="0" w:line="240" w:lineRule="auto"/>
              <w:contextualSpacing/>
              <w:rPr>
                <w:rFonts w:ascii="Times New Roman" w:eastAsia="Times New Roman" w:hAnsi="Times New Roman" w:cs="Times New Roman"/>
                <w:color w:val="000000"/>
              </w:rPr>
            </w:pPr>
          </w:p>
        </w:tc>
      </w:tr>
      <w:tr w:rsidR="00CD3DF0" w:rsidRPr="00BD2A84" w14:paraId="06529BF6" w14:textId="77777777" w:rsidTr="00CD3DF0">
        <w:trPr>
          <w:trHeight w:val="285"/>
        </w:trPr>
        <w:tc>
          <w:tcPr>
            <w:tcW w:w="0" w:type="auto"/>
            <w:tcBorders>
              <w:top w:val="nil"/>
              <w:left w:val="nil"/>
              <w:bottom w:val="nil"/>
              <w:right w:val="nil"/>
            </w:tcBorders>
            <w:shd w:val="clear" w:color="auto" w:fill="auto"/>
            <w:noWrap/>
            <w:vAlign w:val="center"/>
            <w:hideMark/>
          </w:tcPr>
          <w:p w14:paraId="066F0616"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r w:rsidRPr="00BD2A84">
              <w:rPr>
                <w:rFonts w:ascii="Times New Roman" w:eastAsia="Times New Roman" w:hAnsi="Times New Roman" w:cs="Times New Roman"/>
                <w:color w:val="000000"/>
              </w:rPr>
              <w:t>7th - 9th grade</w:t>
            </w:r>
          </w:p>
        </w:tc>
        <w:tc>
          <w:tcPr>
            <w:tcW w:w="0" w:type="auto"/>
            <w:tcBorders>
              <w:top w:val="nil"/>
              <w:left w:val="nil"/>
              <w:bottom w:val="nil"/>
              <w:right w:val="nil"/>
            </w:tcBorders>
            <w:shd w:val="clear" w:color="auto" w:fill="auto"/>
            <w:noWrap/>
            <w:vAlign w:val="center"/>
            <w:hideMark/>
          </w:tcPr>
          <w:p w14:paraId="6C49267F"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r w:rsidRPr="00BD2A84">
              <w:rPr>
                <w:rFonts w:ascii="Times New Roman" w:eastAsia="Times New Roman" w:hAnsi="Times New Roman" w:cs="Times New Roman"/>
                <w:color w:val="000000"/>
              </w:rPr>
              <w:t>N.A.</w:t>
            </w:r>
          </w:p>
        </w:tc>
        <w:tc>
          <w:tcPr>
            <w:tcW w:w="0" w:type="auto"/>
            <w:tcBorders>
              <w:top w:val="nil"/>
              <w:left w:val="nil"/>
              <w:bottom w:val="nil"/>
              <w:right w:val="nil"/>
            </w:tcBorders>
            <w:shd w:val="clear" w:color="auto" w:fill="auto"/>
            <w:noWrap/>
            <w:vAlign w:val="center"/>
            <w:hideMark/>
          </w:tcPr>
          <w:p w14:paraId="4D56D24B" w14:textId="77777777" w:rsidR="00BD2A84" w:rsidRPr="00BD2A84" w:rsidRDefault="00BD2A84"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10,000 JPY</w:t>
            </w:r>
          </w:p>
        </w:tc>
        <w:tc>
          <w:tcPr>
            <w:tcW w:w="0" w:type="auto"/>
            <w:vMerge/>
            <w:tcBorders>
              <w:top w:val="nil"/>
              <w:left w:val="nil"/>
              <w:bottom w:val="nil"/>
              <w:right w:val="nil"/>
            </w:tcBorders>
            <w:vAlign w:val="center"/>
            <w:hideMark/>
          </w:tcPr>
          <w:p w14:paraId="16CE6057"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p>
        </w:tc>
      </w:tr>
      <w:tr w:rsidR="00CD3DF0" w:rsidRPr="00BD2A84" w14:paraId="3E7DC1B8" w14:textId="77777777" w:rsidTr="00CD3DF0">
        <w:trPr>
          <w:trHeight w:val="285"/>
        </w:trPr>
        <w:tc>
          <w:tcPr>
            <w:tcW w:w="0" w:type="auto"/>
            <w:tcBorders>
              <w:top w:val="nil"/>
              <w:left w:val="nil"/>
              <w:bottom w:val="single" w:sz="4" w:space="0" w:color="auto"/>
              <w:right w:val="nil"/>
            </w:tcBorders>
            <w:shd w:val="clear" w:color="auto" w:fill="auto"/>
            <w:noWrap/>
            <w:vAlign w:val="center"/>
            <w:hideMark/>
          </w:tcPr>
          <w:p w14:paraId="2A35E23E"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r w:rsidRPr="00BD2A84">
              <w:rPr>
                <w:rFonts w:ascii="Times New Roman" w:eastAsia="Times New Roman" w:hAnsi="Times New Roman" w:cs="Times New Roman"/>
                <w:color w:val="000000"/>
              </w:rPr>
              <w:t>N.A.</w:t>
            </w:r>
          </w:p>
        </w:tc>
        <w:tc>
          <w:tcPr>
            <w:tcW w:w="0" w:type="auto"/>
            <w:tcBorders>
              <w:top w:val="nil"/>
              <w:left w:val="nil"/>
              <w:bottom w:val="single" w:sz="4" w:space="0" w:color="auto"/>
              <w:right w:val="nil"/>
            </w:tcBorders>
            <w:shd w:val="clear" w:color="auto" w:fill="auto"/>
            <w:noWrap/>
            <w:vAlign w:val="center"/>
            <w:hideMark/>
          </w:tcPr>
          <w:p w14:paraId="70352F00"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r w:rsidRPr="00BD2A84">
              <w:rPr>
                <w:rFonts w:ascii="Times New Roman" w:eastAsia="Times New Roman" w:hAnsi="Times New Roman" w:cs="Times New Roman"/>
                <w:color w:val="000000"/>
              </w:rPr>
              <w:t>N.A.</w:t>
            </w:r>
          </w:p>
        </w:tc>
        <w:tc>
          <w:tcPr>
            <w:tcW w:w="0" w:type="auto"/>
            <w:tcBorders>
              <w:top w:val="nil"/>
              <w:left w:val="nil"/>
              <w:bottom w:val="single" w:sz="4" w:space="0" w:color="auto"/>
              <w:right w:val="nil"/>
            </w:tcBorders>
            <w:shd w:val="clear" w:color="auto" w:fill="auto"/>
            <w:noWrap/>
            <w:vAlign w:val="center"/>
            <w:hideMark/>
          </w:tcPr>
          <w:p w14:paraId="435901F8" w14:textId="77777777" w:rsidR="00BD2A84" w:rsidRPr="00BD2A84" w:rsidRDefault="00BD2A84" w:rsidP="00F00925">
            <w:pPr>
              <w:snapToGrid w:val="0"/>
              <w:spacing w:after="0" w:line="240" w:lineRule="auto"/>
              <w:contextualSpacing/>
              <w:jc w:val="center"/>
              <w:rPr>
                <w:rFonts w:ascii="Times New Roman" w:eastAsia="Times New Roman" w:hAnsi="Times New Roman" w:cs="Times New Roman"/>
                <w:color w:val="000000"/>
              </w:rPr>
            </w:pPr>
            <w:r w:rsidRPr="00BD2A84">
              <w:rPr>
                <w:rFonts w:ascii="Times New Roman" w:eastAsia="Times New Roman" w:hAnsi="Times New Roman" w:cs="Times New Roman"/>
                <w:color w:val="000000"/>
              </w:rPr>
              <w:t>5,000 JPY</w:t>
            </w:r>
          </w:p>
        </w:tc>
        <w:tc>
          <w:tcPr>
            <w:tcW w:w="0" w:type="auto"/>
            <w:tcBorders>
              <w:top w:val="nil"/>
              <w:left w:val="nil"/>
              <w:bottom w:val="single" w:sz="4" w:space="0" w:color="auto"/>
              <w:right w:val="nil"/>
            </w:tcBorders>
            <w:shd w:val="clear" w:color="auto" w:fill="auto"/>
            <w:noWrap/>
            <w:vAlign w:val="center"/>
            <w:hideMark/>
          </w:tcPr>
          <w:p w14:paraId="48AD6162" w14:textId="77777777" w:rsidR="00BD2A84" w:rsidRPr="00BD2A84" w:rsidRDefault="00BD2A84" w:rsidP="00F00925">
            <w:pPr>
              <w:snapToGrid w:val="0"/>
              <w:spacing w:after="0" w:line="240" w:lineRule="auto"/>
              <w:contextualSpacing/>
              <w:rPr>
                <w:rFonts w:ascii="Times New Roman" w:eastAsia="Times New Roman" w:hAnsi="Times New Roman" w:cs="Times New Roman"/>
                <w:color w:val="000000"/>
              </w:rPr>
            </w:pPr>
            <w:r w:rsidRPr="00BD2A84">
              <w:rPr>
                <w:rFonts w:ascii="Times New Roman" w:eastAsia="Times New Roman" w:hAnsi="Times New Roman" w:cs="Times New Roman"/>
                <w:color w:val="000000"/>
              </w:rPr>
              <w:t>Special benefits for family whose income exceeds the threshold</w:t>
            </w:r>
          </w:p>
        </w:tc>
      </w:tr>
    </w:tbl>
    <w:p w14:paraId="67A38D30" w14:textId="7F33181E" w:rsidR="00E97009" w:rsidRDefault="000A1318" w:rsidP="00F00925">
      <w:pPr>
        <w:snapToGrid w:val="0"/>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568FF7A4" w14:textId="1D5F5C04" w:rsidR="7EA40908" w:rsidRDefault="7EA40908" w:rsidP="00F00925">
      <w:pPr>
        <w:snapToGrid w:val="0"/>
        <w:spacing w:line="240" w:lineRule="auto"/>
        <w:contextualSpacing/>
        <w:rPr>
          <w:rFonts w:ascii="Times New Roman" w:hAnsi="Times New Roman" w:cs="Times New Roman"/>
          <w:color w:val="000000" w:themeColor="text1"/>
          <w:sz w:val="24"/>
          <w:szCs w:val="24"/>
        </w:rPr>
      </w:pPr>
      <w:r w:rsidRPr="7EA40908">
        <w:rPr>
          <w:rFonts w:ascii="Times New Roman" w:hAnsi="Times New Roman" w:cs="Times New Roman"/>
          <w:color w:val="000000" w:themeColor="text1"/>
          <w:sz w:val="24"/>
          <w:szCs w:val="24"/>
        </w:rPr>
        <w:t xml:space="preserve"> </w:t>
      </w:r>
    </w:p>
    <w:p w14:paraId="422CD708" w14:textId="1B763B7C" w:rsidR="7EA40908" w:rsidRDefault="7EA40908" w:rsidP="00F00925">
      <w:pPr>
        <w:snapToGrid w:val="0"/>
        <w:spacing w:line="240" w:lineRule="auto"/>
        <w:contextualSpacing/>
        <w:rPr>
          <w:rFonts w:ascii="Times New Roman" w:hAnsi="Times New Roman" w:cs="Times New Roman"/>
          <w:color w:val="000000" w:themeColor="text1"/>
          <w:sz w:val="24"/>
          <w:szCs w:val="24"/>
        </w:rPr>
      </w:pPr>
    </w:p>
    <w:p w14:paraId="6BA72104" w14:textId="05AA8D4B" w:rsidR="008B4371" w:rsidRDefault="008B4371" w:rsidP="00F00925">
      <w:pPr>
        <w:snapToGrid w:val="0"/>
        <w:spacing w:line="240" w:lineRule="auto"/>
        <w:contextualSpacing/>
        <w:rPr>
          <w:rFonts w:ascii="Times New Roman" w:hAnsi="Times New Roman" w:cs="Times New Roman"/>
          <w:iCs/>
          <w:color w:val="000000" w:themeColor="text1"/>
          <w:sz w:val="24"/>
          <w:szCs w:val="24"/>
        </w:rPr>
      </w:pPr>
    </w:p>
    <w:p w14:paraId="7AFB2D04" w14:textId="77777777" w:rsidR="008B4371" w:rsidRPr="00300A7F" w:rsidRDefault="008B4371" w:rsidP="00F00925">
      <w:pPr>
        <w:snapToGrid w:val="0"/>
        <w:spacing w:line="240" w:lineRule="auto"/>
        <w:contextualSpacing/>
        <w:rPr>
          <w:rFonts w:ascii="Times New Roman" w:hAnsi="Times New Roman" w:cs="Times New Roman"/>
          <w:iCs/>
          <w:color w:val="000000" w:themeColor="text1"/>
          <w:sz w:val="24"/>
          <w:szCs w:val="24"/>
        </w:rPr>
      </w:pPr>
    </w:p>
    <w:p w14:paraId="156B6442" w14:textId="77777777" w:rsidR="00E42259" w:rsidRDefault="00E42259" w:rsidP="00F00925">
      <w:pPr>
        <w:snapToGrid w:val="0"/>
        <w:spacing w:line="240" w:lineRule="auto"/>
        <w:contextualSpacing/>
        <w:rPr>
          <w:rFonts w:ascii="Times New Roman" w:hAnsi="Times New Roman" w:cs="Times New Roman"/>
          <w:sz w:val="20"/>
          <w:szCs w:val="20"/>
        </w:rPr>
        <w:sectPr w:rsidR="00E42259" w:rsidSect="008B4371">
          <w:pgSz w:w="12240" w:h="15840"/>
          <w:pgMar w:top="1440" w:right="1440" w:bottom="1440" w:left="1440" w:header="720" w:footer="720" w:gutter="0"/>
          <w:cols w:space="720"/>
          <w:docGrid w:linePitch="360"/>
        </w:sectPr>
      </w:pPr>
    </w:p>
    <w:p w14:paraId="2CD26BA8" w14:textId="17E6EF67" w:rsidR="00421E39" w:rsidRPr="00E42259" w:rsidRDefault="00E42259" w:rsidP="00F00925">
      <w:pPr>
        <w:snapToGrid w:val="0"/>
        <w:spacing w:line="240" w:lineRule="auto"/>
        <w:contextualSpacing/>
        <w:rPr>
          <w:rFonts w:ascii="Times New Roman" w:hAnsi="Times New Roman" w:cs="Times New Roman"/>
          <w:sz w:val="24"/>
          <w:szCs w:val="24"/>
        </w:rPr>
      </w:pPr>
      <w:r w:rsidRPr="00E42259">
        <w:rPr>
          <w:rFonts w:ascii="Times New Roman" w:hAnsi="Times New Roman" w:cs="Times New Roman"/>
          <w:sz w:val="24"/>
          <w:szCs w:val="24"/>
        </w:rPr>
        <w:lastRenderedPageBreak/>
        <w:t>References</w:t>
      </w:r>
    </w:p>
    <w:p w14:paraId="61E3E245" w14:textId="77777777" w:rsidR="003C34A7" w:rsidRPr="00E42259" w:rsidRDefault="00421E39"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fldChar w:fldCharType="begin"/>
      </w:r>
      <w:r w:rsidRPr="00E42259">
        <w:rPr>
          <w:rFonts w:ascii="Times New Roman" w:hAnsi="Times New Roman" w:cs="Times New Roman"/>
          <w:sz w:val="24"/>
          <w:szCs w:val="24"/>
        </w:rPr>
        <w:instrText xml:space="preserve"> ADDIN EN.REFLIST </w:instrText>
      </w:r>
      <w:r w:rsidRPr="00E42259">
        <w:rPr>
          <w:rFonts w:ascii="Times New Roman" w:hAnsi="Times New Roman" w:cs="Times New Roman"/>
          <w:sz w:val="24"/>
          <w:szCs w:val="24"/>
        </w:rPr>
        <w:fldChar w:fldCharType="separate"/>
      </w:r>
      <w:r w:rsidR="003C34A7" w:rsidRPr="00E42259">
        <w:rPr>
          <w:rFonts w:ascii="Times New Roman" w:hAnsi="Times New Roman" w:cs="Times New Roman"/>
          <w:sz w:val="24"/>
          <w:szCs w:val="24"/>
        </w:rPr>
        <w:t>1.</w:t>
      </w:r>
      <w:r w:rsidR="003C34A7" w:rsidRPr="00E42259">
        <w:rPr>
          <w:rFonts w:ascii="Times New Roman" w:hAnsi="Times New Roman" w:cs="Times New Roman"/>
          <w:sz w:val="24"/>
          <w:szCs w:val="24"/>
        </w:rPr>
        <w:tab/>
        <w:t xml:space="preserve">Cole, T.J., </w:t>
      </w:r>
      <w:r w:rsidR="003C34A7" w:rsidRPr="00E42259">
        <w:rPr>
          <w:rFonts w:ascii="Times New Roman" w:hAnsi="Times New Roman" w:cs="Times New Roman"/>
          <w:i/>
          <w:sz w:val="24"/>
          <w:szCs w:val="24"/>
        </w:rPr>
        <w:t>The LMS method for constructing normalized growth standards.</w:t>
      </w:r>
      <w:r w:rsidR="003C34A7" w:rsidRPr="00E42259">
        <w:rPr>
          <w:rFonts w:ascii="Times New Roman" w:hAnsi="Times New Roman" w:cs="Times New Roman"/>
          <w:sz w:val="24"/>
          <w:szCs w:val="24"/>
        </w:rPr>
        <w:t xml:space="preserve"> European journal of clinical nutrition, 1990. </w:t>
      </w:r>
      <w:r w:rsidR="003C34A7" w:rsidRPr="00E42259">
        <w:rPr>
          <w:rFonts w:ascii="Times New Roman" w:hAnsi="Times New Roman" w:cs="Times New Roman"/>
          <w:b/>
          <w:sz w:val="24"/>
          <w:szCs w:val="24"/>
        </w:rPr>
        <w:t>44</w:t>
      </w:r>
      <w:r w:rsidR="003C34A7" w:rsidRPr="00E42259">
        <w:rPr>
          <w:rFonts w:ascii="Times New Roman" w:hAnsi="Times New Roman" w:cs="Times New Roman"/>
          <w:sz w:val="24"/>
          <w:szCs w:val="24"/>
        </w:rPr>
        <w:t>(1): p. 45-60.</w:t>
      </w:r>
    </w:p>
    <w:p w14:paraId="6D229F40"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2.</w:t>
      </w:r>
      <w:r w:rsidRPr="00E42259">
        <w:rPr>
          <w:rFonts w:ascii="Times New Roman" w:hAnsi="Times New Roman" w:cs="Times New Roman"/>
          <w:sz w:val="24"/>
          <w:szCs w:val="24"/>
        </w:rPr>
        <w:tab/>
        <w:t xml:space="preserve">Matsuishi, T., et al., </w:t>
      </w:r>
      <w:r w:rsidRPr="00E42259">
        <w:rPr>
          <w:rFonts w:ascii="Times New Roman" w:hAnsi="Times New Roman" w:cs="Times New Roman"/>
          <w:i/>
          <w:sz w:val="24"/>
          <w:szCs w:val="24"/>
        </w:rPr>
        <w:t>Scale properties of the Japanese version of the Strengths and Difficulties Questionnaire (SDQ): A study of infant and school children in community samples.</w:t>
      </w:r>
      <w:r w:rsidRPr="00E42259">
        <w:rPr>
          <w:rFonts w:ascii="Times New Roman" w:hAnsi="Times New Roman" w:cs="Times New Roman"/>
          <w:sz w:val="24"/>
          <w:szCs w:val="24"/>
        </w:rPr>
        <w:t xml:space="preserve"> Brain and Development, 2008. </w:t>
      </w:r>
      <w:r w:rsidRPr="00E42259">
        <w:rPr>
          <w:rFonts w:ascii="Times New Roman" w:hAnsi="Times New Roman" w:cs="Times New Roman"/>
          <w:b/>
          <w:sz w:val="24"/>
          <w:szCs w:val="24"/>
        </w:rPr>
        <w:t>30</w:t>
      </w:r>
      <w:r w:rsidRPr="00E42259">
        <w:rPr>
          <w:rFonts w:ascii="Times New Roman" w:hAnsi="Times New Roman" w:cs="Times New Roman"/>
          <w:sz w:val="24"/>
          <w:szCs w:val="24"/>
        </w:rPr>
        <w:t>(6): p. 410-415.</w:t>
      </w:r>
    </w:p>
    <w:p w14:paraId="458DA32A"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3.</w:t>
      </w:r>
      <w:r w:rsidRPr="00E42259">
        <w:rPr>
          <w:rFonts w:ascii="Times New Roman" w:hAnsi="Times New Roman" w:cs="Times New Roman"/>
          <w:sz w:val="24"/>
          <w:szCs w:val="24"/>
        </w:rPr>
        <w:tab/>
        <w:t xml:space="preserve">Goodman, R., </w:t>
      </w:r>
      <w:r w:rsidRPr="00E42259">
        <w:rPr>
          <w:rFonts w:ascii="Times New Roman" w:hAnsi="Times New Roman" w:cs="Times New Roman"/>
          <w:i/>
          <w:sz w:val="24"/>
          <w:szCs w:val="24"/>
        </w:rPr>
        <w:t>The Strengths and Difficulties Questionnaire: a research note.</w:t>
      </w:r>
      <w:r w:rsidRPr="00E42259">
        <w:rPr>
          <w:rFonts w:ascii="Times New Roman" w:hAnsi="Times New Roman" w:cs="Times New Roman"/>
          <w:sz w:val="24"/>
          <w:szCs w:val="24"/>
        </w:rPr>
        <w:t xml:space="preserve"> Journal of child psychology and psychiatry, 1997. </w:t>
      </w:r>
      <w:r w:rsidRPr="00E42259">
        <w:rPr>
          <w:rFonts w:ascii="Times New Roman" w:hAnsi="Times New Roman" w:cs="Times New Roman"/>
          <w:b/>
          <w:sz w:val="24"/>
          <w:szCs w:val="24"/>
        </w:rPr>
        <w:t>38</w:t>
      </w:r>
      <w:r w:rsidRPr="00E42259">
        <w:rPr>
          <w:rFonts w:ascii="Times New Roman" w:hAnsi="Times New Roman" w:cs="Times New Roman"/>
          <w:sz w:val="24"/>
          <w:szCs w:val="24"/>
        </w:rPr>
        <w:t>(5): p. 581-586.</w:t>
      </w:r>
    </w:p>
    <w:p w14:paraId="12CFBF9A"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4.</w:t>
      </w:r>
      <w:r w:rsidRPr="00E42259">
        <w:rPr>
          <w:rFonts w:ascii="Times New Roman" w:hAnsi="Times New Roman" w:cs="Times New Roman"/>
          <w:sz w:val="24"/>
          <w:szCs w:val="24"/>
        </w:rPr>
        <w:tab/>
        <w:t xml:space="preserve">Sato Hiroshi, A.K., </w:t>
      </w:r>
      <w:r w:rsidRPr="00E42259">
        <w:rPr>
          <w:rFonts w:ascii="Times New Roman" w:hAnsi="Times New Roman" w:cs="Times New Roman"/>
          <w:i/>
          <w:sz w:val="24"/>
          <w:szCs w:val="24"/>
        </w:rPr>
        <w:t>The investigation of factor structure and normative data for Depression Self-Rating Scale for Children(DSRS)Japanese version [in Japanese].</w:t>
      </w:r>
      <w:r w:rsidRPr="00E42259">
        <w:rPr>
          <w:rFonts w:ascii="Times New Roman" w:hAnsi="Times New Roman" w:cs="Times New Roman"/>
          <w:sz w:val="24"/>
          <w:szCs w:val="24"/>
        </w:rPr>
        <w:t xml:space="preserve"> Bulletin of Tsukuba Developmental and Clinical Psychology, 2002(14): p. 85-91.</w:t>
      </w:r>
    </w:p>
    <w:p w14:paraId="16840BFE"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5.</w:t>
      </w:r>
      <w:r w:rsidRPr="00E42259">
        <w:rPr>
          <w:rFonts w:ascii="Times New Roman" w:hAnsi="Times New Roman" w:cs="Times New Roman"/>
          <w:sz w:val="24"/>
          <w:szCs w:val="24"/>
        </w:rPr>
        <w:tab/>
        <w:t xml:space="preserve">Birleson, P., </w:t>
      </w:r>
      <w:r w:rsidRPr="00E42259">
        <w:rPr>
          <w:rFonts w:ascii="Times New Roman" w:hAnsi="Times New Roman" w:cs="Times New Roman"/>
          <w:i/>
          <w:sz w:val="24"/>
          <w:szCs w:val="24"/>
        </w:rPr>
        <w:t>The validity of depressive disorder in childhood and the development of a self‐rating scale: a research report.</w:t>
      </w:r>
      <w:r w:rsidRPr="00E42259">
        <w:rPr>
          <w:rFonts w:ascii="Times New Roman" w:hAnsi="Times New Roman" w:cs="Times New Roman"/>
          <w:sz w:val="24"/>
          <w:szCs w:val="24"/>
        </w:rPr>
        <w:t xml:space="preserve"> Journal of Child Psychology and Psychiatry, 1981. </w:t>
      </w:r>
      <w:r w:rsidRPr="00E42259">
        <w:rPr>
          <w:rFonts w:ascii="Times New Roman" w:hAnsi="Times New Roman" w:cs="Times New Roman"/>
          <w:b/>
          <w:sz w:val="24"/>
          <w:szCs w:val="24"/>
        </w:rPr>
        <w:t>22</w:t>
      </w:r>
      <w:r w:rsidRPr="00E42259">
        <w:rPr>
          <w:rFonts w:ascii="Times New Roman" w:hAnsi="Times New Roman" w:cs="Times New Roman"/>
          <w:sz w:val="24"/>
          <w:szCs w:val="24"/>
        </w:rPr>
        <w:t>(1): p. 73-88.</w:t>
      </w:r>
    </w:p>
    <w:p w14:paraId="6DFE0009"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6.</w:t>
      </w:r>
      <w:r w:rsidRPr="00E42259">
        <w:rPr>
          <w:rFonts w:ascii="Times New Roman" w:hAnsi="Times New Roman" w:cs="Times New Roman"/>
          <w:sz w:val="24"/>
          <w:szCs w:val="24"/>
        </w:rPr>
        <w:tab/>
        <w:t xml:space="preserve">Fosse, N.E. and S.A. Haas, </w:t>
      </w:r>
      <w:r w:rsidRPr="00E42259">
        <w:rPr>
          <w:rFonts w:ascii="Times New Roman" w:hAnsi="Times New Roman" w:cs="Times New Roman"/>
          <w:i/>
          <w:sz w:val="24"/>
          <w:szCs w:val="24"/>
        </w:rPr>
        <w:t>Validity and stability of self-reported health among adolescents in a longitudinal, nationally representative survey.</w:t>
      </w:r>
      <w:r w:rsidRPr="00E42259">
        <w:rPr>
          <w:rFonts w:ascii="Times New Roman" w:hAnsi="Times New Roman" w:cs="Times New Roman"/>
          <w:sz w:val="24"/>
          <w:szCs w:val="24"/>
        </w:rPr>
        <w:t xml:space="preserve"> Pediatrics, 2009. </w:t>
      </w:r>
      <w:r w:rsidRPr="00E42259">
        <w:rPr>
          <w:rFonts w:ascii="Times New Roman" w:hAnsi="Times New Roman" w:cs="Times New Roman"/>
          <w:b/>
          <w:sz w:val="24"/>
          <w:szCs w:val="24"/>
        </w:rPr>
        <w:t>123</w:t>
      </w:r>
      <w:r w:rsidRPr="00E42259">
        <w:rPr>
          <w:rFonts w:ascii="Times New Roman" w:hAnsi="Times New Roman" w:cs="Times New Roman"/>
          <w:sz w:val="24"/>
          <w:szCs w:val="24"/>
        </w:rPr>
        <w:t>(3): p. e496-e501.</w:t>
      </w:r>
    </w:p>
    <w:p w14:paraId="7FF02899"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7.</w:t>
      </w:r>
      <w:r w:rsidRPr="00E42259">
        <w:rPr>
          <w:rFonts w:ascii="Times New Roman" w:hAnsi="Times New Roman" w:cs="Times New Roman"/>
          <w:sz w:val="24"/>
          <w:szCs w:val="24"/>
        </w:rPr>
        <w:tab/>
        <w:t xml:space="preserve">Jones, L.E., K.S. Milligan, and M. Stabile, </w:t>
      </w:r>
      <w:r w:rsidRPr="00E42259">
        <w:rPr>
          <w:rFonts w:ascii="Times New Roman" w:hAnsi="Times New Roman" w:cs="Times New Roman"/>
          <w:i/>
          <w:sz w:val="24"/>
          <w:szCs w:val="24"/>
        </w:rPr>
        <w:t>Child cash benefits and family expenditures: Evidence from the National Child Benefit</w:t>
      </w:r>
      <w:r w:rsidRPr="00E42259">
        <w:rPr>
          <w:rFonts w:ascii="Times New Roman" w:hAnsi="Times New Roman" w:cs="Times New Roman"/>
          <w:sz w:val="24"/>
          <w:szCs w:val="24"/>
        </w:rPr>
        <w:t>. 2015, National Bureau of Economic Research.</w:t>
      </w:r>
    </w:p>
    <w:p w14:paraId="67C7D762"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8.</w:t>
      </w:r>
      <w:r w:rsidRPr="00E42259">
        <w:rPr>
          <w:rFonts w:ascii="Times New Roman" w:hAnsi="Times New Roman" w:cs="Times New Roman"/>
          <w:sz w:val="24"/>
          <w:szCs w:val="24"/>
        </w:rPr>
        <w:tab/>
        <w:t xml:space="preserve">Milligan, K. and M. Stabile, </w:t>
      </w:r>
      <w:r w:rsidRPr="00E42259">
        <w:rPr>
          <w:rFonts w:ascii="Times New Roman" w:hAnsi="Times New Roman" w:cs="Times New Roman"/>
          <w:i/>
          <w:sz w:val="24"/>
          <w:szCs w:val="24"/>
        </w:rPr>
        <w:t>Do child tax benefits affect the well-being of children? Evidence from Canadian child benefit expansions.</w:t>
      </w:r>
      <w:r w:rsidRPr="00E42259">
        <w:rPr>
          <w:rFonts w:ascii="Times New Roman" w:hAnsi="Times New Roman" w:cs="Times New Roman"/>
          <w:sz w:val="24"/>
          <w:szCs w:val="24"/>
        </w:rPr>
        <w:t xml:space="preserve"> American Economic Journal: Economic Policy, 2011. </w:t>
      </w:r>
      <w:r w:rsidRPr="00E42259">
        <w:rPr>
          <w:rFonts w:ascii="Times New Roman" w:hAnsi="Times New Roman" w:cs="Times New Roman"/>
          <w:b/>
          <w:sz w:val="24"/>
          <w:szCs w:val="24"/>
        </w:rPr>
        <w:t>3</w:t>
      </w:r>
      <w:r w:rsidRPr="00E42259">
        <w:rPr>
          <w:rFonts w:ascii="Times New Roman" w:hAnsi="Times New Roman" w:cs="Times New Roman"/>
          <w:sz w:val="24"/>
          <w:szCs w:val="24"/>
        </w:rPr>
        <w:t>(3): p. 175-205.</w:t>
      </w:r>
    </w:p>
    <w:p w14:paraId="7D224658"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9.</w:t>
      </w:r>
      <w:r w:rsidRPr="00E42259">
        <w:rPr>
          <w:rFonts w:ascii="Times New Roman" w:hAnsi="Times New Roman" w:cs="Times New Roman"/>
          <w:sz w:val="24"/>
          <w:szCs w:val="24"/>
        </w:rPr>
        <w:tab/>
        <w:t xml:space="preserve">Kizuki, M., et al., </w:t>
      </w:r>
      <w:r w:rsidRPr="00E42259">
        <w:rPr>
          <w:rFonts w:ascii="Times New Roman" w:hAnsi="Times New Roman" w:cs="Times New Roman"/>
          <w:i/>
          <w:sz w:val="24"/>
          <w:szCs w:val="24"/>
        </w:rPr>
        <w:t>Parental time of returning home from work and child mental health among first-year primary school students in Japan: result from A-CHILD Study.</w:t>
      </w:r>
      <w:r w:rsidRPr="00E42259">
        <w:rPr>
          <w:rFonts w:ascii="Times New Roman" w:hAnsi="Times New Roman" w:cs="Times New Roman"/>
          <w:sz w:val="24"/>
          <w:szCs w:val="24"/>
        </w:rPr>
        <w:t xml:space="preserve"> Frontiers in pediatrics, 2018. </w:t>
      </w:r>
      <w:r w:rsidRPr="00E42259">
        <w:rPr>
          <w:rFonts w:ascii="Times New Roman" w:hAnsi="Times New Roman" w:cs="Times New Roman"/>
          <w:b/>
          <w:sz w:val="24"/>
          <w:szCs w:val="24"/>
        </w:rPr>
        <w:t>6</w:t>
      </w:r>
      <w:r w:rsidRPr="00E42259">
        <w:rPr>
          <w:rFonts w:ascii="Times New Roman" w:hAnsi="Times New Roman" w:cs="Times New Roman"/>
          <w:sz w:val="24"/>
          <w:szCs w:val="24"/>
        </w:rPr>
        <w:t>: p. 179.</w:t>
      </w:r>
    </w:p>
    <w:p w14:paraId="7CB50453"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10.</w:t>
      </w:r>
      <w:r w:rsidRPr="00E42259">
        <w:rPr>
          <w:rFonts w:ascii="Times New Roman" w:hAnsi="Times New Roman" w:cs="Times New Roman"/>
          <w:sz w:val="24"/>
          <w:szCs w:val="24"/>
        </w:rPr>
        <w:tab/>
        <w:t xml:space="preserve">Fujiwara, T., et al., </w:t>
      </w:r>
      <w:r w:rsidRPr="00E42259">
        <w:rPr>
          <w:rFonts w:ascii="Times New Roman" w:hAnsi="Times New Roman" w:cs="Times New Roman"/>
          <w:i/>
          <w:sz w:val="24"/>
          <w:szCs w:val="24"/>
        </w:rPr>
        <w:t>Association of maternal developmental disorder traits with child mistreatment: a prospective study in Japan.</w:t>
      </w:r>
      <w:r w:rsidRPr="00E42259">
        <w:rPr>
          <w:rFonts w:ascii="Times New Roman" w:hAnsi="Times New Roman" w:cs="Times New Roman"/>
          <w:sz w:val="24"/>
          <w:szCs w:val="24"/>
        </w:rPr>
        <w:t xml:space="preserve"> Child abuse &amp; neglect, 2014. </w:t>
      </w:r>
      <w:r w:rsidRPr="00E42259">
        <w:rPr>
          <w:rFonts w:ascii="Times New Roman" w:hAnsi="Times New Roman" w:cs="Times New Roman"/>
          <w:b/>
          <w:sz w:val="24"/>
          <w:szCs w:val="24"/>
        </w:rPr>
        <w:t>38</w:t>
      </w:r>
      <w:r w:rsidRPr="00E42259">
        <w:rPr>
          <w:rFonts w:ascii="Times New Roman" w:hAnsi="Times New Roman" w:cs="Times New Roman"/>
          <w:sz w:val="24"/>
          <w:szCs w:val="24"/>
        </w:rPr>
        <w:t>(8): p. 1283-1289.</w:t>
      </w:r>
    </w:p>
    <w:p w14:paraId="4080D94F"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11.</w:t>
      </w:r>
      <w:r w:rsidRPr="00E42259">
        <w:rPr>
          <w:rFonts w:ascii="Times New Roman" w:hAnsi="Times New Roman" w:cs="Times New Roman"/>
          <w:sz w:val="24"/>
          <w:szCs w:val="24"/>
        </w:rPr>
        <w:tab/>
        <w:t xml:space="preserve">Tokunaga, M., et al., </w:t>
      </w:r>
      <w:r w:rsidRPr="00E42259">
        <w:rPr>
          <w:rFonts w:ascii="Times New Roman" w:hAnsi="Times New Roman" w:cs="Times New Roman"/>
          <w:i/>
          <w:sz w:val="24"/>
          <w:szCs w:val="24"/>
        </w:rPr>
        <w:t>Survey of child maltreatment among general population in Greater Tokyo.</w:t>
      </w:r>
      <w:r w:rsidRPr="00E42259">
        <w:rPr>
          <w:rFonts w:ascii="Times New Roman" w:hAnsi="Times New Roman" w:cs="Times New Roman"/>
          <w:sz w:val="24"/>
          <w:szCs w:val="24"/>
        </w:rPr>
        <w:t xml:space="preserve"> Kosei no Shihyo, 2000. </w:t>
      </w:r>
      <w:r w:rsidRPr="00E42259">
        <w:rPr>
          <w:rFonts w:ascii="Times New Roman" w:hAnsi="Times New Roman" w:cs="Times New Roman"/>
          <w:b/>
          <w:sz w:val="24"/>
          <w:szCs w:val="24"/>
        </w:rPr>
        <w:t>47</w:t>
      </w:r>
      <w:r w:rsidRPr="00E42259">
        <w:rPr>
          <w:rFonts w:ascii="Times New Roman" w:hAnsi="Times New Roman" w:cs="Times New Roman"/>
          <w:sz w:val="24"/>
          <w:szCs w:val="24"/>
        </w:rPr>
        <w:t>(15): p. 3-10.</w:t>
      </w:r>
    </w:p>
    <w:p w14:paraId="46F82F11"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12.</w:t>
      </w:r>
      <w:r w:rsidRPr="00E42259">
        <w:rPr>
          <w:rFonts w:ascii="Times New Roman" w:hAnsi="Times New Roman" w:cs="Times New Roman"/>
          <w:sz w:val="24"/>
          <w:szCs w:val="24"/>
        </w:rPr>
        <w:tab/>
        <w:t xml:space="preserve">Isumi, A., et al., </w:t>
      </w:r>
      <w:r w:rsidRPr="00E42259">
        <w:rPr>
          <w:rFonts w:ascii="Times New Roman" w:hAnsi="Times New Roman" w:cs="Times New Roman"/>
          <w:i/>
          <w:sz w:val="24"/>
          <w:szCs w:val="24"/>
        </w:rPr>
        <w:t>Mediating effects of parental psychological distress and individual-level social capital on the association between child poverty and maltreatment in Japan.</w:t>
      </w:r>
      <w:r w:rsidRPr="00E42259">
        <w:rPr>
          <w:rFonts w:ascii="Times New Roman" w:hAnsi="Times New Roman" w:cs="Times New Roman"/>
          <w:sz w:val="24"/>
          <w:szCs w:val="24"/>
        </w:rPr>
        <w:t xml:space="preserve"> Child Abuse &amp; Neglect, 2018. </w:t>
      </w:r>
      <w:r w:rsidRPr="00E42259">
        <w:rPr>
          <w:rFonts w:ascii="Times New Roman" w:hAnsi="Times New Roman" w:cs="Times New Roman"/>
          <w:b/>
          <w:sz w:val="24"/>
          <w:szCs w:val="24"/>
        </w:rPr>
        <w:t>83</w:t>
      </w:r>
      <w:r w:rsidRPr="00E42259">
        <w:rPr>
          <w:rFonts w:ascii="Times New Roman" w:hAnsi="Times New Roman" w:cs="Times New Roman"/>
          <w:sz w:val="24"/>
          <w:szCs w:val="24"/>
        </w:rPr>
        <w:t>: p. 142-150.</w:t>
      </w:r>
    </w:p>
    <w:p w14:paraId="3A63FE04"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13.</w:t>
      </w:r>
      <w:r w:rsidRPr="00E42259">
        <w:rPr>
          <w:rFonts w:ascii="Times New Roman" w:hAnsi="Times New Roman" w:cs="Times New Roman"/>
          <w:sz w:val="24"/>
          <w:szCs w:val="24"/>
        </w:rPr>
        <w:tab/>
        <w:t xml:space="preserve">Demirtas, H., S.A. Freels, and R.M. Yucel, </w:t>
      </w:r>
      <w:r w:rsidRPr="00E42259">
        <w:rPr>
          <w:rFonts w:ascii="Times New Roman" w:hAnsi="Times New Roman" w:cs="Times New Roman"/>
          <w:i/>
          <w:sz w:val="24"/>
          <w:szCs w:val="24"/>
        </w:rPr>
        <w:t>Plausibility of multivariate normality assumption when multiply imputing non-Gaussian continuous outcomes: a simulation assessment.</w:t>
      </w:r>
      <w:r w:rsidRPr="00E42259">
        <w:rPr>
          <w:rFonts w:ascii="Times New Roman" w:hAnsi="Times New Roman" w:cs="Times New Roman"/>
          <w:sz w:val="24"/>
          <w:szCs w:val="24"/>
        </w:rPr>
        <w:t xml:space="preserve"> Journal of Statistical Computation and Simulation, 2008. </w:t>
      </w:r>
      <w:r w:rsidRPr="00E42259">
        <w:rPr>
          <w:rFonts w:ascii="Times New Roman" w:hAnsi="Times New Roman" w:cs="Times New Roman"/>
          <w:b/>
          <w:sz w:val="24"/>
          <w:szCs w:val="24"/>
        </w:rPr>
        <w:t>78</w:t>
      </w:r>
      <w:r w:rsidRPr="00E42259">
        <w:rPr>
          <w:rFonts w:ascii="Times New Roman" w:hAnsi="Times New Roman" w:cs="Times New Roman"/>
          <w:sz w:val="24"/>
          <w:szCs w:val="24"/>
        </w:rPr>
        <w:t>(1): p. 69-84.</w:t>
      </w:r>
    </w:p>
    <w:p w14:paraId="2D3DA7B9"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14.</w:t>
      </w:r>
      <w:r w:rsidRPr="00E42259">
        <w:rPr>
          <w:rFonts w:ascii="Times New Roman" w:hAnsi="Times New Roman" w:cs="Times New Roman"/>
          <w:sz w:val="24"/>
          <w:szCs w:val="24"/>
        </w:rPr>
        <w:tab/>
        <w:t xml:space="preserve">Lee, K.J. and J.B. Carlin, </w:t>
      </w:r>
      <w:r w:rsidRPr="00E42259">
        <w:rPr>
          <w:rFonts w:ascii="Times New Roman" w:hAnsi="Times New Roman" w:cs="Times New Roman"/>
          <w:i/>
          <w:sz w:val="24"/>
          <w:szCs w:val="24"/>
        </w:rPr>
        <w:t>Multiple imputation for missing data: fully conditional specification versus multivariate normal imputation.</w:t>
      </w:r>
      <w:r w:rsidRPr="00E42259">
        <w:rPr>
          <w:rFonts w:ascii="Times New Roman" w:hAnsi="Times New Roman" w:cs="Times New Roman"/>
          <w:sz w:val="24"/>
          <w:szCs w:val="24"/>
        </w:rPr>
        <w:t xml:space="preserve"> American journal of epidemiology, 2010. </w:t>
      </w:r>
      <w:r w:rsidRPr="00E42259">
        <w:rPr>
          <w:rFonts w:ascii="Times New Roman" w:hAnsi="Times New Roman" w:cs="Times New Roman"/>
          <w:b/>
          <w:sz w:val="24"/>
          <w:szCs w:val="24"/>
        </w:rPr>
        <w:t>171</w:t>
      </w:r>
      <w:r w:rsidRPr="00E42259">
        <w:rPr>
          <w:rFonts w:ascii="Times New Roman" w:hAnsi="Times New Roman" w:cs="Times New Roman"/>
          <w:sz w:val="24"/>
          <w:szCs w:val="24"/>
        </w:rPr>
        <w:t>(5): p. 624-632.</w:t>
      </w:r>
    </w:p>
    <w:p w14:paraId="4381B300" w14:textId="77777777" w:rsidR="003C34A7" w:rsidRPr="00E42259" w:rsidRDefault="003C34A7" w:rsidP="00F00925">
      <w:pPr>
        <w:pStyle w:val="EndNoteBibliography"/>
        <w:snapToGrid w:val="0"/>
        <w:spacing w:after="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15.</w:t>
      </w:r>
      <w:r w:rsidRPr="00E42259">
        <w:rPr>
          <w:rFonts w:ascii="Times New Roman" w:hAnsi="Times New Roman" w:cs="Times New Roman"/>
          <w:sz w:val="24"/>
          <w:szCs w:val="24"/>
        </w:rPr>
        <w:tab/>
        <w:t xml:space="preserve">White, I.R., P. Royston, and A.M. Wood, </w:t>
      </w:r>
      <w:r w:rsidRPr="00E42259">
        <w:rPr>
          <w:rFonts w:ascii="Times New Roman" w:hAnsi="Times New Roman" w:cs="Times New Roman"/>
          <w:i/>
          <w:sz w:val="24"/>
          <w:szCs w:val="24"/>
        </w:rPr>
        <w:t>Multiple imputation using chained equations: issues and guidance for practice.</w:t>
      </w:r>
      <w:r w:rsidRPr="00E42259">
        <w:rPr>
          <w:rFonts w:ascii="Times New Roman" w:hAnsi="Times New Roman" w:cs="Times New Roman"/>
          <w:sz w:val="24"/>
          <w:szCs w:val="24"/>
        </w:rPr>
        <w:t xml:space="preserve"> Statistics in medicine, 2011. </w:t>
      </w:r>
      <w:r w:rsidRPr="00E42259">
        <w:rPr>
          <w:rFonts w:ascii="Times New Roman" w:hAnsi="Times New Roman" w:cs="Times New Roman"/>
          <w:b/>
          <w:sz w:val="24"/>
          <w:szCs w:val="24"/>
        </w:rPr>
        <w:t>30</w:t>
      </w:r>
      <w:r w:rsidRPr="00E42259">
        <w:rPr>
          <w:rFonts w:ascii="Times New Roman" w:hAnsi="Times New Roman" w:cs="Times New Roman"/>
          <w:sz w:val="24"/>
          <w:szCs w:val="24"/>
        </w:rPr>
        <w:t>(4): p. 377-399.</w:t>
      </w:r>
    </w:p>
    <w:p w14:paraId="745DB13B" w14:textId="77777777" w:rsidR="003C34A7" w:rsidRPr="00E42259" w:rsidRDefault="003C34A7" w:rsidP="00F00925">
      <w:pPr>
        <w:pStyle w:val="EndNoteBibliography"/>
        <w:snapToGrid w:val="0"/>
        <w:ind w:left="720" w:hanging="720"/>
        <w:contextualSpacing/>
        <w:rPr>
          <w:rFonts w:ascii="Times New Roman" w:hAnsi="Times New Roman" w:cs="Times New Roman"/>
          <w:sz w:val="24"/>
          <w:szCs w:val="24"/>
        </w:rPr>
      </w:pPr>
      <w:r w:rsidRPr="00E42259">
        <w:rPr>
          <w:rFonts w:ascii="Times New Roman" w:hAnsi="Times New Roman" w:cs="Times New Roman"/>
          <w:sz w:val="24"/>
          <w:szCs w:val="24"/>
        </w:rPr>
        <w:t>16.</w:t>
      </w:r>
      <w:r w:rsidRPr="00E42259">
        <w:rPr>
          <w:rFonts w:ascii="Times New Roman" w:hAnsi="Times New Roman" w:cs="Times New Roman"/>
          <w:sz w:val="24"/>
          <w:szCs w:val="24"/>
        </w:rPr>
        <w:tab/>
        <w:t xml:space="preserve">Leyrat, C., et al., </w:t>
      </w:r>
      <w:r w:rsidRPr="00E42259">
        <w:rPr>
          <w:rFonts w:ascii="Times New Roman" w:hAnsi="Times New Roman" w:cs="Times New Roman"/>
          <w:i/>
          <w:sz w:val="24"/>
          <w:szCs w:val="24"/>
        </w:rPr>
        <w:t>Propensity score analysis with partially observed covariates: How should multiple imputation be used?</w:t>
      </w:r>
      <w:r w:rsidRPr="00E42259">
        <w:rPr>
          <w:rFonts w:ascii="Times New Roman" w:hAnsi="Times New Roman" w:cs="Times New Roman"/>
          <w:sz w:val="24"/>
          <w:szCs w:val="24"/>
        </w:rPr>
        <w:t xml:space="preserve"> Statistical methods in medical research, 2019. </w:t>
      </w:r>
      <w:r w:rsidRPr="00E42259">
        <w:rPr>
          <w:rFonts w:ascii="Times New Roman" w:hAnsi="Times New Roman" w:cs="Times New Roman"/>
          <w:b/>
          <w:sz w:val="24"/>
          <w:szCs w:val="24"/>
        </w:rPr>
        <w:t>28</w:t>
      </w:r>
      <w:r w:rsidRPr="00E42259">
        <w:rPr>
          <w:rFonts w:ascii="Times New Roman" w:hAnsi="Times New Roman" w:cs="Times New Roman"/>
          <w:sz w:val="24"/>
          <w:szCs w:val="24"/>
        </w:rPr>
        <w:t>(1): p. 3-19.</w:t>
      </w:r>
    </w:p>
    <w:p w14:paraId="77AC3561" w14:textId="276BF9DF" w:rsidR="00421E39" w:rsidRPr="00E42259" w:rsidRDefault="00421E39" w:rsidP="00F00925">
      <w:pPr>
        <w:snapToGrid w:val="0"/>
        <w:spacing w:line="240" w:lineRule="auto"/>
        <w:contextualSpacing/>
        <w:rPr>
          <w:rFonts w:ascii="Times New Roman" w:hAnsi="Times New Roman" w:cs="Times New Roman"/>
          <w:sz w:val="24"/>
          <w:szCs w:val="24"/>
        </w:rPr>
      </w:pPr>
      <w:r w:rsidRPr="00E42259">
        <w:rPr>
          <w:rFonts w:ascii="Times New Roman" w:hAnsi="Times New Roman" w:cs="Times New Roman"/>
          <w:sz w:val="24"/>
          <w:szCs w:val="24"/>
        </w:rPr>
        <w:fldChar w:fldCharType="end"/>
      </w:r>
    </w:p>
    <w:sectPr w:rsidR="00421E39" w:rsidRPr="00E42259" w:rsidSect="008B43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48A40" w14:textId="77777777" w:rsidR="00780868" w:rsidRDefault="00780868" w:rsidP="00E97009">
      <w:pPr>
        <w:spacing w:after="0" w:line="240" w:lineRule="auto"/>
      </w:pPr>
      <w:r>
        <w:separator/>
      </w:r>
    </w:p>
  </w:endnote>
  <w:endnote w:type="continuationSeparator" w:id="0">
    <w:p w14:paraId="5206BA8C" w14:textId="77777777" w:rsidR="00780868" w:rsidRDefault="00780868" w:rsidP="00E9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swiss"/>
    <w:pitch w:val="variable"/>
    <w:sig w:usb0="E00002FF" w:usb1="6AC7FFFF"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AEECC" w14:textId="77777777" w:rsidR="00780868" w:rsidRDefault="00780868" w:rsidP="00E97009">
      <w:pPr>
        <w:spacing w:after="0" w:line="240" w:lineRule="auto"/>
      </w:pPr>
      <w:r>
        <w:separator/>
      </w:r>
    </w:p>
  </w:footnote>
  <w:footnote w:type="continuationSeparator" w:id="0">
    <w:p w14:paraId="358F998A" w14:textId="77777777" w:rsidR="00780868" w:rsidRDefault="00780868" w:rsidP="00E970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bordersDoNotSurroundHeader/>
  <w:bordersDoNotSurroundFooter/>
  <w:proofState w:spelling="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a2pszt8xrpr6e02dovwtzizsafxr9xvavr&quot;&gt;My EndNote Library Copy&lt;record-ids&gt;&lt;item&gt;143&lt;/item&gt;&lt;item&gt;144&lt;/item&gt;&lt;item&gt;153&lt;/item&gt;&lt;item&gt;200&lt;/item&gt;&lt;item&gt;201&lt;/item&gt;&lt;item&gt;249&lt;/item&gt;&lt;item&gt;250&lt;/item&gt;&lt;item&gt;251&lt;/item&gt;&lt;item&gt;252&lt;/item&gt;&lt;item&gt;253&lt;/item&gt;&lt;item&gt;254&lt;/item&gt;&lt;item&gt;463&lt;/item&gt;&lt;item&gt;676&lt;/item&gt;&lt;item&gt;677&lt;/item&gt;&lt;item&gt;678&lt;/item&gt;&lt;item&gt;679&lt;/item&gt;&lt;/record-ids&gt;&lt;/item&gt;&lt;/Libraries&gt;"/>
  </w:docVars>
  <w:rsids>
    <w:rsidRoot w:val="00356DBC"/>
    <w:rsid w:val="00035BCB"/>
    <w:rsid w:val="000A1318"/>
    <w:rsid w:val="00300A7F"/>
    <w:rsid w:val="00356DBC"/>
    <w:rsid w:val="003C34A7"/>
    <w:rsid w:val="00421E39"/>
    <w:rsid w:val="00517364"/>
    <w:rsid w:val="00546E36"/>
    <w:rsid w:val="00553DEF"/>
    <w:rsid w:val="005B7B38"/>
    <w:rsid w:val="00630671"/>
    <w:rsid w:val="0067549E"/>
    <w:rsid w:val="00780868"/>
    <w:rsid w:val="008B4371"/>
    <w:rsid w:val="008E4FB6"/>
    <w:rsid w:val="00A24608"/>
    <w:rsid w:val="00A9202D"/>
    <w:rsid w:val="00B11DA0"/>
    <w:rsid w:val="00BD2A84"/>
    <w:rsid w:val="00C35D71"/>
    <w:rsid w:val="00C4192B"/>
    <w:rsid w:val="00CD3DF0"/>
    <w:rsid w:val="00CE1E48"/>
    <w:rsid w:val="00D246AD"/>
    <w:rsid w:val="00D83340"/>
    <w:rsid w:val="00E12A5C"/>
    <w:rsid w:val="00E4115D"/>
    <w:rsid w:val="00E42259"/>
    <w:rsid w:val="00E97009"/>
    <w:rsid w:val="00ED4610"/>
    <w:rsid w:val="00F00925"/>
    <w:rsid w:val="00FD3B15"/>
    <w:rsid w:val="7EA409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F5A9A5"/>
  <w15:chartTrackingRefBased/>
  <w15:docId w15:val="{116DCA5A-60A8-44E9-84D0-81FF6256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5BCB"/>
    <w:pPr>
      <w:spacing w:after="0" w:line="240" w:lineRule="auto"/>
    </w:pPr>
    <w:rPr>
      <w:rFonts w:ascii="Meiryo UI" w:eastAsia="Meiryo UI"/>
      <w:sz w:val="18"/>
      <w:szCs w:val="18"/>
    </w:rPr>
  </w:style>
  <w:style w:type="character" w:customStyle="1" w:styleId="a4">
    <w:name w:val="吹き出し (文字)"/>
    <w:basedOn w:val="a0"/>
    <w:link w:val="a3"/>
    <w:uiPriority w:val="99"/>
    <w:semiHidden/>
    <w:rsid w:val="00035BCB"/>
    <w:rPr>
      <w:rFonts w:ascii="Meiryo UI" w:eastAsia="Meiryo UI"/>
      <w:sz w:val="18"/>
      <w:szCs w:val="18"/>
    </w:rPr>
  </w:style>
  <w:style w:type="paragraph" w:customStyle="1" w:styleId="EndNoteBibliographyTitle">
    <w:name w:val="EndNote Bibliography Title"/>
    <w:basedOn w:val="a"/>
    <w:link w:val="EndNoteBibliographyTitle0"/>
    <w:rsid w:val="00421E39"/>
    <w:pPr>
      <w:spacing w:after="0"/>
      <w:jc w:val="center"/>
    </w:pPr>
    <w:rPr>
      <w:rFonts w:ascii="Calibri" w:hAnsi="Calibri" w:cs="Calibri"/>
      <w:noProof/>
    </w:rPr>
  </w:style>
  <w:style w:type="character" w:customStyle="1" w:styleId="EndNoteBibliographyTitle0">
    <w:name w:val="EndNote Bibliography Title (文字)"/>
    <w:basedOn w:val="a0"/>
    <w:link w:val="EndNoteBibliographyTitle"/>
    <w:rsid w:val="00421E39"/>
    <w:rPr>
      <w:rFonts w:ascii="Calibri" w:hAnsi="Calibri" w:cs="Calibri"/>
      <w:noProof/>
    </w:rPr>
  </w:style>
  <w:style w:type="paragraph" w:customStyle="1" w:styleId="EndNoteBibliography">
    <w:name w:val="EndNote Bibliography"/>
    <w:basedOn w:val="a"/>
    <w:link w:val="EndNoteBibliography0"/>
    <w:rsid w:val="00421E39"/>
    <w:pPr>
      <w:spacing w:line="240" w:lineRule="auto"/>
    </w:pPr>
    <w:rPr>
      <w:rFonts w:ascii="Calibri" w:hAnsi="Calibri" w:cs="Calibri"/>
      <w:noProof/>
    </w:rPr>
  </w:style>
  <w:style w:type="character" w:customStyle="1" w:styleId="EndNoteBibliography0">
    <w:name w:val="EndNote Bibliography (文字)"/>
    <w:basedOn w:val="a0"/>
    <w:link w:val="EndNoteBibliography"/>
    <w:rsid w:val="00421E39"/>
    <w:rPr>
      <w:rFonts w:ascii="Calibri" w:hAnsi="Calibri" w:cs="Calibri"/>
      <w:noProof/>
    </w:rPr>
  </w:style>
  <w:style w:type="character" w:styleId="a5">
    <w:name w:val="Hyperlink"/>
    <w:basedOn w:val="a0"/>
    <w:uiPriority w:val="99"/>
    <w:unhideWhenUsed/>
    <w:rsid w:val="00421E39"/>
    <w:rPr>
      <w:color w:val="0563C1" w:themeColor="hyperlink"/>
      <w:u w:val="single"/>
    </w:rPr>
  </w:style>
  <w:style w:type="character" w:customStyle="1" w:styleId="1">
    <w:name w:val="未解決のメンション1"/>
    <w:basedOn w:val="a0"/>
    <w:uiPriority w:val="99"/>
    <w:semiHidden/>
    <w:unhideWhenUsed/>
    <w:rsid w:val="00421E39"/>
    <w:rPr>
      <w:color w:val="605E5C"/>
      <w:shd w:val="clear" w:color="auto" w:fill="E1DFDD"/>
    </w:rPr>
  </w:style>
  <w:style w:type="paragraph" w:styleId="a6">
    <w:name w:val="header"/>
    <w:basedOn w:val="a"/>
    <w:link w:val="a7"/>
    <w:uiPriority w:val="99"/>
    <w:unhideWhenUsed/>
    <w:rsid w:val="00E97009"/>
    <w:pPr>
      <w:tabs>
        <w:tab w:val="center" w:pos="4680"/>
        <w:tab w:val="right" w:pos="9360"/>
      </w:tabs>
      <w:spacing w:after="0" w:line="240" w:lineRule="auto"/>
    </w:pPr>
  </w:style>
  <w:style w:type="character" w:customStyle="1" w:styleId="a7">
    <w:name w:val="ヘッダー (文字)"/>
    <w:basedOn w:val="a0"/>
    <w:link w:val="a6"/>
    <w:uiPriority w:val="99"/>
    <w:rsid w:val="00E97009"/>
  </w:style>
  <w:style w:type="paragraph" w:styleId="a8">
    <w:name w:val="footer"/>
    <w:basedOn w:val="a"/>
    <w:link w:val="a9"/>
    <w:uiPriority w:val="99"/>
    <w:unhideWhenUsed/>
    <w:rsid w:val="00E97009"/>
    <w:pPr>
      <w:tabs>
        <w:tab w:val="center" w:pos="4680"/>
        <w:tab w:val="right" w:pos="9360"/>
      </w:tabs>
      <w:spacing w:after="0" w:line="240" w:lineRule="auto"/>
    </w:pPr>
  </w:style>
  <w:style w:type="character" w:customStyle="1" w:styleId="a9">
    <w:name w:val="フッター (文字)"/>
    <w:basedOn w:val="a0"/>
    <w:link w:val="a8"/>
    <w:uiPriority w:val="99"/>
    <w:rsid w:val="00E97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62851">
      <w:bodyDiv w:val="1"/>
      <w:marLeft w:val="0"/>
      <w:marRight w:val="0"/>
      <w:marTop w:val="0"/>
      <w:marBottom w:val="0"/>
      <w:divBdr>
        <w:top w:val="none" w:sz="0" w:space="0" w:color="auto"/>
        <w:left w:val="none" w:sz="0" w:space="0" w:color="auto"/>
        <w:bottom w:val="none" w:sz="0" w:space="0" w:color="auto"/>
        <w:right w:val="none" w:sz="0" w:space="0" w:color="auto"/>
      </w:divBdr>
    </w:div>
    <w:div w:id="761797412">
      <w:bodyDiv w:val="1"/>
      <w:marLeft w:val="0"/>
      <w:marRight w:val="0"/>
      <w:marTop w:val="0"/>
      <w:marBottom w:val="0"/>
      <w:divBdr>
        <w:top w:val="none" w:sz="0" w:space="0" w:color="auto"/>
        <w:left w:val="none" w:sz="0" w:space="0" w:color="auto"/>
        <w:bottom w:val="none" w:sz="0" w:space="0" w:color="auto"/>
        <w:right w:val="none" w:sz="0" w:space="0" w:color="auto"/>
      </w:divBdr>
    </w:div>
    <w:div w:id="86383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4629</Words>
  <Characters>26021</Characters>
  <Application>Microsoft Office Word</Application>
  <DocSecurity>0</DocSecurity>
  <Lines>1000</Lines>
  <Paragraphs>681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Koyama Yuna</dc:creator>
  <cp:keywords/>
  <dc:description/>
  <cp:lastModifiedBy>Takeo Fujiwara</cp:lastModifiedBy>
  <cp:revision>2</cp:revision>
  <dcterms:created xsi:type="dcterms:W3CDTF">2020-07-13T02:57:00Z</dcterms:created>
  <dcterms:modified xsi:type="dcterms:W3CDTF">2020-07-13T02:57:00Z</dcterms:modified>
</cp:coreProperties>
</file>