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b/>
          <w:sz w:val="28"/>
        </w:rPr>
      </w:pPr>
      <w:r>
        <w:rPr>
          <w:rFonts w:hint="default" w:ascii="Times New Roman" w:hAnsi="Times New Roman" w:cs="Times New Roman"/>
          <w:b/>
          <w:sz w:val="28"/>
        </w:rPr>
        <w:t>Tables</w:t>
      </w:r>
    </w:p>
    <w:p>
      <w:pPr>
        <w:rPr>
          <w:rFonts w:hint="default" w:ascii="Times New Roman" w:hAnsi="Times New Roman" w:cs="Times New Roman"/>
          <w:b/>
          <w:sz w:val="28"/>
        </w:rPr>
      </w:pPr>
    </w:p>
    <w:p>
      <w:pPr>
        <w:rPr>
          <w:rFonts w:hint="default" w:ascii="Times New Roman" w:hAnsi="Times New Roman" w:cs="Times New Roman"/>
          <w:b/>
          <w:sz w:val="28"/>
        </w:rPr>
      </w:pPr>
    </w:p>
    <w:tbl>
      <w:tblPr>
        <w:tblStyle w:val="5"/>
        <w:tblW w:w="1816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8"/>
        <w:gridCol w:w="1950"/>
        <w:gridCol w:w="1537"/>
        <w:gridCol w:w="1269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8160" w:type="dxa"/>
            <w:gridSpan w:val="4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Parameters of three risk equations used in this study for men and women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7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Model</w:t>
            </w:r>
          </w:p>
        </w:tc>
        <w:tc>
          <w:tcPr>
            <w:tcW w:w="195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vertAlign w:val="subscript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(t) at 5 years</w:t>
            </w:r>
          </w:p>
        </w:tc>
        <w:tc>
          <w:tcPr>
            <w:tcW w:w="1537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Mean Score</w:t>
            </w:r>
          </w:p>
        </w:tc>
        <w:tc>
          <w:tcPr>
            <w:tcW w:w="12695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Equations for PCE, PAR and FRS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Men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PCE (White Model)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0.9625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color w:val="FF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61.18</w:t>
            </w:r>
          </w:p>
        </w:tc>
        <w:tc>
          <w:tcPr>
            <w:tcW w:w="12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=12.344×ln(age)+11.853×ln(TC)-2.664×ln(age)×ln(TC)-7.990×ln(HDLC)+1.769×ln(age)×ln(HDLC) (+1.797×ln(SBP) if hypertension treated) (+1.764×ln(SBP) if hypertension untreated) (+7.837-1.795×ln(age) if current smoker) (+0.658 if diabetes)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PAR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0.9724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140.68</w:t>
            </w:r>
          </w:p>
        </w:tc>
        <w:tc>
          <w:tcPr>
            <w:tcW w:w="12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=31.97×ln(age)+0.62×ln(TC)-0.69×ln(HDLC)-0.71×ln(waist) (+[27.39-6.02×ln(age)]×ln(SBP) if hypertension treated) (+[26.15-5.73×ln(age)]×ln(SBP) if hypertension untreated) (+3.96-0.94×ln(age) if current smoker) (+6.22-1.53×ln(age) if having family history of ASCVD) (+0.36 if diabetes) (+0.48 if in Northern China) (-0.16 if living in urban)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197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FRS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0.9431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23.98</w:t>
            </w:r>
          </w:p>
        </w:tc>
        <w:tc>
          <w:tcPr>
            <w:tcW w:w="1269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=3.0617×ln(age)+1.12370×ln(TC)-0.93263×ln(HDLC) (+1.93303×ln(SBP) if hypertension untreated) (+1.99881×ln(SBP) if hypertension treated) (+0.65451 if current smoker)  (+0.57367 if diabetes)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16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160" w:type="dxa"/>
            <w:gridSpan w:val="4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Women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PCE (White Model)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0.989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color w:val="FF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-29.18</w:t>
            </w:r>
          </w:p>
        </w:tc>
        <w:tc>
          <w:tcPr>
            <w:tcW w:w="12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=-29.799×ln(age)+4.884×ln(age)×ln(age)+13.540×ln(TC)-3.114×ln(age)×ln(TC)-13.578×ln(HDLC)+3.149×ln(age)×ln(HDLC) (+2.019×ln(SBP) if hypertension treated) (+1.957×ln(SBP) if hypertension untreated) (+7.574-1.665×ln(age) if current smoker) (+0.661 if diabetes)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PAR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0.9841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117.26</w:t>
            </w:r>
          </w:p>
        </w:tc>
        <w:tc>
          <w:tcPr>
            <w:tcW w:w="12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=24.87×ln(age)+0.06×ln(TC)-0.22×ln(HDLC)+1.48×ln(waist) (+[20.71-4.53×ln(age)] ×ln(SBP) if hypertension treated) (+[19.98 -4.36×ln(age)]×ln(SBP) if hypertension untreated) (+0.49 if current smoker) (+0.57 if diabetes) (+0.54 if in Northern China)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197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FRS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0.9747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26.193</w:t>
            </w:r>
          </w:p>
        </w:tc>
        <w:tc>
          <w:tcPr>
            <w:tcW w:w="1269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=2.32888×ln(age)+1.20904×ln(TC)-0.70833×ln(HDLC) (+1.76157×ln(SBP) if hypertension untreated) (+2.82263×ln(SBP) if hypertension treated) (+0.52873 if current smoker)  (+0.69154 if diabetes)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18160" w:type="dxa"/>
            <w:gridSpan w:val="4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 xml:space="preserve">a 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Obtained from the supplementary files of Muntner, et al (</w:t>
            </w:r>
            <w:r>
              <w:rPr>
                <w:rFonts w:hint="default" w:ascii="Times New Roman" w:hAnsi="Times New Roman" w:cs="Times New Roman"/>
                <w:color w:val="auto"/>
              </w:rPr>
              <w:t>JAMA 2014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).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 xml:space="preserve">b 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vertAlign w:val="subscript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  <w:t>(t)=exp (-5-year Kaplan-Meier ASCVD incidence rate)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vertAlign w:val="superscript"/>
                <w:lang w:val="en-US" w:eastAsia="zh-CN" w:bidi="ar"/>
              </w:rPr>
              <w:t xml:space="preserve">c 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vertAlign w:val="subscript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"/>
              </w:rPr>
              <w:t>(t)=exp (-10-year Kaplan-Meier CVD incidence rate/2)</w:t>
            </w:r>
          </w:p>
        </w:tc>
      </w:tr>
    </w:tbl>
    <w:p>
      <w:pPr>
        <w:sectPr>
          <w:pgSz w:w="22065" w:h="16783" w:orient="landscape"/>
          <w:pgMar w:top="1797" w:right="1797" w:bottom="1797" w:left="1797" w:header="851" w:footer="992" w:gutter="0"/>
          <w:paperSrc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/>
    <w:tbl>
      <w:tblPr>
        <w:tblStyle w:val="5"/>
        <w:tblpPr w:leftFromText="180" w:rightFromText="180" w:vertAnchor="text" w:horzAnchor="page" w:tblpX="1880" w:tblpY="304"/>
        <w:tblOverlap w:val="never"/>
        <w:tblW w:w="2090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3"/>
        <w:gridCol w:w="4505"/>
        <w:gridCol w:w="5075"/>
        <w:gridCol w:w="6095"/>
        <w:gridCol w:w="364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090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Table S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Cs w:val="21"/>
              </w:rPr>
              <w:t>.</w:t>
            </w: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Cs w:val="21"/>
              </w:rPr>
              <w:t xml:space="preserve"> Summary of risk factors and outcome of three risk equations used in this external validation study.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583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Risk score</w:t>
            </w:r>
          </w:p>
        </w:tc>
        <w:tc>
          <w:tcPr>
            <w:tcW w:w="4505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Derivation cohorts</w:t>
            </w:r>
          </w:p>
        </w:tc>
        <w:tc>
          <w:tcPr>
            <w:tcW w:w="5075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Outcome</w:t>
            </w:r>
          </w:p>
        </w:tc>
        <w:tc>
          <w:tcPr>
            <w:tcW w:w="6095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Risk factors</w:t>
            </w:r>
          </w:p>
        </w:tc>
        <w:tc>
          <w:tcPr>
            <w:tcW w:w="3649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Internal validation C statistics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83" w:type="dxa"/>
            <w:vMerge w:val="restart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ASCVD Pooled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Cohort Risk Equations(PCE)</w:t>
            </w:r>
          </w:p>
        </w:tc>
        <w:tc>
          <w:tcPr>
            <w:tcW w:w="4505" w:type="dxa"/>
            <w:vMerge w:val="restart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bottom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Atherosclerosis Risk in Communities(ARIC)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Cardiovascular Health Study(CHS)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Coronary Artery Risk Development in Young Adults(CARDIA)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Framingham Original and Offspring cohort</w:t>
            </w:r>
          </w:p>
        </w:tc>
        <w:tc>
          <w:tcPr>
            <w:tcW w:w="5075" w:type="dxa"/>
            <w:vMerge w:val="restart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A first ASCVD event, defined as nonfatal myocardial infarction(MI) or coronary heart disease(CHD) death, or fatal or nonfatal stroke</w:t>
            </w:r>
          </w:p>
        </w:tc>
        <w:tc>
          <w:tcPr>
            <w:tcW w:w="6095" w:type="dxa"/>
            <w:vMerge w:val="restart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Age(40-79 years)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Sex(women/men)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Treated or untreated systolic blood pressure(mmHg)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Total cholesterol (mg/dL)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High-density lipoprotein cholesterol(mg/dL)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Current smoking(Yes/No)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Diabetes(Yes/No)</w:t>
            </w:r>
          </w:p>
        </w:tc>
        <w:tc>
          <w:tcPr>
            <w:tcW w:w="3649" w:type="dxa"/>
            <w:vMerge w:val="restart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White women:0.8040(0.025)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White men:0.7443(0.023)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African American women:0.8142(0.037)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African American men:0.7036(0.051)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83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50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507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609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3649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83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50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507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609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3649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83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50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507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609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3649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83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50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507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609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3649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83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50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507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609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3649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8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50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50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60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364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8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top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The China-PAR risk equation(PAR)</w:t>
            </w:r>
          </w:p>
        </w:tc>
        <w:tc>
          <w:tcPr>
            <w:tcW w:w="45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The International Collaborative Study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of Cardiovascular Disease in Asia(InterASIA)                           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The China Multi-Center Collaborative Study of Cardiovascular(China MUCA 1998)</w:t>
            </w:r>
          </w:p>
        </w:tc>
        <w:tc>
          <w:tcPr>
            <w:tcW w:w="50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top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ASCVD was defined as nonfatal acute MI or CHD death, or fatal or nonfatal stroke</w:t>
            </w:r>
          </w:p>
        </w:tc>
        <w:tc>
          <w:tcPr>
            <w:tcW w:w="609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Age(35-74 years)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Sex(women/men)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Waist circumference (cm)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Treated or untreated systolic blood pressure(mmHg)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Total cholesterol (mg/dL)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High-density lipoprotein cholesterol(mg/dL)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Current smoking(Yes/No)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Diabetes(Yes/No)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Geographic region(Northern China/southern China)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Urbanization(Urban/Rural)</w:t>
            </w:r>
            <w:r>
              <w:rPr>
                <w:rFonts w:hint="eastAsia" w:ascii="Times New Roman" w:hAnsi="Times New Roman" w:cs="Times New Roman"/>
                <w:color w:val="C00000"/>
                <w:kern w:val="0"/>
                <w:szCs w:val="21"/>
                <w:vertAlign w:val="superscript"/>
                <w:lang w:val="en-US" w:eastAsia="zh-CN"/>
              </w:rPr>
              <w:t>*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Family History of ASCVD(Yes/No)</w:t>
            </w:r>
            <w:r>
              <w:rPr>
                <w:rFonts w:hint="eastAsia" w:ascii="Times New Roman" w:hAnsi="Times New Roman" w:cs="Times New Roman"/>
                <w:color w:val="C00000"/>
                <w:kern w:val="0"/>
                <w:szCs w:val="21"/>
                <w:vertAlign w:val="superscript"/>
                <w:lang w:val="en-US" w:eastAsia="zh-CN"/>
              </w:rPr>
              <w:t>*</w:t>
            </w:r>
          </w:p>
        </w:tc>
        <w:tc>
          <w:tcPr>
            <w:tcW w:w="364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Men:0.794(0.775,0.814)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Women:0.811(0.787,0.835)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8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50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50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60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364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8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50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50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60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364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8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50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50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60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364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8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50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50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60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364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8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50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50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60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364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8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50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50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60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364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8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50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50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60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364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8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50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50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60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364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8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50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50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60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364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58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450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50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609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  <w:tc>
          <w:tcPr>
            <w:tcW w:w="364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0" w:hRule="atLeast"/>
        </w:trPr>
        <w:tc>
          <w:tcPr>
            <w:tcW w:w="1583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Framingham Risk Score 2008 (FRS)</w:t>
            </w:r>
          </w:p>
        </w:tc>
        <w:tc>
          <w:tcPr>
            <w:tcW w:w="450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The original Framingham Heart Study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The Framingham Offspring Study</w:t>
            </w:r>
          </w:p>
        </w:tc>
        <w:tc>
          <w:tcPr>
            <w:tcW w:w="507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CVD was defined as a composite of CHD (coronary death, myocardial infarction, coronary insufficiency, and angina), cerebrovascular events (including ischemic stroke, hemorrhagic st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r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oke, and transient ischemic attack), peripheral artery disease (intermittent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claudication), and heart failure.</w:t>
            </w:r>
          </w:p>
        </w:tc>
        <w:tc>
          <w:tcPr>
            <w:tcW w:w="6095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Age(40-79 years)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Sex(women/men)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Treated or untreated systolic blood pressure(mmHg)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Total cholesterol (mg/dL)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High-density lipoprotein cholesterol(mg/dL)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Current smoking(Yes/No)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Diabetes(Yes/No)</w:t>
            </w:r>
          </w:p>
        </w:tc>
        <w:tc>
          <w:tcPr>
            <w:tcW w:w="3649" w:type="dxa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Men:0.763(0.746,0.780)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Women:0.793(0.772,0.814)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0907" w:type="dxa"/>
            <w:gridSpan w:val="5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bookmarkStart w:id="0" w:name="OLE_LINK3"/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Abbreviations:</w:t>
            </w:r>
            <w:bookmarkEnd w:id="0"/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 CVD, Cardiovascular Disease; ASCVD, Atherosclerotic Cardiovascular Disease; CHD, Coronary Heart Disease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vertAlign w:val="superscript"/>
                <w:lang w:val="en-US" w:eastAsia="zh-CN"/>
              </w:rPr>
              <w:t xml:space="preserve">*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vertAlign w:val="baseline"/>
                <w:lang w:val="en-US" w:eastAsia="zh-CN"/>
              </w:rPr>
              <w:t>These risk factors were not included in the PAR model for women.</w:t>
            </w:r>
          </w:p>
        </w:tc>
      </w:tr>
    </w:tbl>
    <w:p>
      <w:pPr>
        <w:widowControl/>
        <w:jc w:val="left"/>
        <w:sectPr>
          <w:pgSz w:w="24956" w:h="16783" w:orient="landscape"/>
          <w:pgMar w:top="1797" w:right="1797" w:bottom="1797" w:left="1797" w:header="851" w:footer="992" w:gutter="0"/>
          <w:paperSrc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tbl>
      <w:tblPr>
        <w:tblStyle w:val="5"/>
        <w:tblW w:w="5000" w:type="pct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0"/>
        <w:gridCol w:w="563"/>
        <w:gridCol w:w="1010"/>
        <w:gridCol w:w="240"/>
        <w:gridCol w:w="1525"/>
        <w:gridCol w:w="240"/>
        <w:gridCol w:w="1436"/>
        <w:gridCol w:w="591"/>
        <w:gridCol w:w="1178"/>
        <w:gridCol w:w="240"/>
        <w:gridCol w:w="1626"/>
        <w:gridCol w:w="216"/>
        <w:gridCol w:w="1596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000" w:type="pct"/>
            <w:gridSpan w:val="13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. Net benefit analysis for preventing ASCVD at different thresholds of Pt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after recalibration.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37" w:type="pct"/>
            <w:vMerge w:val="restart"/>
            <w:tcBorders>
              <w:top w:val="nil"/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Risk equations</w:t>
            </w:r>
          </w:p>
        </w:tc>
        <w:tc>
          <w:tcPr>
            <w:tcW w:w="240" w:type="pct"/>
            <w:vMerge w:val="restart"/>
            <w:tcBorders>
              <w:top w:val="nil"/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Pt (%)</w:t>
            </w:r>
          </w:p>
        </w:tc>
        <w:tc>
          <w:tcPr>
            <w:tcW w:w="1898" w:type="pct"/>
            <w:gridSpan w:val="5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Women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71" w:type="pct"/>
            <w:gridSpan w:val="5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Men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37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0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83" w:type="pct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Net Benefit</w:t>
            </w:r>
          </w:p>
        </w:tc>
        <w:tc>
          <w:tcPr>
            <w:tcW w:w="102" w:type="pct"/>
            <w:vMerge w:val="restart"/>
            <w:tcBorders>
              <w:top w:val="single" w:color="000000" w:sz="8" w:space="0"/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2" w:type="pct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Net Benefit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252" w:type="pct"/>
            <w:vMerge w:val="restart"/>
            <w:tcBorders>
              <w:top w:val="nil"/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98" w:type="pct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Net Benefit</w:t>
            </w:r>
          </w:p>
        </w:tc>
        <w:tc>
          <w:tcPr>
            <w:tcW w:w="92" w:type="pct"/>
            <w:vMerge w:val="restart"/>
            <w:tcBorders>
              <w:top w:val="single" w:color="000000" w:sz="8" w:space="0"/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0" w:type="pct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Net Benefit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a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537" w:type="pct"/>
            <w:vMerge w:val="continue"/>
            <w:tcBorders>
              <w:left w:val="nil"/>
              <w:bottom w:val="single" w:color="000000" w:sz="8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0" w:type="pct"/>
            <w:vMerge w:val="continue"/>
            <w:tcBorders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Treat all</w:t>
            </w:r>
          </w:p>
        </w:tc>
        <w:tc>
          <w:tcPr>
            <w:tcW w:w="102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Prediction model</w:t>
            </w:r>
          </w:p>
        </w:tc>
        <w:tc>
          <w:tcPr>
            <w:tcW w:w="102" w:type="pct"/>
            <w:vMerge w:val="continue"/>
            <w:tcBorders>
              <w:left w:val="nil"/>
              <w:bottom w:val="single" w:color="000000" w:sz="8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2" w:type="pct"/>
            <w:vMerge w:val="continue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2" w:type="pct"/>
            <w:vMerge w:val="continue"/>
            <w:tcBorders>
              <w:left w:val="nil"/>
              <w:bottom w:val="single" w:color="auto" w:sz="8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02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Treat all</w:t>
            </w:r>
          </w:p>
        </w:tc>
        <w:tc>
          <w:tcPr>
            <w:tcW w:w="102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3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Prediction model</w:t>
            </w:r>
          </w:p>
        </w:tc>
        <w:tc>
          <w:tcPr>
            <w:tcW w:w="92" w:type="pct"/>
            <w:vMerge w:val="continue"/>
            <w:tcBorders>
              <w:left w:val="nil"/>
              <w:bottom w:val="single" w:color="000000" w:sz="8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0" w:type="pct"/>
            <w:vMerge w:val="continue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3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PCE</w:t>
            </w:r>
          </w:p>
        </w:tc>
        <w:tc>
          <w:tcPr>
            <w:tcW w:w="24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0.035 </w:t>
            </w:r>
          </w:p>
        </w:tc>
        <w:tc>
          <w:tcPr>
            <w:tcW w:w="102" w:type="pct"/>
            <w:vMerge w:val="restart"/>
            <w:tcBorders>
              <w:top w:val="nil"/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0.046 </w:t>
            </w:r>
          </w:p>
        </w:tc>
        <w:tc>
          <w:tcPr>
            <w:tcW w:w="102" w:type="pct"/>
            <w:vMerge w:val="restart"/>
            <w:tcBorders>
              <w:top w:val="nil"/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252" w:type="pct"/>
            <w:vMerge w:val="restart"/>
            <w:tcBorders>
              <w:top w:val="single" w:color="auto" w:sz="8" w:space="0"/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0.068 </w:t>
            </w:r>
          </w:p>
        </w:tc>
        <w:tc>
          <w:tcPr>
            <w:tcW w:w="102" w:type="pct"/>
            <w:vMerge w:val="restart"/>
            <w:tcBorders>
              <w:top w:val="nil"/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0.074 </w:t>
            </w:r>
          </w:p>
        </w:tc>
        <w:tc>
          <w:tcPr>
            <w:tcW w:w="92" w:type="pct"/>
            <w:vMerge w:val="restart"/>
            <w:tcBorders>
              <w:top w:val="nil"/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0.007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3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-0.019 </w:t>
            </w:r>
          </w:p>
        </w:tc>
        <w:tc>
          <w:tcPr>
            <w:tcW w:w="10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0.024 </w:t>
            </w:r>
          </w:p>
        </w:tc>
        <w:tc>
          <w:tcPr>
            <w:tcW w:w="10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0.043 </w:t>
            </w:r>
          </w:p>
        </w:tc>
        <w:tc>
          <w:tcPr>
            <w:tcW w:w="25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0.043 </w:t>
            </w:r>
          </w:p>
        </w:tc>
        <w:tc>
          <w:tcPr>
            <w:tcW w:w="10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0.057 </w:t>
            </w:r>
          </w:p>
        </w:tc>
        <w:tc>
          <w:tcPr>
            <w:tcW w:w="9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0.014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3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-0.146 </w:t>
            </w:r>
          </w:p>
        </w:tc>
        <w:tc>
          <w:tcPr>
            <w:tcW w:w="10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-0.001 </w:t>
            </w:r>
          </w:p>
        </w:tc>
        <w:tc>
          <w:tcPr>
            <w:tcW w:w="10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0.145 </w:t>
            </w:r>
          </w:p>
        </w:tc>
        <w:tc>
          <w:tcPr>
            <w:tcW w:w="25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-0.010 </w:t>
            </w:r>
          </w:p>
        </w:tc>
        <w:tc>
          <w:tcPr>
            <w:tcW w:w="10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0.035 </w:t>
            </w:r>
          </w:p>
        </w:tc>
        <w:tc>
          <w:tcPr>
            <w:tcW w:w="9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0.046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5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3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PAR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0.035 </w:t>
            </w:r>
          </w:p>
        </w:tc>
        <w:tc>
          <w:tcPr>
            <w:tcW w:w="10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0.046 </w:t>
            </w:r>
          </w:p>
        </w:tc>
        <w:tc>
          <w:tcPr>
            <w:tcW w:w="10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25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0.068 </w:t>
            </w:r>
          </w:p>
        </w:tc>
        <w:tc>
          <w:tcPr>
            <w:tcW w:w="10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0.075 </w:t>
            </w:r>
          </w:p>
        </w:tc>
        <w:tc>
          <w:tcPr>
            <w:tcW w:w="9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0.008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37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-0.019 </w:t>
            </w:r>
          </w:p>
        </w:tc>
        <w:tc>
          <w:tcPr>
            <w:tcW w:w="10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0.023 </w:t>
            </w:r>
          </w:p>
        </w:tc>
        <w:tc>
          <w:tcPr>
            <w:tcW w:w="10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0.042 </w:t>
            </w:r>
          </w:p>
        </w:tc>
        <w:tc>
          <w:tcPr>
            <w:tcW w:w="25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0.043 </w:t>
            </w:r>
          </w:p>
        </w:tc>
        <w:tc>
          <w:tcPr>
            <w:tcW w:w="10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0.053 </w:t>
            </w:r>
          </w:p>
        </w:tc>
        <w:tc>
          <w:tcPr>
            <w:tcW w:w="92" w:type="pct"/>
            <w:vMerge w:val="continue"/>
            <w:tcBorders>
              <w:left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0.010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37" w:type="pct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-0.146 </w:t>
            </w:r>
          </w:p>
        </w:tc>
        <w:tc>
          <w:tcPr>
            <w:tcW w:w="102" w:type="pct"/>
            <w:vMerge w:val="continue"/>
            <w:tcBorders>
              <w:left w:val="nil"/>
              <w:bottom w:val="single" w:color="auto" w:sz="12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0.002 </w:t>
            </w:r>
          </w:p>
        </w:tc>
        <w:tc>
          <w:tcPr>
            <w:tcW w:w="102" w:type="pct"/>
            <w:vMerge w:val="continue"/>
            <w:tcBorders>
              <w:left w:val="nil"/>
              <w:bottom w:val="single" w:color="auto" w:sz="12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0.149 </w:t>
            </w:r>
          </w:p>
        </w:tc>
        <w:tc>
          <w:tcPr>
            <w:tcW w:w="252" w:type="pct"/>
            <w:vMerge w:val="continue"/>
            <w:tcBorders>
              <w:left w:val="nil"/>
              <w:bottom w:val="single" w:color="auto" w:sz="12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-0.010 </w:t>
            </w:r>
          </w:p>
        </w:tc>
        <w:tc>
          <w:tcPr>
            <w:tcW w:w="102" w:type="pct"/>
            <w:vMerge w:val="continue"/>
            <w:tcBorders>
              <w:left w:val="nil"/>
              <w:bottom w:val="single" w:color="auto" w:sz="12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0.036 </w:t>
            </w:r>
          </w:p>
        </w:tc>
        <w:tc>
          <w:tcPr>
            <w:tcW w:w="92" w:type="pct"/>
            <w:vMerge w:val="continue"/>
            <w:tcBorders>
              <w:left w:val="nil"/>
              <w:bottom w:val="single" w:color="auto" w:sz="12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FFFFFF" w:themeColor="background1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0.046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Abbreviations: PCE, Pooled Cohort Risk Equations; PAR, China-PAR risk equation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Pt: threshold probability in %;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 xml:space="preserve">a </w:t>
            </w:r>
            <w:r>
              <w:rPr>
                <w:rStyle w:val="18"/>
                <w:rFonts w:hint="default" w:ascii="Times New Roman" w:hAnsi="Times New Roman" w:eastAsia="宋体" w:cs="Times New Roman"/>
                <w:color w:val="auto"/>
                <w:lang w:val="en-US" w:eastAsia="zh-CN" w:bidi="ar"/>
              </w:rPr>
              <w:t>Net benefit of using risk equations compared with treating all subjects</w:t>
            </w:r>
          </w:p>
        </w:tc>
      </w:tr>
    </w:tbl>
    <w:p>
      <w:pPr>
        <w:widowControl/>
        <w:jc w:val="left"/>
        <w:sectPr>
          <w:pgSz w:w="15307" w:h="15307"/>
          <w:pgMar w:top="1803" w:right="1803" w:bottom="1803" w:left="1803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>
      <w:pPr>
        <w:widowControl/>
        <w:jc w:val="left"/>
      </w:pPr>
    </w:p>
    <w:tbl>
      <w:tblPr>
        <w:tblStyle w:val="5"/>
        <w:tblW w:w="4755" w:type="pct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6"/>
        <w:gridCol w:w="645"/>
        <w:gridCol w:w="979"/>
        <w:gridCol w:w="240"/>
        <w:gridCol w:w="1469"/>
        <w:gridCol w:w="240"/>
        <w:gridCol w:w="1372"/>
        <w:gridCol w:w="637"/>
        <w:gridCol w:w="851"/>
        <w:gridCol w:w="240"/>
        <w:gridCol w:w="1527"/>
        <w:gridCol w:w="240"/>
        <w:gridCol w:w="1351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5000" w:type="pct"/>
            <w:gridSpan w:val="13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19"/>
                <w:rFonts w:eastAsia="宋体"/>
                <w:color w:val="auto"/>
                <w:lang w:val="en-US" w:eastAsia="zh-CN" w:bidi="ar"/>
              </w:rPr>
              <w:t xml:space="preserve">Table </w:t>
            </w:r>
            <w:r>
              <w:rPr>
                <w:rStyle w:val="19"/>
                <w:rFonts w:hint="eastAsia" w:eastAsia="宋体"/>
                <w:color w:val="auto"/>
                <w:lang w:val="en-US" w:eastAsia="zh-CN" w:bidi="ar"/>
              </w:rPr>
              <w:t>S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Style w:val="19"/>
                <w:rFonts w:eastAsia="宋体"/>
                <w:color w:val="auto"/>
                <w:lang w:val="en-US" w:eastAsia="zh-CN" w:bidi="ar"/>
              </w:rPr>
              <w:t xml:space="preserve">. Net benefit analysis for preventing ASCVD at different thresholds of Pt before 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recalibration</w:t>
            </w:r>
            <w:r>
              <w:rPr>
                <w:rStyle w:val="19"/>
                <w:rFonts w:eastAsia="宋体"/>
                <w:color w:val="auto"/>
                <w:lang w:val="en-US" w:eastAsia="zh-CN" w:bidi="ar"/>
              </w:rPr>
              <w:t>.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60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Risk equations</w:t>
            </w:r>
          </w:p>
        </w:tc>
        <w:tc>
          <w:tcPr>
            <w:tcW w:w="289" w:type="pct"/>
            <w:vMerge w:val="restart"/>
            <w:tcBorders>
              <w:top w:val="single" w:color="000000" w:sz="12" w:space="0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Pt (%)</w:t>
            </w:r>
          </w:p>
        </w:tc>
        <w:tc>
          <w:tcPr>
            <w:tcW w:w="1928" w:type="pct"/>
            <w:gridSpan w:val="5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Women</w:t>
            </w:r>
          </w:p>
        </w:tc>
        <w:tc>
          <w:tcPr>
            <w:tcW w:w="285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87" w:type="pct"/>
            <w:gridSpan w:val="5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Men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60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89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05" w:type="pct"/>
            <w:gridSpan w:val="3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Net Benefit</w:t>
            </w:r>
          </w:p>
        </w:tc>
        <w:tc>
          <w:tcPr>
            <w:tcW w:w="107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Net Benefit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285" w:type="pct"/>
            <w:vMerge w:val="restart"/>
            <w:tcBorders>
              <w:top w:val="single" w:color="000000" w:sz="8" w:space="0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74" w:type="pct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Net Benefit</w:t>
            </w:r>
          </w:p>
        </w:tc>
        <w:tc>
          <w:tcPr>
            <w:tcW w:w="107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05" w:type="pct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Net Benefit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608" w:type="pct"/>
            <w:vMerge w:val="continue"/>
            <w:tcBorders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89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Treat all</w:t>
            </w:r>
          </w:p>
        </w:tc>
        <w:tc>
          <w:tcPr>
            <w:tcW w:w="10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8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Prediction model</w:t>
            </w:r>
          </w:p>
        </w:tc>
        <w:tc>
          <w:tcPr>
            <w:tcW w:w="107" w:type="pct"/>
            <w:vMerge w:val="continue"/>
            <w:tcBorders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5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85" w:type="pct"/>
            <w:vMerge w:val="continue"/>
            <w:tcBorders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Treat all</w:t>
            </w:r>
          </w:p>
        </w:tc>
        <w:tc>
          <w:tcPr>
            <w:tcW w:w="107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Prediction model</w:t>
            </w:r>
          </w:p>
        </w:tc>
        <w:tc>
          <w:tcPr>
            <w:tcW w:w="10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05" w:type="pct"/>
            <w:vMerge w:val="continue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60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PCE</w:t>
            </w:r>
          </w:p>
        </w:tc>
        <w:tc>
          <w:tcPr>
            <w:tcW w:w="28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0.057 </w:t>
            </w:r>
          </w:p>
        </w:tc>
        <w:tc>
          <w:tcPr>
            <w:tcW w:w="107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0.054 </w:t>
            </w:r>
          </w:p>
        </w:tc>
        <w:tc>
          <w:tcPr>
            <w:tcW w:w="107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5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-0.004 </w:t>
            </w:r>
          </w:p>
        </w:tc>
        <w:tc>
          <w:tcPr>
            <w:tcW w:w="28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0.068 </w:t>
            </w:r>
          </w:p>
        </w:tc>
        <w:tc>
          <w:tcPr>
            <w:tcW w:w="107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0.074 </w:t>
            </w:r>
          </w:p>
        </w:tc>
        <w:tc>
          <w:tcPr>
            <w:tcW w:w="107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05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0.006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60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0.033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0.033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285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0.043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0.048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0.005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60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-0.021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0.012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0.033 </w:t>
            </w:r>
          </w:p>
        </w:tc>
        <w:tc>
          <w:tcPr>
            <w:tcW w:w="285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-0.010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0.017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0.027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85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60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PAR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0.057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0.058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0.001 </w:t>
            </w:r>
          </w:p>
        </w:tc>
        <w:tc>
          <w:tcPr>
            <w:tcW w:w="285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0.068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0.075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0.007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60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0.033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0.032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-0.001 </w:t>
            </w:r>
          </w:p>
        </w:tc>
        <w:tc>
          <w:tcPr>
            <w:tcW w:w="285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0.043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0.053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60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-0.021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0.013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0.034 </w:t>
            </w:r>
          </w:p>
        </w:tc>
        <w:tc>
          <w:tcPr>
            <w:tcW w:w="285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-0.010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0.035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0.045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85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608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FRS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0.057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0.057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285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0.068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0.074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0.006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60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0.033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0.037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0.004 </w:t>
            </w:r>
          </w:p>
        </w:tc>
        <w:tc>
          <w:tcPr>
            <w:tcW w:w="285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0.043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0.058 </w:t>
            </w:r>
          </w:p>
        </w:tc>
        <w:tc>
          <w:tcPr>
            <w:tcW w:w="107" w:type="pct"/>
            <w:vMerge w:val="continue"/>
            <w:tcBorders>
              <w:left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0.015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608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-0.021 </w:t>
            </w:r>
          </w:p>
        </w:tc>
        <w:tc>
          <w:tcPr>
            <w:tcW w:w="107" w:type="pct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0.015 </w:t>
            </w:r>
          </w:p>
        </w:tc>
        <w:tc>
          <w:tcPr>
            <w:tcW w:w="107" w:type="pct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0.036 </w:t>
            </w:r>
          </w:p>
        </w:tc>
        <w:tc>
          <w:tcPr>
            <w:tcW w:w="285" w:type="pct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-0.010 </w:t>
            </w:r>
          </w:p>
        </w:tc>
        <w:tc>
          <w:tcPr>
            <w:tcW w:w="107" w:type="pct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0.037 </w:t>
            </w:r>
          </w:p>
        </w:tc>
        <w:tc>
          <w:tcPr>
            <w:tcW w:w="107" w:type="pct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0.047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000" w:type="pct"/>
            <w:gridSpan w:val="13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Abbreviations: PCE, Pooled Cohort Risk Equations; PAR, China-PAR risk equation; FRS, Framingham Risk Score 2008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Pt: threshold probability in %;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 xml:space="preserve">a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Net benefit of using risk equations compared with treating all subjects</w:t>
            </w:r>
          </w:p>
        </w:tc>
      </w:tr>
    </w:tbl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  <w:sectPr>
          <w:pgSz w:w="15307" w:h="15307"/>
          <w:pgMar w:top="1803" w:right="1803" w:bottom="1803" w:left="1803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tbl>
      <w:tblPr>
        <w:tblStyle w:val="5"/>
        <w:tblW w:w="4996" w:type="pct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87"/>
        <w:gridCol w:w="1059"/>
        <w:gridCol w:w="1006"/>
        <w:gridCol w:w="260"/>
        <w:gridCol w:w="951"/>
        <w:gridCol w:w="907"/>
        <w:gridCol w:w="260"/>
        <w:gridCol w:w="968"/>
        <w:gridCol w:w="845"/>
        <w:gridCol w:w="260"/>
        <w:gridCol w:w="1203"/>
        <w:gridCol w:w="110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Table S5. Comparisons of b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aseline 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haracteristics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between three risk equations and the study population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color w:val="FF0000"/>
                <w:sz w:val="20"/>
                <w:szCs w:val="20"/>
                <w:u w:val="none"/>
                <w:lang w:val="en-US" w:eastAsia="zh-CN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232" w:type="pct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Baseline Characteristics</w:t>
            </w:r>
          </w:p>
        </w:tc>
        <w:tc>
          <w:tcPr>
            <w:tcW w:w="3767" w:type="pct"/>
            <w:gridSpan w:val="11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Population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232" w:type="pct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81" w:type="pct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PCE</w:t>
            </w:r>
          </w:p>
        </w:tc>
        <w:tc>
          <w:tcPr>
            <w:tcW w:w="111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FRS</w:t>
            </w:r>
          </w:p>
        </w:tc>
        <w:tc>
          <w:tcPr>
            <w:tcW w:w="111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74" w:type="pct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PAR</w:t>
            </w:r>
          </w:p>
        </w:tc>
        <w:tc>
          <w:tcPr>
            <w:tcW w:w="111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85" w:type="pct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Validation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population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000" w:type="pct"/>
            <w:gridSpan w:val="1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Women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Age (yrs)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56.8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15" w:rightChars="7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49.1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11.1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48.4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9.2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51.1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8.9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Total Cholesterol (mg/dl)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220.5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41.9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15" w:rightChars="7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215.1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44.1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188.2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38.3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184.9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33.5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HDL Cholesterol (mg/dL)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58.2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16.4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15" w:rightChars="7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57.6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15.3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53.4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12.8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50.9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11.8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Untreated SBP (mmHg)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121.1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19.2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15" w:rightChars="7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125.8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20.0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122.5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20.6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131.3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23.1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Treated SBP (mmHg)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136.9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20.8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15" w:rightChars="7"/>
              <w:jc w:val="righ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Waist Ciecumference(cm)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15" w:rightChars="7"/>
              <w:jc w:val="righ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76.5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9.7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84.3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10.7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BP Meds (%)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15" w:rightChars="7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11.76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13.9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Current Smoker (%)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24.9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15" w:rightChars="7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34.23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12.9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Diabetes (%)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15" w:rightChars="7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3.76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 xml:space="preserve"> 5.1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23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Family History of ASCVD</w:t>
            </w:r>
          </w:p>
        </w:tc>
        <w:tc>
          <w:tcPr>
            <w:tcW w:w="45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15" w:rightChars="7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13.0</w:t>
            </w:r>
          </w:p>
        </w:tc>
        <w:tc>
          <w:tcPr>
            <w:tcW w:w="36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7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5000" w:type="pct"/>
            <w:gridSpan w:val="12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5000" w:type="pct"/>
            <w:gridSpan w:val="1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lef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Men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Age (yrs)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51.6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9.1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15" w:rightChars="7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48.5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10.8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48.8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9.4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53.8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9.4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Total Cholesterol (mg/dl)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193.4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38.3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15" w:rightChars="7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212.5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39.3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186.6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37.6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183.4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33.3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HDL Cholesterol (mg/dL)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40.7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15" w:rightChars="7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44.9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12.2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50.4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13.9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49.1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9.8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Untreated SBP (mmHg)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113.8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15" w:rightChars="7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129.7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17.6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124.8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.0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134.3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22.6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Treated SBP (mmHg)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124.9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20.4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15" w:rightChars="7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Waist Ciecumference(cm)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15" w:rightChars="7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80.1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10.0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87.0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10.2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BP Med</w:t>
            </w: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ication</w:t>
            </w:r>
            <w:bookmarkStart w:id="1" w:name="_GoBack"/>
            <w:bookmarkEnd w:id="1"/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s (%)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15" w:rightChars="7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10.13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Current Smoker (%)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23.4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15" w:rightChars="7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35.22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60.7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41.9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Diabetes (%)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15" w:rightChars="7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 xml:space="preserve"> 5.1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23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Family History of ASCVD</w:t>
            </w:r>
          </w:p>
        </w:tc>
        <w:tc>
          <w:tcPr>
            <w:tcW w:w="45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15" w:rightChars="7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13.4</w:t>
            </w:r>
          </w:p>
        </w:tc>
        <w:tc>
          <w:tcPr>
            <w:tcW w:w="36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05" w:rightChars="-5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3.18</w:t>
            </w:r>
          </w:p>
        </w:tc>
        <w:tc>
          <w:tcPr>
            <w:tcW w:w="47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-105" w:rightChars="-50"/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5000" w:type="pct"/>
            <w:gridSpan w:val="1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-105" w:rightChars="-50"/>
              <w:jc w:val="left"/>
              <w:rPr>
                <w:rFonts w:hint="default" w:ascii="Times New Roman" w:hAnsi="Times New Roman" w:eastAsia="宋体" w:cs="Times New Roman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Abbreviations: SD, Standard Deviation; SBP, systolic blood pressure; DBP, diastolic blood pressure; HDL-C,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high density lipoprotein cholesterol; ASCVD, Atherosclerotic Cardiovascular Disease; PCE, Pooled Cohort Risk Equations; PAR, China-PAR risk equation; FRS, Framingham Risk Score 2008</w:t>
            </w:r>
          </w:p>
        </w:tc>
      </w:tr>
    </w:tbl>
    <w:p>
      <w:pPr>
        <w:rPr>
          <w:rFonts w:hint="eastAsia"/>
        </w:rPr>
        <w:sectPr>
          <w:pgSz w:w="15307" w:h="15307"/>
          <w:pgMar w:top="1803" w:right="1803" w:bottom="1803" w:left="1803" w:header="851" w:footer="992" w:gutter="0"/>
          <w:paperSrc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2" w:charSpace="0"/>
        </w:sectPr>
      </w:pPr>
    </w:p>
    <w:p>
      <w:pPr>
        <w:rPr>
          <w:rFonts w:hint="eastAsia"/>
        </w:rPr>
      </w:pPr>
    </w:p>
    <w:sectPr>
      <w:pgSz w:w="22677" w:h="15876" w:orient="landscape"/>
      <w:pgMar w:top="1803" w:right="1803" w:bottom="1803" w:left="1803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E07AF7"/>
    <w:rsid w:val="00016F5C"/>
    <w:rsid w:val="00031C99"/>
    <w:rsid w:val="00031F0C"/>
    <w:rsid w:val="00041485"/>
    <w:rsid w:val="000570C5"/>
    <w:rsid w:val="000E3262"/>
    <w:rsid w:val="002147AE"/>
    <w:rsid w:val="002663F8"/>
    <w:rsid w:val="002E0F43"/>
    <w:rsid w:val="003010A4"/>
    <w:rsid w:val="003C32C4"/>
    <w:rsid w:val="00440C42"/>
    <w:rsid w:val="00466905"/>
    <w:rsid w:val="0046767D"/>
    <w:rsid w:val="0047544C"/>
    <w:rsid w:val="00532E62"/>
    <w:rsid w:val="0058655B"/>
    <w:rsid w:val="00617A88"/>
    <w:rsid w:val="00635CC5"/>
    <w:rsid w:val="00641764"/>
    <w:rsid w:val="006A0080"/>
    <w:rsid w:val="008214AD"/>
    <w:rsid w:val="00852A69"/>
    <w:rsid w:val="00857DFE"/>
    <w:rsid w:val="008B00A5"/>
    <w:rsid w:val="009464BF"/>
    <w:rsid w:val="00981B54"/>
    <w:rsid w:val="00996D77"/>
    <w:rsid w:val="009A2017"/>
    <w:rsid w:val="009A7A34"/>
    <w:rsid w:val="009B0FA9"/>
    <w:rsid w:val="009E18E6"/>
    <w:rsid w:val="00A47CA0"/>
    <w:rsid w:val="00AF5B28"/>
    <w:rsid w:val="00B41494"/>
    <w:rsid w:val="00C3426B"/>
    <w:rsid w:val="00C43053"/>
    <w:rsid w:val="00C61B8F"/>
    <w:rsid w:val="00C61DBC"/>
    <w:rsid w:val="00C95741"/>
    <w:rsid w:val="00D305CC"/>
    <w:rsid w:val="00D53AC1"/>
    <w:rsid w:val="00D854E6"/>
    <w:rsid w:val="00DA6A1C"/>
    <w:rsid w:val="00E07AF7"/>
    <w:rsid w:val="00E75D92"/>
    <w:rsid w:val="00EB201D"/>
    <w:rsid w:val="00EB431D"/>
    <w:rsid w:val="00F43A41"/>
    <w:rsid w:val="00F676CF"/>
    <w:rsid w:val="00FF1330"/>
    <w:rsid w:val="00FF15F7"/>
    <w:rsid w:val="016B0860"/>
    <w:rsid w:val="07E64735"/>
    <w:rsid w:val="0C084C60"/>
    <w:rsid w:val="0D8E33BF"/>
    <w:rsid w:val="104C3BFC"/>
    <w:rsid w:val="1BFC4E5F"/>
    <w:rsid w:val="21F01862"/>
    <w:rsid w:val="28446FA0"/>
    <w:rsid w:val="2A4F441D"/>
    <w:rsid w:val="32AE03C2"/>
    <w:rsid w:val="33060FBE"/>
    <w:rsid w:val="3C3077E0"/>
    <w:rsid w:val="3E16449D"/>
    <w:rsid w:val="3F6F3B20"/>
    <w:rsid w:val="3F986D2C"/>
    <w:rsid w:val="3FB72554"/>
    <w:rsid w:val="410C1802"/>
    <w:rsid w:val="43951125"/>
    <w:rsid w:val="486A20D8"/>
    <w:rsid w:val="4A533AE8"/>
    <w:rsid w:val="4B1A4305"/>
    <w:rsid w:val="4D783C3E"/>
    <w:rsid w:val="509A2F47"/>
    <w:rsid w:val="51A61135"/>
    <w:rsid w:val="54877FF0"/>
    <w:rsid w:val="56586B60"/>
    <w:rsid w:val="56A727B0"/>
    <w:rsid w:val="57F80CE1"/>
    <w:rsid w:val="59CA1ADC"/>
    <w:rsid w:val="5CDD3E7D"/>
    <w:rsid w:val="5D74086E"/>
    <w:rsid w:val="5FCB68F8"/>
    <w:rsid w:val="6252373D"/>
    <w:rsid w:val="63A46550"/>
    <w:rsid w:val="65522364"/>
    <w:rsid w:val="66E77917"/>
    <w:rsid w:val="6AF947C1"/>
    <w:rsid w:val="6BB116A8"/>
    <w:rsid w:val="6BBF474F"/>
    <w:rsid w:val="6C686D22"/>
    <w:rsid w:val="6F16312D"/>
    <w:rsid w:val="703B5E6A"/>
    <w:rsid w:val="73996E41"/>
    <w:rsid w:val="7525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font21"/>
    <w:basedOn w:val="7"/>
    <w:qFormat/>
    <w:uiPriority w:val="0"/>
    <w:rPr>
      <w:rFonts w:hint="default" w:ascii="Times New Roman" w:hAnsi="Times New Roman" w:cs="Times New Roman"/>
      <w:b/>
      <w:color w:val="000000"/>
      <w:sz w:val="21"/>
      <w:szCs w:val="21"/>
      <w:u w:val="none"/>
    </w:rPr>
  </w:style>
  <w:style w:type="character" w:customStyle="1" w:styleId="12">
    <w:name w:val="font31"/>
    <w:basedOn w:val="7"/>
    <w:qFormat/>
    <w:uiPriority w:val="0"/>
    <w:rPr>
      <w:rFonts w:hint="eastAsia" w:ascii="宋体" w:hAnsi="宋体" w:eastAsia="宋体" w:cs="宋体"/>
      <w:b/>
      <w:color w:val="000000"/>
      <w:sz w:val="21"/>
      <w:szCs w:val="21"/>
      <w:u w:val="none"/>
    </w:rPr>
  </w:style>
  <w:style w:type="character" w:customStyle="1" w:styleId="13">
    <w:name w:val="font4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4">
    <w:name w:val="font51"/>
    <w:basedOn w:val="7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5">
    <w:name w:val="font11"/>
    <w:basedOn w:val="7"/>
    <w:qFormat/>
    <w:uiPriority w:val="0"/>
    <w:rPr>
      <w:rFonts w:hint="eastAsia" w:ascii="宋体" w:hAnsi="宋体" w:eastAsia="宋体" w:cs="宋体"/>
      <w:b/>
      <w:color w:val="000000"/>
      <w:sz w:val="21"/>
      <w:szCs w:val="21"/>
      <w:u w:val="none"/>
    </w:rPr>
  </w:style>
  <w:style w:type="character" w:customStyle="1" w:styleId="16">
    <w:name w:val="font61"/>
    <w:basedOn w:val="7"/>
    <w:qFormat/>
    <w:uiPriority w:val="0"/>
    <w:rPr>
      <w:rFonts w:hint="default" w:ascii="Times New Roman" w:hAnsi="Times New Roman" w:cs="Times New Roman"/>
      <w:b/>
      <w:color w:val="000000"/>
      <w:sz w:val="21"/>
      <w:szCs w:val="21"/>
      <w:u w:val="none"/>
    </w:rPr>
  </w:style>
  <w:style w:type="character" w:customStyle="1" w:styleId="17">
    <w:name w:val="font7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8">
    <w:name w:val="font81"/>
    <w:basedOn w:val="7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9">
    <w:name w:val="font01"/>
    <w:basedOn w:val="7"/>
    <w:qFormat/>
    <w:uiPriority w:val="0"/>
    <w:rPr>
      <w:rFonts w:hint="default" w:ascii="Times New Roman" w:hAnsi="Times New Roman" w:cs="Times New Roman"/>
      <w:b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1066</Words>
  <Characters>6077</Characters>
  <Lines>50</Lines>
  <Paragraphs>14</Paragraphs>
  <TotalTime>8</TotalTime>
  <ScaleCrop>false</ScaleCrop>
  <LinksUpToDate>false</LinksUpToDate>
  <CharactersWithSpaces>7129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2020-02-18T10:40:00Z</dcterms:created>
  <dc:creator>darkdog</dc:creator>
  <cp:lastModifiedBy>。</cp:lastModifiedBy>
  <dcterms:modified xsi:type="dcterms:W3CDTF">2020-09-17T15:36:41Z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