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uto"/>
        <w:jc w:val="left"/>
        <w:rPr>
          <w:rFonts w:ascii="Times New Roman" w:hAnsi="Times New Roman" w:eastAsia="宋体"/>
          <w:b/>
          <w:color w:val="000000"/>
          <w:kern w:val="0"/>
          <w:sz w:val="24"/>
          <w:szCs w:val="21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4"/>
          <w:szCs w:val="21"/>
        </w:rPr>
        <w:t>Figure legends</w:t>
      </w:r>
    </w:p>
    <w:p>
      <w:pPr>
        <w:widowControl/>
        <w:spacing w:line="480" w:lineRule="auto"/>
        <w:jc w:val="left"/>
        <w:rPr>
          <w:rFonts w:ascii="Times New Roman" w:hAnsi="Times New Roman" w:eastAsia="宋体"/>
          <w:b/>
          <w:color w:val="000000"/>
          <w:kern w:val="0"/>
          <w:szCs w:val="21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Fig. S1. </w:t>
      </w:r>
      <w:r>
        <w:rPr>
          <w:rFonts w:ascii="Times New Roman" w:hAnsi="Times New Roman" w:cs="Times New Roman"/>
          <w:b/>
        </w:rPr>
        <w:t>Distribution of risk estimated from the PCE, PAR, and FRS among men and women.</w:t>
      </w:r>
    </w:p>
    <w:p>
      <w:pPr>
        <w:widowControl/>
        <w:spacing w:line="480" w:lineRule="auto"/>
        <w:jc w:val="left"/>
        <w:rPr>
          <w:rFonts w:ascii="Times New Roman" w:hAnsi="Times New Roman" w:cs="Times New Roman"/>
          <w:color w:val="231F20"/>
          <w:szCs w:val="21"/>
        </w:rPr>
      </w:pPr>
      <w:r>
        <w:rPr>
          <w:rFonts w:ascii="Times New Roman" w:hAnsi="Times New Roman" w:cs="Times New Roman"/>
          <w:color w:val="231F20"/>
          <w:szCs w:val="21"/>
        </w:rPr>
        <w:t>PCE, Pooled Cohort Risk Equations; PAR, China-PAR risk equation; FRS, Framingham Risk Score 2008</w:t>
      </w:r>
    </w:p>
    <w:p>
      <w:pPr>
        <w:widowControl/>
        <w:spacing w:line="480" w:lineRule="auto"/>
        <w:jc w:val="left"/>
        <w:rPr>
          <w:rFonts w:ascii="Times New Roman" w:hAnsi="Times New Roman" w:cs="Times New Roman"/>
          <w:color w:val="231F20"/>
          <w:szCs w:val="21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color w:val="231F20"/>
          <w:szCs w:val="21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color w:val="231F20"/>
          <w:szCs w:val="21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color w:val="231F20"/>
          <w:szCs w:val="21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color w:val="231F20"/>
          <w:szCs w:val="21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color w:val="231F20"/>
          <w:szCs w:val="21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color w:val="231F20"/>
          <w:szCs w:val="21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color w:val="231F20"/>
          <w:szCs w:val="21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color w:val="231F20"/>
          <w:szCs w:val="21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color w:val="231F20"/>
          <w:szCs w:val="21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color w:val="231F20"/>
          <w:szCs w:val="21"/>
        </w:rPr>
      </w:pPr>
    </w:p>
    <w:p>
      <w:pPr>
        <w:widowControl/>
        <w:spacing w:line="480" w:lineRule="auto"/>
        <w:jc w:val="left"/>
        <w:rPr>
          <w:rFonts w:ascii="Times New Roman" w:hAnsi="Times New Roman" w:cs="Times New Roman"/>
          <w:color w:val="231F20"/>
          <w:szCs w:val="21"/>
        </w:rPr>
      </w:pPr>
    </w:p>
    <w:p>
      <w:pPr>
        <w:widowControl/>
        <w:spacing w:line="480" w:lineRule="auto"/>
        <w:jc w:val="left"/>
        <w:rPr>
          <w:rFonts w:hint="eastAsia" w:ascii="Times New Roman" w:hAnsi="Times New Roman" w:eastAsia="宋体"/>
          <w:color w:val="000000"/>
          <w:kern w:val="0"/>
          <w:szCs w:val="21"/>
        </w:rPr>
      </w:pPr>
    </w:p>
    <w:p>
      <w:pPr>
        <w:widowControl/>
        <w:spacing w:line="480" w:lineRule="auto"/>
        <w:jc w:val="left"/>
        <w:rPr>
          <w:rFonts w:hint="eastAsia" w:ascii="Times New Roman" w:hAnsi="Times New Roman" w:eastAsia="宋体"/>
          <w:color w:val="000000"/>
          <w:kern w:val="0"/>
          <w:szCs w:val="21"/>
        </w:rPr>
      </w:pPr>
    </w:p>
    <w:p>
      <w:pPr>
        <w:widowControl/>
        <w:spacing w:line="480" w:lineRule="auto"/>
        <w:jc w:val="left"/>
        <w:rPr>
          <w:rFonts w:hint="eastAsia" w:ascii="Times New Roman" w:hAnsi="Times New Roman" w:eastAsia="宋体"/>
          <w:color w:val="000000"/>
          <w:kern w:val="0"/>
          <w:szCs w:val="21"/>
        </w:rPr>
      </w:pPr>
    </w:p>
    <w:p>
      <w:pPr>
        <w:widowControl/>
        <w:spacing w:line="480" w:lineRule="auto"/>
        <w:jc w:val="left"/>
        <w:rPr>
          <w:rFonts w:hint="eastAsia" w:ascii="Times New Roman" w:hAnsi="Times New Roman" w:eastAsia="宋体"/>
          <w:color w:val="000000"/>
          <w:kern w:val="0"/>
          <w:szCs w:val="21"/>
          <w:lang w:eastAsia="zh-CN"/>
        </w:rPr>
      </w:pPr>
    </w:p>
    <w:p>
      <w:pPr>
        <w:rPr>
          <w:rFonts w:hint="eastAsia" w:ascii="Calibri" w:hAnsi="Calibri" w:eastAsia="宋体" w:cs="Times New Roman"/>
          <w:kern w:val="2"/>
          <w:sz w:val="21"/>
          <w:szCs w:val="21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132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8351520" cy="3115310"/>
                  <wp:effectExtent l="0" t="0" r="5080" b="8890"/>
                  <wp:docPr id="2" name="图片 2" descr="dens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ensity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1520" cy="3115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</w:rPr>
              <w:t>Fig. S</w:t>
            </w:r>
            <w:r>
              <w:rPr>
                <w:rFonts w:hint="eastAsia" w:ascii="Times New Roman" w:hAnsi="Times New Roman" w:cs="Times New Roman" w:eastAsiaTheme="minorEastAsia"/>
                <w:b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eastAsiaTheme="minorEastAsia"/>
                <w:b/>
                <w:bCs/>
                <w:kern w:val="0"/>
                <w:sz w:val="20"/>
                <w:szCs w:val="20"/>
              </w:rPr>
              <w:t>.</w:t>
            </w:r>
            <w:r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</w:rPr>
              <w:t xml:space="preserve"> Distribution of risk estimated from the PCE, PAR, and FRS among men and women.</w:t>
            </w:r>
          </w:p>
          <w:p>
            <w:pPr>
              <w:ind w:right="187" w:rightChars="89"/>
              <w:jc w:val="left"/>
              <w:rPr>
                <w:rFonts w:ascii="Times New Roman" w:hAnsi="Times New Roman" w:cs="Times New Roman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0"/>
                <w:szCs w:val="20"/>
              </w:rPr>
              <w:t>PCE, Pooled Cohort Risk Equations; PAR, China-PAR risk equation; FRS, Framingham Risk Score 2008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0"/>
                <w:szCs w:val="20"/>
              </w:rPr>
              <w:t>;</w:t>
            </w:r>
          </w:p>
          <w:p>
            <w:pPr>
              <w:rPr>
                <w:rFonts w:ascii="Calibri" w:hAnsi="Calibri" w:eastAsia="宋体" w:cs="Times New Roman"/>
                <w:kern w:val="2"/>
                <w:sz w:val="21"/>
                <w:szCs w:val="21"/>
              </w:rPr>
            </w:pPr>
          </w:p>
        </w:tc>
      </w:tr>
    </w:tbl>
    <w:p/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2D7"/>
    <w:rsid w:val="005E3819"/>
    <w:rsid w:val="007B27E8"/>
    <w:rsid w:val="008D02D7"/>
    <w:rsid w:val="009C3DEC"/>
    <w:rsid w:val="00C721E3"/>
    <w:rsid w:val="4298209E"/>
    <w:rsid w:val="7FD2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114</Words>
  <Characters>654</Characters>
  <Lines>5</Lines>
  <Paragraphs>1</Paragraphs>
  <TotalTime>3</TotalTime>
  <ScaleCrop>false</ScaleCrop>
  <LinksUpToDate>false</LinksUpToDate>
  <CharactersWithSpaces>767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2020-03-21T03:07:00Z</dcterms:created>
  <dc:creator>J</dc:creator>
  <cp:lastModifiedBy>。</cp:lastModifiedBy>
  <dcterms:modified xsi:type="dcterms:W3CDTF">2020-07-17T09:11:15Z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