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C2D4C9" w14:textId="2847B3F6" w:rsidR="0073398D" w:rsidRPr="002873A1" w:rsidRDefault="00665B4D" w:rsidP="00665B4D">
      <w:pPr>
        <w:spacing w:line="480" w:lineRule="auto"/>
        <w:rPr>
          <w:rFonts w:asciiTheme="minorHAnsi" w:hAnsiTheme="minorHAnsi" w:cstheme="minorHAnsi"/>
          <w:b/>
          <w:lang w:val="en-US"/>
        </w:rPr>
      </w:pPr>
      <w:r>
        <w:rPr>
          <w:rFonts w:asciiTheme="minorHAnsi" w:hAnsiTheme="minorHAnsi" w:cstheme="minorHAnsi"/>
          <w:b/>
          <w:lang w:val="en-US"/>
        </w:rPr>
        <w:t xml:space="preserve">Supplementary </w:t>
      </w:r>
      <w:r w:rsidR="00C0439E">
        <w:rPr>
          <w:rFonts w:asciiTheme="minorHAnsi" w:hAnsiTheme="minorHAnsi" w:cstheme="minorHAnsi"/>
          <w:b/>
          <w:lang w:val="en-US"/>
        </w:rPr>
        <w:t>file 1</w:t>
      </w:r>
      <w:r>
        <w:rPr>
          <w:rFonts w:asciiTheme="minorHAnsi" w:hAnsiTheme="minorHAnsi" w:cstheme="minorHAnsi"/>
          <w:b/>
          <w:lang w:val="en-US"/>
        </w:rPr>
        <w:t xml:space="preserve">: </w:t>
      </w:r>
      <w:r w:rsidR="0073398D" w:rsidRPr="002873A1">
        <w:rPr>
          <w:rFonts w:asciiTheme="minorHAnsi" w:hAnsiTheme="minorHAnsi" w:cstheme="minorHAnsi"/>
          <w:b/>
          <w:lang w:val="en-US"/>
        </w:rPr>
        <w:t>Inspection</w:t>
      </w:r>
      <w:r w:rsidR="0073398D">
        <w:rPr>
          <w:rFonts w:asciiTheme="minorHAnsi" w:hAnsiTheme="minorHAnsi" w:cstheme="minorHAnsi"/>
          <w:b/>
          <w:lang w:val="en-US"/>
        </w:rPr>
        <w:t xml:space="preserve"> differences</w:t>
      </w:r>
      <w:r w:rsidR="0073398D" w:rsidRPr="002873A1">
        <w:rPr>
          <w:rFonts w:asciiTheme="minorHAnsi" w:hAnsiTheme="minorHAnsi" w:cstheme="minorHAnsi"/>
          <w:b/>
          <w:lang w:val="en-US"/>
        </w:rPr>
        <w:t xml:space="preserve"> </w:t>
      </w:r>
      <w:r w:rsidR="0073398D">
        <w:rPr>
          <w:rFonts w:asciiTheme="minorHAnsi" w:hAnsiTheme="minorHAnsi" w:cstheme="minorHAnsi"/>
          <w:b/>
          <w:lang w:val="en-US"/>
        </w:rPr>
        <w:t>among the</w:t>
      </w:r>
      <w:r w:rsidR="0073398D" w:rsidRPr="002873A1">
        <w:rPr>
          <w:rFonts w:asciiTheme="minorHAnsi" w:hAnsiTheme="minorHAnsi" w:cstheme="minorHAnsi"/>
          <w:b/>
          <w:lang w:val="en-US"/>
        </w:rPr>
        <w:t xml:space="preserve"> MoU</w:t>
      </w:r>
    </w:p>
    <w:p w14:paraId="5B6A004E" w14:textId="3E246F25" w:rsidR="0073398D" w:rsidRDefault="0073398D" w:rsidP="00665B4D">
      <w:pPr>
        <w:spacing w:line="480" w:lineRule="auto"/>
        <w:rPr>
          <w:rFonts w:asciiTheme="minorHAnsi" w:hAnsiTheme="minorHAnsi" w:cstheme="minorHAnsi"/>
          <w:lang w:val="en-US"/>
        </w:rPr>
      </w:pPr>
      <w:r>
        <w:rPr>
          <w:rFonts w:asciiTheme="minorHAnsi" w:hAnsiTheme="minorHAnsi" w:cstheme="minorHAnsi"/>
          <w:lang w:val="en-US"/>
        </w:rPr>
        <w:t xml:space="preserve">Even though all MoU agreements are based on the original text written for the Paris MoU and are therefore almost identical, differences exist regarding inspection procedures, targeting criteria and institutional agreements. </w:t>
      </w:r>
      <w:r>
        <w:rPr>
          <w:rFonts w:asciiTheme="minorHAnsi" w:hAnsiTheme="minorHAnsi" w:cstheme="minorHAnsi"/>
          <w:lang w:val="en-US"/>
        </w:rPr>
        <w:fldChar w:fldCharType="begin"/>
      </w:r>
      <w:r>
        <w:rPr>
          <w:rFonts w:asciiTheme="minorHAnsi" w:hAnsiTheme="minorHAnsi" w:cstheme="minorHAnsi"/>
          <w:lang w:val="en-US"/>
        </w:rPr>
        <w:instrText xml:space="preserve"> ADDIN EN.CITE &lt;EndNote&gt;&lt;Cite AuthorYear="1"&gt;&lt;Author&gt;Bang&lt;/Author&gt;&lt;Year&gt;2012&lt;/Year&gt;&lt;RecNum&gt;10&lt;/RecNum&gt;&lt;DisplayText&gt;H-S Bang and D-J Jang [1]&lt;/DisplayText&gt;&lt;record&gt;&lt;rec-number&gt;10&lt;/rec-number&gt;&lt;foreign-keys&gt;&lt;key app="EN" db-id="fzdt20dx2erptqesez8vswf5tp2f5stz2sr2" timestamp="1571396542" guid="81140c44-275b-459b-840e-88642a33dcb4"&gt;10&lt;/key&gt;&lt;/foreign-keys&gt;&lt;ref-type name="Journal Article"&gt;17&lt;/ref-type&gt;&lt;contributors&gt;&lt;authors&gt;&lt;author&gt;Bang, Ho-Sam&lt;/author&gt;&lt;author&gt;Jang, Duck-Jong&lt;/author&gt;&lt;/authors&gt;&lt;/contributors&gt;&lt;titles&gt;&lt;title&gt;Recent developments in regional memorandums of understanding on Port State Control&lt;/title&gt;&lt;secondary-title&gt;Ocean Development &amp;amp; International Law&lt;/secondary-title&gt;&lt;/titles&gt;&lt;periodical&gt;&lt;full-title&gt;Ocean Development &amp;amp; International Law&lt;/full-title&gt;&lt;abbr-1&gt;Ocean Dev. Int. Law&lt;/abbr-1&gt;&lt;abbr-2&gt;Ocean Dev Int Law&lt;/abbr-2&gt;&lt;/periodical&gt;&lt;pages&gt;170-187&lt;/pages&gt;&lt;volume&gt;43&lt;/volume&gt;&lt;dates&gt;&lt;year&gt;2012&lt;/year&gt;&lt;/dates&gt;&lt;publisher&gt;Taylor &amp;amp; Francis&lt;/publisher&gt;&lt;isbn&gt;0090-8320&lt;/isbn&gt;&lt;urls&gt;&lt;/urls&gt;&lt;electronic-resource-num&gt;10.1080/00908320.2012.672293&lt;/electronic-resource-num&gt;&lt;/record&gt;&lt;/Cite&gt;&lt;/EndNote&gt;</w:instrText>
      </w:r>
      <w:r>
        <w:rPr>
          <w:rFonts w:asciiTheme="minorHAnsi" w:hAnsiTheme="minorHAnsi" w:cstheme="minorHAnsi"/>
          <w:lang w:val="en-US"/>
        </w:rPr>
        <w:fldChar w:fldCharType="separate"/>
      </w:r>
      <w:r>
        <w:rPr>
          <w:rFonts w:asciiTheme="minorHAnsi" w:hAnsiTheme="minorHAnsi" w:cstheme="minorHAnsi"/>
          <w:noProof/>
          <w:lang w:val="en-US"/>
        </w:rPr>
        <w:t>H-S Bang and D-J Jang [1]</w:t>
      </w:r>
      <w:r>
        <w:rPr>
          <w:rFonts w:asciiTheme="minorHAnsi" w:hAnsiTheme="minorHAnsi" w:cstheme="minorHAnsi"/>
          <w:lang w:val="en-US"/>
        </w:rPr>
        <w:fldChar w:fldCharType="end"/>
      </w:r>
      <w:r>
        <w:rPr>
          <w:rFonts w:asciiTheme="minorHAnsi" w:hAnsiTheme="minorHAnsi" w:cstheme="minorHAnsi"/>
          <w:lang w:val="en-US"/>
        </w:rPr>
        <w:t xml:space="preserve"> published a comprehensive overview of all nine MoU and their different legal structure.  </w:t>
      </w:r>
    </w:p>
    <w:p w14:paraId="0C9A8FA6" w14:textId="7D96C590" w:rsidR="0073398D" w:rsidRDefault="0073398D" w:rsidP="00665B4D">
      <w:pPr>
        <w:spacing w:line="480" w:lineRule="auto"/>
        <w:rPr>
          <w:rFonts w:asciiTheme="minorHAnsi" w:hAnsiTheme="minorHAnsi" w:cstheme="minorHAnsi"/>
          <w:lang w:val="en-US"/>
        </w:rPr>
      </w:pPr>
      <w:r>
        <w:rPr>
          <w:rFonts w:asciiTheme="minorHAnsi" w:hAnsiTheme="minorHAnsi" w:cstheme="minorHAnsi"/>
          <w:lang w:val="en-US"/>
        </w:rPr>
        <w:t xml:space="preserve">The procedures for inspection, ratification and detention as stated in the Paris MoU are the same for all other MoU. However, with the exception of the Tokyo MoU, most other authorities lack the infrastructure, financial capacities and effective policies to conduct equally effective inspections. Organizationally all MoU follow the example of the </w:t>
      </w:r>
      <w:proofErr w:type="spellStart"/>
      <w:r>
        <w:rPr>
          <w:rFonts w:asciiTheme="minorHAnsi" w:hAnsiTheme="minorHAnsi" w:cstheme="minorHAnsi"/>
          <w:lang w:val="en-US"/>
        </w:rPr>
        <w:t>Acuerdo</w:t>
      </w:r>
      <w:proofErr w:type="spellEnd"/>
      <w:r>
        <w:rPr>
          <w:rFonts w:asciiTheme="minorHAnsi" w:hAnsiTheme="minorHAnsi" w:cstheme="minorHAnsi"/>
          <w:lang w:val="en-US"/>
        </w:rPr>
        <w:t xml:space="preserve"> Latino with a simpler structure than that of the Paris MoU. The Paris MoU and the Tokyo MoU are the most active ones with an inspection target rate of 90% (100% of high-risk ships) for the Paris MoU and 80% for the Tokyo MoU. Other MoU have lower targets with 20% for the </w:t>
      </w:r>
      <w:proofErr w:type="spellStart"/>
      <w:r>
        <w:rPr>
          <w:rFonts w:asciiTheme="minorHAnsi" w:hAnsiTheme="minorHAnsi" w:cstheme="minorHAnsi"/>
          <w:lang w:val="en-US"/>
        </w:rPr>
        <w:t>Acuerdo</w:t>
      </w:r>
      <w:proofErr w:type="spellEnd"/>
      <w:r>
        <w:rPr>
          <w:rFonts w:asciiTheme="minorHAnsi" w:hAnsiTheme="minorHAnsi" w:cstheme="minorHAnsi"/>
          <w:lang w:val="en-US"/>
        </w:rPr>
        <w:t xml:space="preserve"> Latino, 15% for the Caribbean MoU, the Abuja MoU and the Black Sea MoU and 10% for the others. Targeting criteria differ and only the Tokyo MoU has defined requirements as sophisticated as those of the Paris MoU. Often, not all member states have ratified the same international conventions which further hampers harmonization of PSC procedures. All in all, industry experts agree on the fact that the differences among MoU inspections are still too large and must be further harmonized </w:t>
      </w:r>
      <w:r>
        <w:rPr>
          <w:rFonts w:asciiTheme="minorHAnsi" w:hAnsiTheme="minorHAnsi" w:cstheme="minorHAnsi"/>
          <w:lang w:val="en-US"/>
        </w:rPr>
        <w:fldChar w:fldCharType="begin">
          <w:fldData xml:space="preserve">PEVuZE5vdGU+PENpdGU+PEF1dGhvcj5LbmFwcDwvQXV0aG9yPjxZZWFyPjIwMDk8L1llYXI+PFJl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</w:fldData>
        </w:fldChar>
      </w:r>
      <w:r>
        <w:rPr>
          <w:rFonts w:asciiTheme="minorHAnsi" w:hAnsiTheme="minorHAnsi" w:cstheme="minorHAnsi"/>
          <w:lang w:val="en-US"/>
        </w:rPr>
        <w:instrText xml:space="preserve"> ADDIN EN.CITE </w:instrText>
      </w:r>
      <w:r>
        <w:rPr>
          <w:rFonts w:asciiTheme="minorHAnsi" w:hAnsiTheme="minorHAnsi" w:cstheme="minorHAnsi"/>
          <w:lang w:val="en-US"/>
        </w:rPr>
        <w:fldChar w:fldCharType="begin">
          <w:fldData xml:space="preserve">PEVuZE5vdGU+PENpdGU+PEF1dGhvcj5LbmFwcDwvQXV0aG9yPjxZZWFyPjIwMDk8L1llYXI+PFJl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</w:fldData>
        </w:fldChar>
      </w:r>
      <w:r>
        <w:rPr>
          <w:rFonts w:asciiTheme="minorHAnsi" w:hAnsiTheme="minorHAnsi" w:cstheme="minorHAnsi"/>
          <w:lang w:val="en-US"/>
        </w:rPr>
        <w:instrText xml:space="preserve"> ADDIN EN.CITE.DATA </w:instrText>
      </w:r>
      <w:r>
        <w:rPr>
          <w:rFonts w:asciiTheme="minorHAnsi" w:hAnsiTheme="minorHAnsi" w:cstheme="minorHAnsi"/>
          <w:lang w:val="en-US"/>
        </w:rPr>
      </w:r>
      <w:r>
        <w:rPr>
          <w:rFonts w:asciiTheme="minorHAnsi" w:hAnsiTheme="minorHAnsi" w:cstheme="minorHAnsi"/>
          <w:lang w:val="en-US"/>
        </w:rPr>
        <w:fldChar w:fldCharType="end"/>
      </w:r>
      <w:r>
        <w:rPr>
          <w:rFonts w:asciiTheme="minorHAnsi" w:hAnsiTheme="minorHAnsi" w:cstheme="minorHAnsi"/>
          <w:lang w:val="en-US"/>
        </w:rPr>
      </w:r>
      <w:r>
        <w:rPr>
          <w:rFonts w:asciiTheme="minorHAnsi" w:hAnsiTheme="minorHAnsi" w:cstheme="minorHAnsi"/>
          <w:lang w:val="en-US"/>
        </w:rPr>
        <w:fldChar w:fldCharType="separate"/>
      </w:r>
      <w:r>
        <w:rPr>
          <w:rFonts w:asciiTheme="minorHAnsi" w:hAnsiTheme="minorHAnsi" w:cstheme="minorHAnsi"/>
          <w:noProof/>
          <w:lang w:val="en-US"/>
        </w:rPr>
        <w:t>[1-3]</w:t>
      </w:r>
      <w:r>
        <w:rPr>
          <w:rFonts w:asciiTheme="minorHAnsi" w:hAnsiTheme="minorHAnsi" w:cstheme="minorHAnsi"/>
          <w:lang w:val="en-US"/>
        </w:rPr>
        <w:fldChar w:fldCharType="end"/>
      </w:r>
      <w:r>
        <w:rPr>
          <w:rFonts w:asciiTheme="minorHAnsi" w:hAnsiTheme="minorHAnsi" w:cstheme="minorHAnsi"/>
          <w:lang w:val="en-US"/>
        </w:rPr>
        <w:t>.</w:t>
      </w:r>
    </w:p>
    <w:p w14:paraId="12CB03B2" w14:textId="77777777" w:rsidR="0073398D" w:rsidRPr="0073398D" w:rsidRDefault="0073398D">
      <w:pPr>
        <w:rPr>
          <w:lang w:val="en-US"/>
        </w:rPr>
      </w:pPr>
    </w:p>
    <w:p w14:paraId="308FCE00" w14:textId="77777777" w:rsidR="0073398D" w:rsidRDefault="0073398D"/>
    <w:p w14:paraId="7443E890" w14:textId="77777777" w:rsidR="0073398D" w:rsidRPr="0073398D" w:rsidRDefault="0073398D" w:rsidP="0073398D">
      <w:pPr>
        <w:pStyle w:val="EndNoteBibliography"/>
        <w:ind w:left="720" w:hanging="720"/>
        <w:rPr>
          <w:noProof/>
        </w:rPr>
      </w:pPr>
      <w:r>
        <w:fldChar w:fldCharType="begin"/>
      </w:r>
      <w:r>
        <w:instrText xml:space="preserve"> ADDIN EN.REFLIST </w:instrText>
      </w:r>
      <w:r>
        <w:fldChar w:fldCharType="separate"/>
      </w:r>
      <w:r w:rsidRPr="0073398D">
        <w:rPr>
          <w:noProof/>
        </w:rPr>
        <w:t>1.</w:t>
      </w:r>
      <w:r w:rsidRPr="0073398D">
        <w:rPr>
          <w:noProof/>
        </w:rPr>
        <w:tab/>
        <w:t>Bang H-S, Jang D-J. Recent developments in regional memorandums of understanding on Port State Control. Ocean Dev. Int. Law. 2012; doi:10.1080/00908320.2012.672293.</w:t>
      </w:r>
    </w:p>
    <w:p w14:paraId="2C346187" w14:textId="77777777" w:rsidR="0073398D" w:rsidRPr="0073398D" w:rsidRDefault="0073398D" w:rsidP="0073398D">
      <w:pPr>
        <w:pStyle w:val="EndNoteBibliography"/>
        <w:ind w:left="720" w:hanging="720"/>
        <w:rPr>
          <w:noProof/>
        </w:rPr>
      </w:pPr>
      <w:r w:rsidRPr="0073398D">
        <w:rPr>
          <w:noProof/>
        </w:rPr>
        <w:t>2.</w:t>
      </w:r>
      <w:r w:rsidRPr="0073398D">
        <w:rPr>
          <w:noProof/>
        </w:rPr>
        <w:tab/>
        <w:t>Knapp S, Van de Velden M. Visualization of differences in treatment of safety inspections across Port State Control regimes: a case for increased harmonization efforts. Transport Reviews. 2009; doi:10.1080/01441640802573749.</w:t>
      </w:r>
    </w:p>
    <w:p w14:paraId="38295580" w14:textId="77777777" w:rsidR="0073398D" w:rsidRPr="0073398D" w:rsidRDefault="0073398D" w:rsidP="0073398D">
      <w:pPr>
        <w:pStyle w:val="EndNoteBibliography"/>
        <w:ind w:left="720" w:hanging="720"/>
        <w:rPr>
          <w:noProof/>
        </w:rPr>
      </w:pPr>
      <w:r w:rsidRPr="0073398D">
        <w:rPr>
          <w:noProof/>
        </w:rPr>
        <w:t>3.</w:t>
      </w:r>
      <w:r w:rsidRPr="0073398D">
        <w:rPr>
          <w:noProof/>
        </w:rPr>
        <w:tab/>
        <w:t>Cariou P, Mejia MQ, Wolff F-C. Evidence on target factors used for port state control inspections. Mar. Policy. 2009; doi:10.1016/j.marpol.2009.03.004.</w:t>
      </w:r>
    </w:p>
    <w:p w14:paraId="6E569170" w14:textId="1D754D75" w:rsidR="00196D2F" w:rsidRDefault="0073398D">
      <w:r>
        <w:fldChar w:fldCharType="end"/>
      </w:r>
    </w:p>
    <w:sectPr w:rsidR="00196D2F" w:rsidSect="00DE3D10">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BMC Public Health Cop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73398D"/>
    <w:rsid w:val="00006843"/>
    <w:rsid w:val="000172D1"/>
    <w:rsid w:val="000228C0"/>
    <w:rsid w:val="0008681A"/>
    <w:rsid w:val="000940B0"/>
    <w:rsid w:val="000D7361"/>
    <w:rsid w:val="001017D4"/>
    <w:rsid w:val="00104EC4"/>
    <w:rsid w:val="00193425"/>
    <w:rsid w:val="00196D2F"/>
    <w:rsid w:val="001D70F9"/>
    <w:rsid w:val="002007EA"/>
    <w:rsid w:val="00274CDB"/>
    <w:rsid w:val="003947C4"/>
    <w:rsid w:val="003A3749"/>
    <w:rsid w:val="00407F6F"/>
    <w:rsid w:val="004C74CF"/>
    <w:rsid w:val="004D3CA6"/>
    <w:rsid w:val="004D6366"/>
    <w:rsid w:val="004E4056"/>
    <w:rsid w:val="004F7C83"/>
    <w:rsid w:val="00590153"/>
    <w:rsid w:val="005C267A"/>
    <w:rsid w:val="005F0661"/>
    <w:rsid w:val="006260D1"/>
    <w:rsid w:val="006266BE"/>
    <w:rsid w:val="00665B4D"/>
    <w:rsid w:val="006750EA"/>
    <w:rsid w:val="006C46E6"/>
    <w:rsid w:val="006E3624"/>
    <w:rsid w:val="006F132B"/>
    <w:rsid w:val="0070721D"/>
    <w:rsid w:val="0073398D"/>
    <w:rsid w:val="0075328B"/>
    <w:rsid w:val="007A4AF2"/>
    <w:rsid w:val="007C0496"/>
    <w:rsid w:val="007C39CC"/>
    <w:rsid w:val="007E3C81"/>
    <w:rsid w:val="00802B60"/>
    <w:rsid w:val="00840580"/>
    <w:rsid w:val="00870A30"/>
    <w:rsid w:val="008D543C"/>
    <w:rsid w:val="00932712"/>
    <w:rsid w:val="0098260F"/>
    <w:rsid w:val="009B3A3A"/>
    <w:rsid w:val="00A160DC"/>
    <w:rsid w:val="00AD3FBA"/>
    <w:rsid w:val="00B26115"/>
    <w:rsid w:val="00B61209"/>
    <w:rsid w:val="00B938FC"/>
    <w:rsid w:val="00BE54B8"/>
    <w:rsid w:val="00C0439E"/>
    <w:rsid w:val="00C34143"/>
    <w:rsid w:val="00CE6B05"/>
    <w:rsid w:val="00D35718"/>
    <w:rsid w:val="00DB4F7F"/>
    <w:rsid w:val="00DC3FF4"/>
    <w:rsid w:val="00DE380E"/>
    <w:rsid w:val="00DE3D10"/>
    <w:rsid w:val="00DF6D48"/>
    <w:rsid w:val="00EC322F"/>
    <w:rsid w:val="00EE21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79C2146"/>
  <w15:chartTrackingRefBased/>
  <w15:docId w15:val="{19BD74A2-0E78-3544-A86C-6BED63F0F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3398D"/>
    <w:pPr>
      <w:spacing w:line="360" w:lineRule="auto"/>
      <w:jc w:val="both"/>
    </w:pPr>
    <w:rPr>
      <w:rFonts w:ascii="Arial" w:eastAsia="Arial" w:hAnsi="Arial" w:cs="Arial"/>
      <w:color w:val="000000"/>
      <w:sz w:val="22"/>
      <w:szCs w:val="22"/>
      <w:lang w:val="nl-NL" w:eastAsia="nl-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ndNoteBibliographyTitle">
    <w:name w:val="EndNote Bibliography Title"/>
    <w:basedOn w:val="Standard"/>
    <w:link w:val="EndNoteBibliographyTitleZchn"/>
    <w:rsid w:val="0073398D"/>
    <w:pPr>
      <w:jc w:val="center"/>
    </w:pPr>
  </w:style>
  <w:style w:type="character" w:customStyle="1" w:styleId="EndNoteBibliographyTitleZchn">
    <w:name w:val="EndNote Bibliography Title Zchn"/>
    <w:basedOn w:val="Absatz-Standardschriftart"/>
    <w:link w:val="EndNoteBibliographyTitle"/>
    <w:rsid w:val="0073398D"/>
    <w:rPr>
      <w:rFonts w:ascii="Arial" w:eastAsia="Arial" w:hAnsi="Arial" w:cs="Arial"/>
      <w:color w:val="000000"/>
      <w:sz w:val="22"/>
      <w:szCs w:val="22"/>
      <w:lang w:val="nl-NL" w:eastAsia="nl-NL"/>
    </w:rPr>
  </w:style>
  <w:style w:type="paragraph" w:customStyle="1" w:styleId="EndNoteBibliography">
    <w:name w:val="EndNote Bibliography"/>
    <w:basedOn w:val="Standard"/>
    <w:link w:val="EndNoteBibliographyZchn"/>
    <w:rsid w:val="0073398D"/>
    <w:pPr>
      <w:spacing w:line="240" w:lineRule="auto"/>
    </w:pPr>
  </w:style>
  <w:style w:type="character" w:customStyle="1" w:styleId="EndNoteBibliographyZchn">
    <w:name w:val="EndNote Bibliography Zchn"/>
    <w:basedOn w:val="Absatz-Standardschriftart"/>
    <w:link w:val="EndNoteBibliography"/>
    <w:rsid w:val="0073398D"/>
    <w:rPr>
      <w:rFonts w:ascii="Arial" w:eastAsia="Arial" w:hAnsi="Arial" w:cs="Arial"/>
      <w:color w:val="000000"/>
      <w:sz w:val="22"/>
      <w:szCs w:val="22"/>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446</Words>
  <Characters>2817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F</dc:creator>
  <cp:keywords/>
  <dc:description/>
  <cp:lastModifiedBy>Marina F</cp:lastModifiedBy>
  <cp:revision>2</cp:revision>
  <dcterms:created xsi:type="dcterms:W3CDTF">2020-09-29T12:41:00Z</dcterms:created>
  <dcterms:modified xsi:type="dcterms:W3CDTF">2020-09-29T13:43:00Z</dcterms:modified>
</cp:coreProperties>
</file>