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B11" w:rsidRPr="006A48CE" w:rsidRDefault="00331B11" w:rsidP="00166563">
      <w:pPr>
        <w:rPr>
          <w:rFonts w:ascii="Times New Roman" w:hAnsi="Times New Roman" w:cs="Times New Roman"/>
          <w:b/>
          <w:sz w:val="24"/>
          <w:szCs w:val="24"/>
        </w:rPr>
      </w:pPr>
      <w:r w:rsidRPr="006A48CE">
        <w:rPr>
          <w:rFonts w:ascii="Times New Roman" w:hAnsi="Times New Roman" w:cs="Times New Roman"/>
          <w:b/>
          <w:sz w:val="24"/>
          <w:szCs w:val="24"/>
        </w:rPr>
        <w:t>A</w:t>
      </w:r>
      <w:r w:rsidR="00E069D6">
        <w:rPr>
          <w:rFonts w:ascii="Times New Roman" w:hAnsi="Times New Roman" w:cs="Times New Roman"/>
          <w:b/>
          <w:sz w:val="24"/>
          <w:szCs w:val="24"/>
        </w:rPr>
        <w:t>dditional File</w:t>
      </w:r>
      <w:r w:rsidR="00D91FCB">
        <w:rPr>
          <w:rFonts w:ascii="Times New Roman" w:hAnsi="Times New Roman" w:cs="Times New Roman"/>
          <w:b/>
          <w:sz w:val="24"/>
          <w:szCs w:val="24"/>
        </w:rPr>
        <w:t xml:space="preserve"> </w:t>
      </w:r>
      <w:r w:rsidR="000F43B2">
        <w:rPr>
          <w:rFonts w:ascii="Times New Roman" w:hAnsi="Times New Roman" w:cs="Times New Roman"/>
          <w:b/>
          <w:sz w:val="24"/>
          <w:szCs w:val="24"/>
        </w:rPr>
        <w:t>4</w:t>
      </w:r>
      <w:bookmarkStart w:id="0" w:name="_GoBack"/>
      <w:bookmarkEnd w:id="0"/>
      <w:r w:rsidRPr="006A48CE">
        <w:rPr>
          <w:rFonts w:ascii="Times New Roman" w:hAnsi="Times New Roman" w:cs="Times New Roman"/>
          <w:b/>
          <w:sz w:val="24"/>
          <w:szCs w:val="24"/>
        </w:rPr>
        <w:t>. Details and assumptions pertaining to the adulthood model</w:t>
      </w:r>
    </w:p>
    <w:p w:rsidR="00331B11" w:rsidRPr="006A48CE" w:rsidRDefault="00331B11" w:rsidP="002D455C">
      <w:pPr>
        <w:pStyle w:val="ListParagraph"/>
        <w:numPr>
          <w:ilvl w:val="0"/>
          <w:numId w:val="19"/>
        </w:numPr>
        <w:ind w:left="426" w:hanging="426"/>
        <w:rPr>
          <w:rFonts w:ascii="Times New Roman" w:hAnsi="Times New Roman" w:cs="Times New Roman"/>
          <w:b/>
          <w:sz w:val="20"/>
          <w:szCs w:val="24"/>
        </w:rPr>
      </w:pPr>
      <w:r w:rsidRPr="006A48CE">
        <w:rPr>
          <w:rFonts w:ascii="Times New Roman" w:hAnsi="Times New Roman" w:cs="Times New Roman"/>
          <w:b/>
          <w:sz w:val="20"/>
          <w:szCs w:val="24"/>
        </w:rPr>
        <w:t>Assumptions for model input parameters</w:t>
      </w:r>
    </w:p>
    <w:p w:rsidR="00331B11" w:rsidRPr="006A48CE" w:rsidRDefault="00331B11" w:rsidP="00166563">
      <w:pPr>
        <w:rPr>
          <w:rFonts w:ascii="Times New Roman" w:hAnsi="Times New Roman" w:cs="Times New Roman"/>
          <w:sz w:val="20"/>
          <w:szCs w:val="24"/>
          <w:vertAlign w:val="superscript"/>
        </w:rPr>
      </w:pPr>
      <w:r w:rsidRPr="006A48CE">
        <w:rPr>
          <w:rFonts w:ascii="Times New Roman" w:hAnsi="Times New Roman" w:cs="Times New Roman"/>
          <w:b/>
          <w:sz w:val="20"/>
          <w:szCs w:val="24"/>
        </w:rPr>
        <w:t xml:space="preserve">Chronic disease model. </w:t>
      </w:r>
      <w:r w:rsidRPr="006A48CE">
        <w:rPr>
          <w:rFonts w:ascii="Times New Roman" w:hAnsi="Times New Roman" w:cs="Times New Roman"/>
          <w:sz w:val="20"/>
          <w:szCs w:val="24"/>
        </w:rPr>
        <w:t xml:space="preserve">The RIVM Chronic Disease Model (CDM), a probabilistic health economic model with the Markov property, estimates the prevalence, incidence, and mortality of major chronic diseases based on changes in risk factors. </w:t>
      </w:r>
      <w:r w:rsidRPr="006A48CE">
        <w:rPr>
          <w:rFonts w:ascii="Times New Roman" w:hAnsi="Times New Roman" w:cs="Times New Roman"/>
          <w:sz w:val="20"/>
          <w:szCs w:val="24"/>
          <w:vertAlign w:val="superscript"/>
        </w:rPr>
        <w:t>1</w:t>
      </w:r>
      <w:r w:rsidR="00E069D6">
        <w:rPr>
          <w:rFonts w:ascii="Times New Roman" w:hAnsi="Times New Roman" w:cs="Times New Roman"/>
          <w:sz w:val="20"/>
          <w:szCs w:val="24"/>
          <w:vertAlign w:val="superscript"/>
        </w:rPr>
        <w:t xml:space="preserve"> </w:t>
      </w:r>
      <w:r w:rsidRPr="006A48CE">
        <w:rPr>
          <w:rFonts w:ascii="Times New Roman" w:hAnsi="Times New Roman" w:cs="Times New Roman"/>
          <w:sz w:val="20"/>
          <w:szCs w:val="24"/>
        </w:rPr>
        <w:t>Risk factors for which the impact on chronic diseases can be modelled are, for example, smoking, body mass index, physical activity, and fruit and vegetable intake.</w:t>
      </w:r>
      <w:r w:rsidRPr="006A48CE">
        <w:rPr>
          <w:rFonts w:ascii="Times New Roman" w:hAnsi="Times New Roman" w:cs="Times New Roman"/>
          <w:sz w:val="20"/>
          <w:szCs w:val="24"/>
          <w:vertAlign w:val="superscript"/>
        </w:rPr>
        <w:t xml:space="preserve"> </w:t>
      </w:r>
      <w:r w:rsidRPr="006A48CE">
        <w:rPr>
          <w:rFonts w:ascii="Times New Roman" w:hAnsi="Times New Roman" w:cs="Times New Roman"/>
          <w:sz w:val="20"/>
          <w:szCs w:val="24"/>
        </w:rPr>
        <w:t>In the CDM, body weight is defined by three classes: normal weight, overweight (BMI 25-30 kg/m2), and obesity (BMI ≥30 kg/m2).</w:t>
      </w:r>
      <w:r w:rsidR="00E069D6">
        <w:rPr>
          <w:rFonts w:ascii="Times New Roman" w:hAnsi="Times New Roman" w:cs="Times New Roman"/>
          <w:sz w:val="20"/>
          <w:szCs w:val="24"/>
          <w:vertAlign w:val="superscript"/>
        </w:rPr>
        <w:t>2</w:t>
      </w:r>
    </w:p>
    <w:p w:rsidR="00331B11" w:rsidRPr="006A48CE" w:rsidRDefault="00331B11" w:rsidP="00166563">
      <w:pPr>
        <w:rPr>
          <w:rFonts w:ascii="Times New Roman" w:hAnsi="Times New Roman" w:cs="Times New Roman"/>
          <w:sz w:val="20"/>
          <w:szCs w:val="24"/>
        </w:rPr>
      </w:pPr>
      <w:r w:rsidRPr="006A48CE">
        <w:rPr>
          <w:rFonts w:ascii="Times New Roman" w:hAnsi="Times New Roman" w:cs="Times New Roman"/>
          <w:b/>
          <w:sz w:val="20"/>
          <w:szCs w:val="24"/>
        </w:rPr>
        <w:t xml:space="preserve">Chronic diseases. </w:t>
      </w:r>
      <w:r w:rsidRPr="006A48CE">
        <w:rPr>
          <w:rFonts w:ascii="Times New Roman" w:hAnsi="Times New Roman" w:cs="Times New Roman"/>
          <w:sz w:val="20"/>
          <w:szCs w:val="24"/>
        </w:rPr>
        <w:t xml:space="preserve">Obesity-related diseases in the CDM include myocardial infarction (AMI), angina pectoris, chronic heart failure, stroke, renal, colorectal, breast, prostate, and endometrium cancer, diabetes mellitus, hip and knee arthritis, and low back pain. The CDM also describes the independent effect of diseases on other diseases (i.e. persons with diabetes have a higher risk of myocardial infarction compared to persons without diabetes, independently from overweight). </w:t>
      </w:r>
      <w:r w:rsidRPr="006A48CE">
        <w:rPr>
          <w:rFonts w:ascii="Times New Roman" w:hAnsi="Times New Roman" w:cs="Times New Roman"/>
          <w:sz w:val="20"/>
          <w:szCs w:val="24"/>
          <w:vertAlign w:val="superscript"/>
        </w:rPr>
        <w:t xml:space="preserve">1 </w:t>
      </w:r>
      <w:r w:rsidRPr="006A48CE">
        <w:rPr>
          <w:rFonts w:ascii="Times New Roman" w:hAnsi="Times New Roman" w:cs="Times New Roman"/>
          <w:sz w:val="20"/>
          <w:szCs w:val="24"/>
        </w:rPr>
        <w:t xml:space="preserve">In addition, changes in non-overweight related diseases may occur during life years gained. This may be caused by interventions that result in an increase of life years, which are not likely to be lived in full health (i.e. incidence of lung cancer during added life years in case of obesity prevention). Indirect related diseases are chronic obstructive pulmonary disease (COPD), lung, stomach, esophagus, larynx, bladder, pancreas, and oral cavity cancer. </w:t>
      </w:r>
      <w:r w:rsidR="00E069D6">
        <w:rPr>
          <w:rFonts w:ascii="Times New Roman" w:hAnsi="Times New Roman" w:cs="Times New Roman"/>
          <w:sz w:val="20"/>
          <w:szCs w:val="24"/>
          <w:vertAlign w:val="superscript"/>
        </w:rPr>
        <w:t>3</w:t>
      </w:r>
    </w:p>
    <w:p w:rsidR="00331B11" w:rsidRPr="006A48CE" w:rsidRDefault="00331B11" w:rsidP="00263BDF">
      <w:pPr>
        <w:rPr>
          <w:rFonts w:ascii="Times New Roman" w:hAnsi="Times New Roman" w:cs="Times New Roman"/>
          <w:sz w:val="20"/>
          <w:szCs w:val="24"/>
          <w:vertAlign w:val="superscript"/>
        </w:rPr>
      </w:pPr>
      <w:r w:rsidRPr="006A48CE">
        <w:rPr>
          <w:rFonts w:ascii="Times New Roman" w:hAnsi="Times New Roman" w:cs="Times New Roman"/>
          <w:b/>
          <w:sz w:val="20"/>
          <w:szCs w:val="24"/>
        </w:rPr>
        <w:t xml:space="preserve">Utilities. </w:t>
      </w:r>
      <w:r w:rsidRPr="006A48CE">
        <w:rPr>
          <w:rFonts w:ascii="Times New Roman" w:hAnsi="Times New Roman" w:cs="Times New Roman"/>
          <w:sz w:val="20"/>
          <w:szCs w:val="24"/>
        </w:rPr>
        <w:t xml:space="preserve">The health state utilities in the CDM were obtained from the Dutch Burden of Disease Study containing utilities for several chronic diseases. </w:t>
      </w:r>
      <w:r w:rsidR="00E069D6">
        <w:rPr>
          <w:rFonts w:ascii="Times New Roman" w:hAnsi="Times New Roman" w:cs="Times New Roman"/>
          <w:sz w:val="20"/>
          <w:szCs w:val="24"/>
          <w:vertAlign w:val="superscript"/>
        </w:rPr>
        <w:t>4</w:t>
      </w:r>
      <w:r w:rsidRPr="006A48CE">
        <w:rPr>
          <w:rFonts w:ascii="Times New Roman" w:hAnsi="Times New Roman" w:cs="Times New Roman"/>
          <w:sz w:val="20"/>
          <w:szCs w:val="24"/>
        </w:rPr>
        <w:t xml:space="preserve"> The health state utilities for overweight and obesity are not included. Therefore, gains in quality of life result from decreases in the prevalence of chronic diseases, and not from weight loss only. Proportional utility weights for QALYs were used in the CDM, which implies that the disability of comorbidity increases with the number of diseases present, however this effect is less than additive. </w:t>
      </w:r>
      <w:r w:rsidR="00E069D6">
        <w:rPr>
          <w:rFonts w:ascii="Times New Roman" w:hAnsi="Times New Roman" w:cs="Times New Roman"/>
          <w:sz w:val="20"/>
          <w:szCs w:val="24"/>
          <w:vertAlign w:val="superscript"/>
        </w:rPr>
        <w:t>3</w:t>
      </w:r>
    </w:p>
    <w:p w:rsidR="00331B11" w:rsidRPr="006A48CE" w:rsidRDefault="00331B11" w:rsidP="00263BDF">
      <w:pPr>
        <w:rPr>
          <w:rFonts w:ascii="Times New Roman" w:hAnsi="Times New Roman" w:cs="Times New Roman"/>
          <w:sz w:val="20"/>
          <w:szCs w:val="24"/>
        </w:rPr>
      </w:pPr>
      <w:r w:rsidRPr="006A48CE">
        <w:rPr>
          <w:rFonts w:ascii="Times New Roman" w:hAnsi="Times New Roman" w:cs="Times New Roman"/>
          <w:b/>
          <w:sz w:val="20"/>
          <w:szCs w:val="24"/>
        </w:rPr>
        <w:t xml:space="preserve">Healthcare costs. </w:t>
      </w:r>
      <w:r w:rsidRPr="006A48CE">
        <w:rPr>
          <w:rFonts w:ascii="Times New Roman" w:hAnsi="Times New Roman" w:cs="Times New Roman"/>
          <w:sz w:val="20"/>
          <w:szCs w:val="24"/>
        </w:rPr>
        <w:t>The model used data of the Dutch Cost of Illness Study for the Dutch healthcare costs.</w:t>
      </w:r>
      <w:r w:rsidR="00E069D6">
        <w:rPr>
          <w:rFonts w:ascii="Times New Roman" w:hAnsi="Times New Roman" w:cs="Times New Roman"/>
          <w:sz w:val="20"/>
          <w:szCs w:val="24"/>
          <w:vertAlign w:val="superscript"/>
        </w:rPr>
        <w:t>5</w:t>
      </w:r>
      <w:r w:rsidRPr="006A48CE">
        <w:rPr>
          <w:rFonts w:ascii="Times New Roman" w:hAnsi="Times New Roman" w:cs="Times New Roman"/>
          <w:sz w:val="20"/>
          <w:szCs w:val="24"/>
        </w:rPr>
        <w:t xml:space="preserve"> Cost data were indexed to the Dutch 2018 price level using consumer price indexes.</w:t>
      </w:r>
    </w:p>
    <w:p w:rsidR="00331B11" w:rsidRPr="006A48CE" w:rsidRDefault="00331B11" w:rsidP="00D85574">
      <w:pPr>
        <w:spacing w:after="0"/>
        <w:rPr>
          <w:rFonts w:ascii="Times New Roman" w:hAnsi="Times New Roman" w:cs="Times New Roman"/>
          <w:b/>
          <w:sz w:val="20"/>
          <w:szCs w:val="24"/>
        </w:rPr>
      </w:pPr>
      <w:r w:rsidRPr="006A48CE">
        <w:rPr>
          <w:rFonts w:ascii="Times New Roman" w:hAnsi="Times New Roman" w:cs="Times New Roman"/>
          <w:b/>
          <w:sz w:val="20"/>
          <w:szCs w:val="24"/>
        </w:rPr>
        <w:t xml:space="preserve">Discounting. </w:t>
      </w:r>
      <w:r w:rsidRPr="006A48CE">
        <w:rPr>
          <w:rFonts w:ascii="Times New Roman" w:hAnsi="Times New Roman" w:cs="Times New Roman"/>
          <w:sz w:val="20"/>
          <w:szCs w:val="24"/>
        </w:rPr>
        <w:t>Because obesity prevention was applied in the primary school period, we further discounted the healthcare costs and effects over 12 years, spanning the time from childhood (mean 8 years of age) into young adulthood (20 years of age).</w:t>
      </w:r>
      <w:r w:rsidRPr="006A48CE">
        <w:rPr>
          <w:rFonts w:ascii="Times New Roman" w:hAnsi="Times New Roman" w:cs="Times New Roman"/>
          <w:sz w:val="20"/>
          <w:szCs w:val="24"/>
        </w:rPr>
        <w:br/>
      </w:r>
    </w:p>
    <w:p w:rsidR="00331B11" w:rsidRPr="006A48CE" w:rsidRDefault="00331B11" w:rsidP="00071FCA">
      <w:pPr>
        <w:spacing w:after="0"/>
        <w:rPr>
          <w:rFonts w:ascii="Times New Roman" w:hAnsi="Times New Roman" w:cs="Times New Roman"/>
          <w:sz w:val="20"/>
          <w:szCs w:val="24"/>
          <w:vertAlign w:val="superscript"/>
        </w:rPr>
      </w:pPr>
      <w:r w:rsidRPr="006A48CE">
        <w:rPr>
          <w:rFonts w:ascii="Times New Roman" w:hAnsi="Times New Roman" w:cs="Times New Roman"/>
          <w:b/>
          <w:sz w:val="20"/>
          <w:szCs w:val="24"/>
        </w:rPr>
        <w:t xml:space="preserve">Productivity costs. </w:t>
      </w:r>
      <w:r w:rsidRPr="006A48CE">
        <w:rPr>
          <w:rFonts w:ascii="Times New Roman" w:hAnsi="Times New Roman" w:cs="Times New Roman"/>
          <w:sz w:val="20"/>
          <w:szCs w:val="24"/>
        </w:rPr>
        <w:t xml:space="preserve">Productivity losses in adulthood were incorporated through the relation between weight category up to 67 years of age and the number of annual sick leave days from work as reported by Lehnert et al. (2014). </w:t>
      </w:r>
      <w:r w:rsidR="00E069D6">
        <w:rPr>
          <w:rFonts w:ascii="Times New Roman" w:hAnsi="Times New Roman" w:cs="Times New Roman"/>
          <w:sz w:val="20"/>
          <w:szCs w:val="24"/>
          <w:vertAlign w:val="superscript"/>
        </w:rPr>
        <w:t>6, 7</w:t>
      </w:r>
    </w:p>
    <w:p w:rsidR="00331B11" w:rsidRPr="006A48CE" w:rsidRDefault="00331B11" w:rsidP="00D85574">
      <w:pPr>
        <w:spacing w:after="0"/>
        <w:rPr>
          <w:rFonts w:ascii="Times New Roman" w:hAnsi="Times New Roman" w:cs="Times New Roman"/>
          <w:sz w:val="20"/>
          <w:szCs w:val="24"/>
        </w:rPr>
      </w:pPr>
      <w:r w:rsidRPr="006A48CE">
        <w:rPr>
          <w:rFonts w:ascii="Times New Roman" w:hAnsi="Times New Roman" w:cs="Times New Roman"/>
          <w:b/>
          <w:sz w:val="20"/>
          <w:szCs w:val="24"/>
        </w:rPr>
        <w:br/>
        <w:t>B. Structural model uncertainty</w:t>
      </w:r>
    </w:p>
    <w:p w:rsidR="00331B11" w:rsidRPr="006A48CE" w:rsidRDefault="00331B11" w:rsidP="008D4A98">
      <w:pPr>
        <w:spacing w:after="0" w:line="240" w:lineRule="auto"/>
        <w:rPr>
          <w:rFonts w:ascii="Times New Roman" w:eastAsia="Times New Roman" w:hAnsi="Times New Roman" w:cs="Times New Roman"/>
          <w:color w:val="000000"/>
          <w:sz w:val="20"/>
          <w:lang w:val="en-US" w:eastAsia="nl-NL"/>
        </w:rPr>
      </w:pPr>
      <w:r w:rsidRPr="006A48CE">
        <w:rPr>
          <w:rFonts w:ascii="Times New Roman" w:eastAsia="Times New Roman" w:hAnsi="Times New Roman" w:cs="Times New Roman"/>
          <w:color w:val="000000"/>
          <w:sz w:val="20"/>
          <w:lang w:val="en-US" w:eastAsia="nl-NL"/>
        </w:rPr>
        <w:t>The analysis adopted a societal perspective. Although both healthcare and productivity costs were included, it may not reflect a full societal perspective. Other potential impacts are:</w:t>
      </w:r>
    </w:p>
    <w:p w:rsidR="00331B11" w:rsidRPr="006A48CE" w:rsidRDefault="00331B11" w:rsidP="008D4A98">
      <w:pPr>
        <w:spacing w:after="0" w:line="240" w:lineRule="auto"/>
        <w:rPr>
          <w:rFonts w:ascii="Times New Roman" w:eastAsia="Times New Roman" w:hAnsi="Times New Roman" w:cs="Times New Roman"/>
          <w:color w:val="000000"/>
          <w:sz w:val="20"/>
          <w:lang w:val="en-US" w:eastAsia="nl-NL"/>
        </w:rPr>
      </w:pPr>
      <w:r w:rsidRPr="006A48CE">
        <w:rPr>
          <w:rFonts w:ascii="Times New Roman" w:eastAsia="Times New Roman" w:hAnsi="Times New Roman" w:cs="Times New Roman"/>
          <w:color w:val="000000"/>
          <w:sz w:val="20"/>
          <w:lang w:val="en-US" w:eastAsia="nl-NL"/>
        </w:rPr>
        <w:t>- Stigmatization and wellbeing effects related to overweight and obesity.</w:t>
      </w:r>
    </w:p>
    <w:p w:rsidR="00331B11" w:rsidRPr="006A48CE" w:rsidRDefault="00331B11" w:rsidP="00D85574">
      <w:pPr>
        <w:spacing w:after="0" w:line="240" w:lineRule="auto"/>
        <w:ind w:left="142" w:hanging="142"/>
        <w:rPr>
          <w:rFonts w:ascii="Times New Roman" w:eastAsia="Times New Roman" w:hAnsi="Times New Roman" w:cs="Times New Roman"/>
          <w:color w:val="000000"/>
          <w:sz w:val="20"/>
          <w:lang w:val="en-US" w:eastAsia="nl-NL"/>
        </w:rPr>
      </w:pPr>
      <w:r w:rsidRPr="006A48CE">
        <w:rPr>
          <w:rFonts w:ascii="Times New Roman" w:eastAsia="Times New Roman" w:hAnsi="Times New Roman" w:cs="Times New Roman"/>
          <w:color w:val="000000"/>
          <w:sz w:val="20"/>
          <w:lang w:val="en-US" w:eastAsia="nl-NL"/>
        </w:rPr>
        <w:t>- Wellbeing effects (effects not fully captured with the EQ5D-Y instrument) due to improved lifestyle behaviours.</w:t>
      </w:r>
    </w:p>
    <w:p w:rsidR="00331B11" w:rsidRPr="006A48CE" w:rsidRDefault="00331B11" w:rsidP="00D85574">
      <w:pPr>
        <w:spacing w:after="0" w:line="240" w:lineRule="auto"/>
        <w:ind w:left="142" w:hanging="142"/>
        <w:rPr>
          <w:rFonts w:ascii="Times New Roman" w:eastAsia="Times New Roman" w:hAnsi="Times New Roman" w:cs="Times New Roman"/>
          <w:color w:val="000000"/>
          <w:sz w:val="20"/>
          <w:lang w:val="en-US" w:eastAsia="nl-NL"/>
        </w:rPr>
      </w:pPr>
      <w:r w:rsidRPr="006A48CE">
        <w:rPr>
          <w:rFonts w:ascii="Times New Roman" w:eastAsia="Times New Roman" w:hAnsi="Times New Roman" w:cs="Times New Roman"/>
          <w:color w:val="000000"/>
          <w:sz w:val="20"/>
          <w:lang w:val="en-US" w:eastAsia="nl-NL"/>
        </w:rPr>
        <w:t>- The impact of improved lifestyle behaviours on school outcomes and productivity in later life.</w:t>
      </w:r>
    </w:p>
    <w:p w:rsidR="00331B11" w:rsidRPr="00023544" w:rsidRDefault="00331B11" w:rsidP="00166563">
      <w:pPr>
        <w:spacing w:after="0" w:line="240" w:lineRule="auto"/>
        <w:rPr>
          <w:rFonts w:ascii="Times New Roman" w:eastAsia="Times New Roman" w:hAnsi="Times New Roman" w:cs="Times New Roman"/>
          <w:color w:val="000000"/>
          <w:sz w:val="24"/>
          <w:lang w:val="en-US" w:eastAsia="nl-NL"/>
        </w:rPr>
      </w:pPr>
    </w:p>
    <w:p w:rsidR="00331B11" w:rsidRPr="00023544" w:rsidRDefault="00331B11" w:rsidP="00166563">
      <w:pPr>
        <w:rPr>
          <w:rFonts w:ascii="Times New Roman" w:hAnsi="Times New Roman" w:cs="Times New Roman"/>
          <w:sz w:val="24"/>
          <w:szCs w:val="24"/>
        </w:rPr>
      </w:pPr>
      <w:r w:rsidRPr="00023544">
        <w:rPr>
          <w:rFonts w:ascii="Times New Roman" w:hAnsi="Times New Roman" w:cs="Times New Roman"/>
          <w:sz w:val="24"/>
          <w:szCs w:val="24"/>
        </w:rPr>
        <w:br w:type="page"/>
      </w:r>
    </w:p>
    <w:p w:rsidR="00331B11" w:rsidRPr="00023544" w:rsidRDefault="00331B11" w:rsidP="007922AA">
      <w:pPr>
        <w:pStyle w:val="ListParagraph"/>
        <w:spacing w:after="0" w:line="360" w:lineRule="auto"/>
        <w:ind w:left="0"/>
        <w:rPr>
          <w:rFonts w:ascii="Times New Roman" w:hAnsi="Times New Roman" w:cs="Times New Roman"/>
          <w:b/>
          <w:sz w:val="24"/>
          <w:szCs w:val="24"/>
        </w:rPr>
      </w:pPr>
      <w:r w:rsidRPr="00023544">
        <w:rPr>
          <w:rFonts w:ascii="Times New Roman" w:hAnsi="Times New Roman" w:cs="Times New Roman"/>
          <w:b/>
          <w:sz w:val="24"/>
          <w:szCs w:val="24"/>
        </w:rPr>
        <w:lastRenderedPageBreak/>
        <w:t>REFERENCES</w:t>
      </w:r>
    </w:p>
    <w:p w:rsidR="00E069D6" w:rsidRPr="00D268DD" w:rsidRDefault="00E069D6" w:rsidP="00E069D6">
      <w:pPr>
        <w:pStyle w:val="ListParagraph"/>
        <w:numPr>
          <w:ilvl w:val="0"/>
          <w:numId w:val="26"/>
        </w:numPr>
        <w:spacing w:after="0" w:line="360" w:lineRule="auto"/>
        <w:ind w:left="284" w:hanging="284"/>
        <w:rPr>
          <w:rFonts w:ascii="Times New Roman" w:hAnsi="Times New Roman" w:cs="Times New Roman"/>
          <w:sz w:val="20"/>
          <w:szCs w:val="24"/>
          <w:lang w:val="en-US"/>
        </w:rPr>
      </w:pPr>
      <w:r w:rsidRPr="00D268DD">
        <w:rPr>
          <w:rFonts w:ascii="Times New Roman" w:hAnsi="Times New Roman" w:cs="Times New Roman"/>
          <w:sz w:val="20"/>
          <w:szCs w:val="24"/>
          <w:lang w:val="nl-NL"/>
        </w:rPr>
        <w:t xml:space="preserve">Hoogenveen RT, van Baal PH, Boshuizen HC. </w:t>
      </w:r>
      <w:r w:rsidRPr="00D268DD">
        <w:rPr>
          <w:rFonts w:ascii="Times New Roman" w:hAnsi="Times New Roman" w:cs="Times New Roman"/>
          <w:sz w:val="20"/>
          <w:szCs w:val="24"/>
        </w:rPr>
        <w:t>Chronic disease projections in heterogeneous ageing populations: approximating multi-state models of joint distributions by modelling marginal distributions. Math Med Biol</w:t>
      </w:r>
      <w:r w:rsidR="00D268DD">
        <w:rPr>
          <w:rFonts w:ascii="Times New Roman" w:hAnsi="Times New Roman" w:cs="Times New Roman"/>
          <w:sz w:val="20"/>
          <w:szCs w:val="24"/>
        </w:rPr>
        <w:t>.</w:t>
      </w:r>
      <w:r w:rsidR="0014305F">
        <w:rPr>
          <w:rFonts w:ascii="Times New Roman" w:hAnsi="Times New Roman" w:cs="Times New Roman"/>
          <w:sz w:val="20"/>
          <w:szCs w:val="24"/>
        </w:rPr>
        <w:t xml:space="preserve"> 2010;</w:t>
      </w:r>
      <w:r w:rsidRPr="00D268DD">
        <w:rPr>
          <w:rFonts w:ascii="Times New Roman" w:hAnsi="Times New Roman" w:cs="Times New Roman"/>
          <w:sz w:val="20"/>
          <w:szCs w:val="24"/>
        </w:rPr>
        <w:t>27</w:t>
      </w:r>
      <w:r w:rsidR="0014305F">
        <w:rPr>
          <w:rFonts w:ascii="Times New Roman" w:hAnsi="Times New Roman" w:cs="Times New Roman"/>
          <w:sz w:val="20"/>
          <w:szCs w:val="24"/>
        </w:rPr>
        <w:t>(1):</w:t>
      </w:r>
      <w:r w:rsidRPr="00D268DD">
        <w:rPr>
          <w:rFonts w:ascii="Times New Roman" w:hAnsi="Times New Roman" w:cs="Times New Roman"/>
          <w:sz w:val="20"/>
          <w:szCs w:val="24"/>
        </w:rPr>
        <w:t>1-19.</w:t>
      </w:r>
    </w:p>
    <w:p w:rsidR="00331B11" w:rsidRPr="00D268DD" w:rsidRDefault="00331B11" w:rsidP="00C11123">
      <w:pPr>
        <w:pStyle w:val="ListParagraph"/>
        <w:numPr>
          <w:ilvl w:val="0"/>
          <w:numId w:val="26"/>
        </w:numPr>
        <w:ind w:left="284" w:hanging="284"/>
        <w:rPr>
          <w:rFonts w:ascii="Times New Roman" w:hAnsi="Times New Roman" w:cs="Times New Roman"/>
          <w:sz w:val="20"/>
          <w:szCs w:val="24"/>
          <w:lang w:val="en-US"/>
        </w:rPr>
      </w:pPr>
      <w:r w:rsidRPr="00D268DD">
        <w:rPr>
          <w:rFonts w:ascii="Times New Roman" w:hAnsi="Times New Roman" w:cs="Times New Roman"/>
          <w:sz w:val="20"/>
          <w:szCs w:val="24"/>
          <w:lang w:val="nl-NL"/>
        </w:rPr>
        <w:t xml:space="preserve">Schonbeck Y, Talma H, van Dommelen P, et al. </w:t>
      </w:r>
      <w:r w:rsidRPr="00D268DD">
        <w:rPr>
          <w:rFonts w:ascii="Times New Roman" w:hAnsi="Times New Roman" w:cs="Times New Roman"/>
          <w:sz w:val="20"/>
          <w:szCs w:val="24"/>
          <w:lang w:val="en-US"/>
        </w:rPr>
        <w:t xml:space="preserve">Increase in prevalence of overweight in Dutch children and adolescents: a comparison of nationwide growth studies in 1980, 1997 and 2009. </w:t>
      </w:r>
      <w:r w:rsidR="00D268DD">
        <w:rPr>
          <w:rFonts w:ascii="Times New Roman" w:hAnsi="Times New Roman" w:cs="Times New Roman"/>
          <w:sz w:val="20"/>
          <w:szCs w:val="24"/>
          <w:lang w:val="en-US"/>
        </w:rPr>
        <w:t>PloS O</w:t>
      </w:r>
      <w:r w:rsidRPr="00D268DD">
        <w:rPr>
          <w:rFonts w:ascii="Times New Roman" w:hAnsi="Times New Roman" w:cs="Times New Roman"/>
          <w:sz w:val="20"/>
          <w:szCs w:val="24"/>
          <w:lang w:val="en-US"/>
        </w:rPr>
        <w:t>ne</w:t>
      </w:r>
      <w:r w:rsidR="00D268DD">
        <w:rPr>
          <w:rFonts w:ascii="Times New Roman" w:hAnsi="Times New Roman" w:cs="Times New Roman"/>
          <w:sz w:val="20"/>
          <w:szCs w:val="24"/>
          <w:lang w:val="en-US"/>
        </w:rPr>
        <w:t>.</w:t>
      </w:r>
      <w:r w:rsidRPr="00D268DD">
        <w:rPr>
          <w:rFonts w:ascii="Times New Roman" w:hAnsi="Times New Roman" w:cs="Times New Roman"/>
          <w:sz w:val="20"/>
          <w:szCs w:val="24"/>
          <w:lang w:val="en-US"/>
        </w:rPr>
        <w:t xml:space="preserve"> </w:t>
      </w:r>
      <w:r w:rsidR="0014305F">
        <w:rPr>
          <w:rFonts w:ascii="Times New Roman" w:hAnsi="Times New Roman" w:cs="Times New Roman"/>
          <w:sz w:val="20"/>
          <w:szCs w:val="24"/>
          <w:lang w:val="en-US"/>
        </w:rPr>
        <w:t>2011;</w:t>
      </w:r>
      <w:r w:rsidRPr="00D268DD">
        <w:rPr>
          <w:rFonts w:ascii="Times New Roman" w:hAnsi="Times New Roman" w:cs="Times New Roman"/>
          <w:sz w:val="20"/>
          <w:szCs w:val="24"/>
          <w:lang w:val="en-US"/>
        </w:rPr>
        <w:t>6</w:t>
      </w:r>
      <w:r w:rsidR="0014305F">
        <w:rPr>
          <w:rFonts w:ascii="Times New Roman" w:hAnsi="Times New Roman" w:cs="Times New Roman"/>
          <w:sz w:val="20"/>
          <w:szCs w:val="24"/>
          <w:lang w:val="en-US"/>
        </w:rPr>
        <w:t>(11):</w:t>
      </w:r>
      <w:r w:rsidRPr="00D268DD">
        <w:rPr>
          <w:rFonts w:ascii="Times New Roman" w:hAnsi="Times New Roman" w:cs="Times New Roman"/>
          <w:sz w:val="20"/>
          <w:szCs w:val="24"/>
          <w:lang w:val="en-US"/>
        </w:rPr>
        <w:t>e27608.</w:t>
      </w:r>
    </w:p>
    <w:p w:rsidR="00331B11" w:rsidRPr="00D268DD" w:rsidRDefault="00331B11" w:rsidP="00C11123">
      <w:pPr>
        <w:pStyle w:val="ListParagraph"/>
        <w:numPr>
          <w:ilvl w:val="0"/>
          <w:numId w:val="26"/>
        </w:numPr>
        <w:spacing w:after="0" w:line="360" w:lineRule="auto"/>
        <w:ind w:left="284" w:hanging="284"/>
        <w:rPr>
          <w:rFonts w:ascii="Times New Roman" w:hAnsi="Times New Roman" w:cs="Times New Roman"/>
          <w:sz w:val="20"/>
          <w:szCs w:val="24"/>
          <w:lang w:val="en-US"/>
        </w:rPr>
      </w:pPr>
      <w:r w:rsidRPr="00D91FCB">
        <w:rPr>
          <w:rFonts w:ascii="Times New Roman" w:hAnsi="Times New Roman" w:cs="Times New Roman"/>
          <w:sz w:val="20"/>
          <w:szCs w:val="24"/>
          <w:lang w:val="nl-NL"/>
        </w:rPr>
        <w:t xml:space="preserve">van Baal PHM, Hoogenveen RT, de Wit GA, Boshuizen HC. </w:t>
      </w:r>
      <w:r w:rsidRPr="00D268DD">
        <w:rPr>
          <w:rFonts w:ascii="Times New Roman" w:hAnsi="Times New Roman" w:cs="Times New Roman"/>
          <w:sz w:val="20"/>
          <w:szCs w:val="24"/>
        </w:rPr>
        <w:t>Estimating health-adjusted life expectancy conditional on risk factors: results for smoking and obesity. Popul Health Metr</w:t>
      </w:r>
      <w:r w:rsidR="00D268DD">
        <w:rPr>
          <w:rFonts w:ascii="Times New Roman" w:hAnsi="Times New Roman" w:cs="Times New Roman"/>
          <w:sz w:val="20"/>
          <w:szCs w:val="24"/>
        </w:rPr>
        <w:t>.</w:t>
      </w:r>
      <w:r w:rsidR="0014305F">
        <w:rPr>
          <w:rFonts w:ascii="Times New Roman" w:hAnsi="Times New Roman" w:cs="Times New Roman"/>
          <w:sz w:val="20"/>
          <w:szCs w:val="24"/>
        </w:rPr>
        <w:t xml:space="preserve"> 2006;</w:t>
      </w:r>
      <w:r w:rsidRPr="00D268DD">
        <w:rPr>
          <w:rFonts w:ascii="Times New Roman" w:hAnsi="Times New Roman" w:cs="Times New Roman"/>
          <w:sz w:val="20"/>
          <w:szCs w:val="24"/>
        </w:rPr>
        <w:t>4</w:t>
      </w:r>
      <w:r w:rsidR="0014305F">
        <w:rPr>
          <w:rFonts w:ascii="Times New Roman" w:hAnsi="Times New Roman" w:cs="Times New Roman"/>
          <w:sz w:val="20"/>
          <w:szCs w:val="24"/>
        </w:rPr>
        <w:t>(1):</w:t>
      </w:r>
      <w:r w:rsidRPr="00D268DD">
        <w:rPr>
          <w:rFonts w:ascii="Times New Roman" w:hAnsi="Times New Roman" w:cs="Times New Roman"/>
          <w:sz w:val="20"/>
          <w:szCs w:val="24"/>
        </w:rPr>
        <w:t>4-14.</w:t>
      </w:r>
    </w:p>
    <w:p w:rsidR="00331B11" w:rsidRPr="00D268DD" w:rsidRDefault="00331B11" w:rsidP="00C11123">
      <w:pPr>
        <w:pStyle w:val="ListParagraph"/>
        <w:numPr>
          <w:ilvl w:val="0"/>
          <w:numId w:val="26"/>
        </w:numPr>
        <w:spacing w:after="0" w:line="360" w:lineRule="auto"/>
        <w:ind w:left="284" w:hanging="284"/>
        <w:rPr>
          <w:rFonts w:ascii="Times New Roman" w:hAnsi="Times New Roman" w:cs="Times New Roman"/>
          <w:sz w:val="20"/>
          <w:szCs w:val="24"/>
          <w:lang w:val="en-US"/>
        </w:rPr>
      </w:pPr>
      <w:r w:rsidRPr="00D268DD">
        <w:rPr>
          <w:rFonts w:ascii="Times New Roman" w:hAnsi="Times New Roman" w:cs="Times New Roman"/>
          <w:sz w:val="20"/>
          <w:szCs w:val="24"/>
          <w:lang w:val="en-US"/>
        </w:rPr>
        <w:t>Melse JM, Essink-Bot ML, Kramers PG, Hoeymans N. A national burden of disease calculation: Dutch disability-adjusted life-years. Dutch Burden of Disease Group. Am J Public Health</w:t>
      </w:r>
      <w:r w:rsidR="00D268DD">
        <w:rPr>
          <w:rFonts w:ascii="Times New Roman" w:hAnsi="Times New Roman" w:cs="Times New Roman"/>
          <w:sz w:val="20"/>
          <w:szCs w:val="24"/>
          <w:lang w:val="en-US"/>
        </w:rPr>
        <w:t>.</w:t>
      </w:r>
      <w:r w:rsidR="0014305F">
        <w:rPr>
          <w:rFonts w:ascii="Times New Roman" w:hAnsi="Times New Roman" w:cs="Times New Roman"/>
          <w:sz w:val="20"/>
          <w:szCs w:val="24"/>
          <w:lang w:val="en-US"/>
        </w:rPr>
        <w:t xml:space="preserve"> 2000;</w:t>
      </w:r>
      <w:r w:rsidRPr="00D268DD">
        <w:rPr>
          <w:rFonts w:ascii="Times New Roman" w:hAnsi="Times New Roman" w:cs="Times New Roman"/>
          <w:sz w:val="20"/>
          <w:szCs w:val="24"/>
          <w:lang w:val="en-US"/>
        </w:rPr>
        <w:t>90</w:t>
      </w:r>
      <w:r w:rsidR="0014305F">
        <w:rPr>
          <w:rFonts w:ascii="Times New Roman" w:hAnsi="Times New Roman" w:cs="Times New Roman"/>
          <w:sz w:val="20"/>
          <w:szCs w:val="24"/>
          <w:lang w:val="en-US"/>
        </w:rPr>
        <w:t>(8):</w:t>
      </w:r>
      <w:r w:rsidRPr="00D268DD">
        <w:rPr>
          <w:rFonts w:ascii="Times New Roman" w:hAnsi="Times New Roman" w:cs="Times New Roman"/>
          <w:sz w:val="20"/>
          <w:szCs w:val="24"/>
          <w:lang w:val="en-US"/>
        </w:rPr>
        <w:t>1241-7.</w:t>
      </w:r>
    </w:p>
    <w:p w:rsidR="00331B11" w:rsidRPr="00D91FCB" w:rsidRDefault="00331B11" w:rsidP="00C11123">
      <w:pPr>
        <w:pStyle w:val="ListParagraph"/>
        <w:numPr>
          <w:ilvl w:val="0"/>
          <w:numId w:val="26"/>
        </w:numPr>
        <w:spacing w:after="0" w:line="360" w:lineRule="auto"/>
        <w:ind w:left="284" w:hanging="284"/>
        <w:rPr>
          <w:rFonts w:ascii="Times New Roman" w:hAnsi="Times New Roman" w:cs="Times New Roman"/>
          <w:sz w:val="20"/>
          <w:szCs w:val="24"/>
          <w:lang w:val="nl-NL"/>
        </w:rPr>
      </w:pPr>
      <w:r w:rsidRPr="00D91FCB">
        <w:rPr>
          <w:rFonts w:ascii="Times New Roman" w:hAnsi="Times New Roman" w:cs="Times New Roman"/>
          <w:sz w:val="20"/>
          <w:szCs w:val="24"/>
          <w:lang w:val="nl-NL"/>
        </w:rPr>
        <w:t xml:space="preserve">Slobbe L, Smit J, Groen J, Poos M, Kommer G. Kosten van Ziekten in Nederland 2007. </w:t>
      </w:r>
    </w:p>
    <w:p w:rsidR="00331B11" w:rsidRPr="00D268DD" w:rsidRDefault="00331B11" w:rsidP="00C11123">
      <w:pPr>
        <w:pStyle w:val="ListParagraph"/>
        <w:numPr>
          <w:ilvl w:val="0"/>
          <w:numId w:val="26"/>
        </w:numPr>
        <w:spacing w:after="0" w:line="360" w:lineRule="auto"/>
        <w:ind w:left="284" w:hanging="284"/>
        <w:rPr>
          <w:rFonts w:ascii="Times New Roman" w:hAnsi="Times New Roman" w:cs="Times New Roman"/>
          <w:sz w:val="20"/>
          <w:szCs w:val="24"/>
          <w:lang w:val="en-US"/>
        </w:rPr>
      </w:pPr>
      <w:r w:rsidRPr="00D91FCB">
        <w:rPr>
          <w:rFonts w:ascii="Times New Roman" w:hAnsi="Times New Roman" w:cs="Times New Roman"/>
          <w:sz w:val="20"/>
          <w:szCs w:val="24"/>
          <w:lang w:val="nl-NL"/>
        </w:rPr>
        <w:t>Lehnert T, Stuhldreher N, Streltchenia P, R</w:t>
      </w:r>
      <w:r w:rsidRPr="00D268DD">
        <w:rPr>
          <w:rFonts w:ascii="Times New Roman" w:hAnsi="Times New Roman" w:cs="Times New Roman"/>
          <w:sz w:val="20"/>
          <w:szCs w:val="24"/>
          <w:lang w:val="nl-NL"/>
        </w:rPr>
        <w:t xml:space="preserve">iedel-Heller S, Koenig H-H. </w:t>
      </w:r>
      <w:r w:rsidRPr="00D268DD">
        <w:rPr>
          <w:rFonts w:ascii="Times New Roman" w:hAnsi="Times New Roman" w:cs="Times New Roman"/>
          <w:sz w:val="20"/>
          <w:szCs w:val="24"/>
          <w:lang w:val="en-US"/>
        </w:rPr>
        <w:t>Sick leave days and costs associated with overweight and obesity in Germany. J Occup Eviron Med</w:t>
      </w:r>
      <w:r w:rsidR="00D268DD">
        <w:rPr>
          <w:rFonts w:ascii="Times New Roman" w:hAnsi="Times New Roman" w:cs="Times New Roman"/>
          <w:sz w:val="20"/>
          <w:szCs w:val="24"/>
          <w:lang w:val="en-US"/>
        </w:rPr>
        <w:t>.</w:t>
      </w:r>
      <w:r w:rsidR="0014305F">
        <w:rPr>
          <w:rFonts w:ascii="Times New Roman" w:hAnsi="Times New Roman" w:cs="Times New Roman"/>
          <w:sz w:val="20"/>
          <w:szCs w:val="24"/>
          <w:lang w:val="en-US"/>
        </w:rPr>
        <w:t xml:space="preserve"> 2014;</w:t>
      </w:r>
      <w:r w:rsidRPr="00D268DD">
        <w:rPr>
          <w:rFonts w:ascii="Times New Roman" w:hAnsi="Times New Roman" w:cs="Times New Roman"/>
          <w:sz w:val="20"/>
          <w:szCs w:val="24"/>
          <w:lang w:val="en-US"/>
        </w:rPr>
        <w:t>56</w:t>
      </w:r>
      <w:r w:rsidR="0014305F">
        <w:rPr>
          <w:rFonts w:ascii="Times New Roman" w:hAnsi="Times New Roman" w:cs="Times New Roman"/>
          <w:sz w:val="20"/>
          <w:szCs w:val="24"/>
          <w:lang w:val="en-US"/>
        </w:rPr>
        <w:t>(1):</w:t>
      </w:r>
      <w:r w:rsidRPr="00D268DD">
        <w:rPr>
          <w:rFonts w:ascii="Times New Roman" w:hAnsi="Times New Roman" w:cs="Times New Roman"/>
          <w:sz w:val="20"/>
          <w:szCs w:val="24"/>
          <w:lang w:val="en-US"/>
        </w:rPr>
        <w:t>20-7.</w:t>
      </w:r>
    </w:p>
    <w:p w:rsidR="00331B11" w:rsidRPr="00D268DD" w:rsidRDefault="00331B11" w:rsidP="00C11123">
      <w:pPr>
        <w:pStyle w:val="ListParagraph"/>
        <w:numPr>
          <w:ilvl w:val="0"/>
          <w:numId w:val="26"/>
        </w:numPr>
        <w:spacing w:after="0" w:line="360" w:lineRule="auto"/>
        <w:ind w:left="284" w:hanging="284"/>
        <w:rPr>
          <w:rFonts w:ascii="Times New Roman" w:hAnsi="Times New Roman" w:cs="Times New Roman"/>
          <w:sz w:val="20"/>
          <w:szCs w:val="24"/>
          <w:lang w:val="en-US"/>
        </w:rPr>
      </w:pPr>
      <w:r w:rsidRPr="00D91FCB">
        <w:rPr>
          <w:rFonts w:ascii="Times New Roman" w:hAnsi="Times New Roman" w:cs="Times New Roman"/>
          <w:sz w:val="20"/>
          <w:szCs w:val="24"/>
          <w:lang w:val="nl-NL"/>
        </w:rPr>
        <w:t>CBS Statline. Arbeidsdeelname</w:t>
      </w:r>
      <w:r w:rsidR="00CC15AC" w:rsidRPr="00D91FCB">
        <w:rPr>
          <w:rFonts w:ascii="Times New Roman" w:hAnsi="Times New Roman" w:cs="Times New Roman"/>
          <w:sz w:val="20"/>
          <w:szCs w:val="24"/>
          <w:lang w:val="nl-NL"/>
        </w:rPr>
        <w:t>.</w:t>
      </w:r>
      <w:r w:rsidRPr="00D91FCB">
        <w:rPr>
          <w:rFonts w:ascii="Times New Roman" w:hAnsi="Times New Roman" w:cs="Times New Roman"/>
          <w:sz w:val="20"/>
          <w:szCs w:val="24"/>
          <w:lang w:val="nl-NL"/>
        </w:rPr>
        <w:t xml:space="preserve"> 2017</w:t>
      </w:r>
      <w:r w:rsidR="00CC15AC" w:rsidRPr="00D91FCB">
        <w:rPr>
          <w:rFonts w:ascii="Times New Roman" w:hAnsi="Times New Roman" w:cs="Times New Roman"/>
          <w:sz w:val="20"/>
          <w:szCs w:val="24"/>
          <w:lang w:val="nl-NL"/>
        </w:rPr>
        <w:t xml:space="preserve">. </w:t>
      </w:r>
      <w:hyperlink r:id="rId7" w:anchor="/CBS/nl/dataset/71738NED/table?fromstatweb" w:history="1">
        <w:r w:rsidR="00CC15AC" w:rsidRPr="00D91FCB">
          <w:rPr>
            <w:rStyle w:val="Hyperlink"/>
            <w:rFonts w:ascii="Times New Roman" w:hAnsi="Times New Roman" w:cs="Times New Roman"/>
            <w:sz w:val="20"/>
            <w:szCs w:val="24"/>
            <w:lang w:val="nl-NL"/>
          </w:rPr>
          <w:t>https://opendata.cbs.nl/statline/#/CBS/nl/dataset/71738NED/table?fromstatweb</w:t>
        </w:r>
      </w:hyperlink>
      <w:r w:rsidRPr="00D91FCB">
        <w:rPr>
          <w:rFonts w:ascii="Times New Roman" w:hAnsi="Times New Roman" w:cs="Times New Roman"/>
          <w:sz w:val="20"/>
          <w:szCs w:val="24"/>
          <w:lang w:val="nl-NL"/>
        </w:rPr>
        <w:t>].</w:t>
      </w:r>
      <w:r w:rsidR="00CC15AC" w:rsidRPr="00D91FCB">
        <w:rPr>
          <w:rFonts w:ascii="Times New Roman" w:hAnsi="Times New Roman" w:cs="Times New Roman"/>
          <w:sz w:val="20"/>
          <w:szCs w:val="24"/>
          <w:lang w:val="nl-NL"/>
        </w:rPr>
        <w:t xml:space="preserve"> </w:t>
      </w:r>
      <w:r w:rsidR="00CC15AC">
        <w:rPr>
          <w:rFonts w:ascii="Times New Roman" w:hAnsi="Times New Roman" w:cs="Times New Roman"/>
          <w:sz w:val="20"/>
          <w:szCs w:val="24"/>
          <w:lang w:val="en-US"/>
        </w:rPr>
        <w:t>Accessed January 2020.</w:t>
      </w:r>
    </w:p>
    <w:p w:rsidR="00331B11" w:rsidRPr="006B1EA6" w:rsidRDefault="00331B11" w:rsidP="006B1EA6">
      <w:pPr>
        <w:spacing w:after="0" w:line="360" w:lineRule="auto"/>
        <w:ind w:left="360"/>
        <w:rPr>
          <w:rFonts w:ascii="Times New Roman" w:hAnsi="Times New Roman" w:cs="Times New Roman"/>
          <w:sz w:val="24"/>
          <w:szCs w:val="24"/>
        </w:rPr>
      </w:pPr>
    </w:p>
    <w:p w:rsidR="008E5D1E" w:rsidRDefault="008E5D1E"/>
    <w:sectPr w:rsidR="008E5D1E" w:rsidSect="00754C0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3B6" w:rsidRDefault="00E163B6">
      <w:pPr>
        <w:spacing w:after="0" w:line="240" w:lineRule="auto"/>
      </w:pPr>
      <w:r>
        <w:separator/>
      </w:r>
    </w:p>
  </w:endnote>
  <w:endnote w:type="continuationSeparator" w:id="0">
    <w:p w:rsidR="00E163B6" w:rsidRDefault="00E1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822141"/>
      <w:docPartObj>
        <w:docPartGallery w:val="Page Numbers (Bottom of Page)"/>
        <w:docPartUnique/>
      </w:docPartObj>
    </w:sdtPr>
    <w:sdtEndPr/>
    <w:sdtContent>
      <w:p w:rsidR="00C10E40" w:rsidRDefault="000A2173">
        <w:pPr>
          <w:pStyle w:val="Footer"/>
          <w:jc w:val="right"/>
        </w:pPr>
        <w:r>
          <w:fldChar w:fldCharType="begin"/>
        </w:r>
        <w:r>
          <w:instrText>PAGE   \* MERGEFORMAT</w:instrText>
        </w:r>
        <w:r>
          <w:fldChar w:fldCharType="separate"/>
        </w:r>
        <w:r w:rsidR="000F43B2" w:rsidRPr="000F43B2">
          <w:rPr>
            <w:noProof/>
            <w:lang w:val="nl-NL"/>
          </w:rPr>
          <w:t>1</w:t>
        </w:r>
        <w:r>
          <w:fldChar w:fldCharType="end"/>
        </w:r>
      </w:p>
    </w:sdtContent>
  </w:sdt>
  <w:p w:rsidR="00C10E40" w:rsidRDefault="00E16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3B6" w:rsidRDefault="00E163B6">
      <w:pPr>
        <w:spacing w:after="0" w:line="240" w:lineRule="auto"/>
      </w:pPr>
      <w:r>
        <w:separator/>
      </w:r>
    </w:p>
  </w:footnote>
  <w:footnote w:type="continuationSeparator" w:id="0">
    <w:p w:rsidR="00E163B6" w:rsidRDefault="00E16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CC9"/>
    <w:multiLevelType w:val="hybridMultilevel"/>
    <w:tmpl w:val="C518A326"/>
    <w:lvl w:ilvl="0" w:tplc="04130011">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06C14E7D"/>
    <w:multiLevelType w:val="hybridMultilevel"/>
    <w:tmpl w:val="B1907FD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B153E"/>
    <w:multiLevelType w:val="hybridMultilevel"/>
    <w:tmpl w:val="4EA471C6"/>
    <w:lvl w:ilvl="0" w:tplc="D6F61FA4">
      <w:start w:val="201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567A7F"/>
    <w:multiLevelType w:val="hybridMultilevel"/>
    <w:tmpl w:val="0E263B52"/>
    <w:lvl w:ilvl="0" w:tplc="C5B06D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DF761D"/>
    <w:multiLevelType w:val="hybridMultilevel"/>
    <w:tmpl w:val="DDDAA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CE2A6E"/>
    <w:multiLevelType w:val="hybridMultilevel"/>
    <w:tmpl w:val="AB125228"/>
    <w:lvl w:ilvl="0" w:tplc="04130015">
      <w:start w:val="1"/>
      <w:numFmt w:val="upperLetter"/>
      <w:lvlText w:val="%1."/>
      <w:lvlJc w:val="left"/>
      <w:pPr>
        <w:ind w:left="3053" w:hanging="360"/>
      </w:pPr>
      <w:rPr>
        <w:rFonts w:hint="default"/>
      </w:rPr>
    </w:lvl>
    <w:lvl w:ilvl="1" w:tplc="04130019" w:tentative="1">
      <w:start w:val="1"/>
      <w:numFmt w:val="lowerLetter"/>
      <w:lvlText w:val="%2."/>
      <w:lvlJc w:val="left"/>
      <w:pPr>
        <w:ind w:left="3773" w:hanging="360"/>
      </w:pPr>
    </w:lvl>
    <w:lvl w:ilvl="2" w:tplc="0413001B" w:tentative="1">
      <w:start w:val="1"/>
      <w:numFmt w:val="lowerRoman"/>
      <w:lvlText w:val="%3."/>
      <w:lvlJc w:val="right"/>
      <w:pPr>
        <w:ind w:left="4493" w:hanging="180"/>
      </w:pPr>
    </w:lvl>
    <w:lvl w:ilvl="3" w:tplc="0413000F" w:tentative="1">
      <w:start w:val="1"/>
      <w:numFmt w:val="decimal"/>
      <w:lvlText w:val="%4."/>
      <w:lvlJc w:val="left"/>
      <w:pPr>
        <w:ind w:left="5213" w:hanging="360"/>
      </w:pPr>
    </w:lvl>
    <w:lvl w:ilvl="4" w:tplc="04130019" w:tentative="1">
      <w:start w:val="1"/>
      <w:numFmt w:val="lowerLetter"/>
      <w:lvlText w:val="%5."/>
      <w:lvlJc w:val="left"/>
      <w:pPr>
        <w:ind w:left="5933" w:hanging="360"/>
      </w:pPr>
    </w:lvl>
    <w:lvl w:ilvl="5" w:tplc="0413001B" w:tentative="1">
      <w:start w:val="1"/>
      <w:numFmt w:val="lowerRoman"/>
      <w:lvlText w:val="%6."/>
      <w:lvlJc w:val="right"/>
      <w:pPr>
        <w:ind w:left="6653" w:hanging="180"/>
      </w:pPr>
    </w:lvl>
    <w:lvl w:ilvl="6" w:tplc="0413000F" w:tentative="1">
      <w:start w:val="1"/>
      <w:numFmt w:val="decimal"/>
      <w:lvlText w:val="%7."/>
      <w:lvlJc w:val="left"/>
      <w:pPr>
        <w:ind w:left="7373" w:hanging="360"/>
      </w:pPr>
    </w:lvl>
    <w:lvl w:ilvl="7" w:tplc="04130019" w:tentative="1">
      <w:start w:val="1"/>
      <w:numFmt w:val="lowerLetter"/>
      <w:lvlText w:val="%8."/>
      <w:lvlJc w:val="left"/>
      <w:pPr>
        <w:ind w:left="8093" w:hanging="360"/>
      </w:pPr>
    </w:lvl>
    <w:lvl w:ilvl="8" w:tplc="0413001B" w:tentative="1">
      <w:start w:val="1"/>
      <w:numFmt w:val="lowerRoman"/>
      <w:lvlText w:val="%9."/>
      <w:lvlJc w:val="right"/>
      <w:pPr>
        <w:ind w:left="8813" w:hanging="180"/>
      </w:pPr>
    </w:lvl>
  </w:abstractNum>
  <w:abstractNum w:abstractNumId="6" w15:restartNumberingAfterBreak="0">
    <w:nsid w:val="14524AFF"/>
    <w:multiLevelType w:val="hybridMultilevel"/>
    <w:tmpl w:val="9410D262"/>
    <w:lvl w:ilvl="0" w:tplc="CF765F3A">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C30B84"/>
    <w:multiLevelType w:val="hybridMultilevel"/>
    <w:tmpl w:val="37EA788A"/>
    <w:lvl w:ilvl="0" w:tplc="CFACB40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394F98"/>
    <w:multiLevelType w:val="hybridMultilevel"/>
    <w:tmpl w:val="A1A815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641917"/>
    <w:multiLevelType w:val="hybridMultilevel"/>
    <w:tmpl w:val="D18A4268"/>
    <w:lvl w:ilvl="0" w:tplc="CB563AB0">
      <w:start w:val="201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4E40F1"/>
    <w:multiLevelType w:val="hybridMultilevel"/>
    <w:tmpl w:val="EE340A8C"/>
    <w:lvl w:ilvl="0" w:tplc="04130015">
      <w:start w:val="1"/>
      <w:numFmt w:val="upp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3A406602"/>
    <w:multiLevelType w:val="hybridMultilevel"/>
    <w:tmpl w:val="6A0E105A"/>
    <w:lvl w:ilvl="0" w:tplc="D5A000F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6B0A19"/>
    <w:multiLevelType w:val="hybridMultilevel"/>
    <w:tmpl w:val="AEE86E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D72960"/>
    <w:multiLevelType w:val="hybridMultilevel"/>
    <w:tmpl w:val="79785B4C"/>
    <w:lvl w:ilvl="0" w:tplc="E18689A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7071101"/>
    <w:multiLevelType w:val="multilevel"/>
    <w:tmpl w:val="FCAE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6370A"/>
    <w:multiLevelType w:val="hybridMultilevel"/>
    <w:tmpl w:val="C518A3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F53219"/>
    <w:multiLevelType w:val="hybridMultilevel"/>
    <w:tmpl w:val="9A9A8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2D55ED"/>
    <w:multiLevelType w:val="hybridMultilevel"/>
    <w:tmpl w:val="8A7EAC5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7644DB"/>
    <w:multiLevelType w:val="hybridMultilevel"/>
    <w:tmpl w:val="89E69F7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CA45BC"/>
    <w:multiLevelType w:val="hybridMultilevel"/>
    <w:tmpl w:val="E802171E"/>
    <w:lvl w:ilvl="0" w:tplc="58E4BA7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5214B6"/>
    <w:multiLevelType w:val="hybridMultilevel"/>
    <w:tmpl w:val="4F5E241C"/>
    <w:lvl w:ilvl="0" w:tplc="04130015">
      <w:start w:val="1"/>
      <w:numFmt w:val="upp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1" w15:restartNumberingAfterBreak="0">
    <w:nsid w:val="588C3FE1"/>
    <w:multiLevelType w:val="hybridMultilevel"/>
    <w:tmpl w:val="DCF08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004794"/>
    <w:multiLevelType w:val="hybridMultilevel"/>
    <w:tmpl w:val="97A8713A"/>
    <w:lvl w:ilvl="0" w:tplc="5CC8C120">
      <w:start w:val="1"/>
      <w:numFmt w:val="decimal"/>
      <w:lvlText w:val="%1"/>
      <w:lvlJc w:val="left"/>
      <w:pPr>
        <w:ind w:left="-491" w:hanging="360"/>
      </w:pPr>
      <w:rPr>
        <w:rFonts w:hint="default"/>
        <w:vertAlign w:val="superscrip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23" w15:restartNumberingAfterBreak="0">
    <w:nsid w:val="62B87917"/>
    <w:multiLevelType w:val="hybridMultilevel"/>
    <w:tmpl w:val="C3EE226A"/>
    <w:lvl w:ilvl="0" w:tplc="36D85A8A">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6E2F0B"/>
    <w:multiLevelType w:val="hybridMultilevel"/>
    <w:tmpl w:val="4D4CDC9E"/>
    <w:lvl w:ilvl="0" w:tplc="35485DC2">
      <w:start w:val="10"/>
      <w:numFmt w:val="upperRoman"/>
      <w:lvlText w:val="%1"/>
      <w:lvlJc w:val="left"/>
      <w:pPr>
        <w:ind w:left="-131" w:hanging="720"/>
      </w:pPr>
      <w:rPr>
        <w:rFonts w:hint="default"/>
        <w:b/>
        <w:sz w:val="24"/>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25" w15:restartNumberingAfterBreak="0">
    <w:nsid w:val="6CB95632"/>
    <w:multiLevelType w:val="hybridMultilevel"/>
    <w:tmpl w:val="ACDAB940"/>
    <w:lvl w:ilvl="0" w:tplc="8F6A505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C823E8"/>
    <w:multiLevelType w:val="hybridMultilevel"/>
    <w:tmpl w:val="AA4CB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0C3E87"/>
    <w:multiLevelType w:val="hybridMultilevel"/>
    <w:tmpl w:val="2DD6EEBC"/>
    <w:lvl w:ilvl="0" w:tplc="0574B158">
      <w:start w:val="3"/>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4"/>
  </w:num>
  <w:num w:numId="4">
    <w:abstractNumId w:val="19"/>
  </w:num>
  <w:num w:numId="5">
    <w:abstractNumId w:val="0"/>
  </w:num>
  <w:num w:numId="6">
    <w:abstractNumId w:val="15"/>
  </w:num>
  <w:num w:numId="7">
    <w:abstractNumId w:val="8"/>
  </w:num>
  <w:num w:numId="8">
    <w:abstractNumId w:val="21"/>
  </w:num>
  <w:num w:numId="9">
    <w:abstractNumId w:val="17"/>
  </w:num>
  <w:num w:numId="10">
    <w:abstractNumId w:val="26"/>
  </w:num>
  <w:num w:numId="11">
    <w:abstractNumId w:val="9"/>
  </w:num>
  <w:num w:numId="12">
    <w:abstractNumId w:val="2"/>
  </w:num>
  <w:num w:numId="13">
    <w:abstractNumId w:val="1"/>
  </w:num>
  <w:num w:numId="14">
    <w:abstractNumId w:val="10"/>
  </w:num>
  <w:num w:numId="15">
    <w:abstractNumId w:val="18"/>
  </w:num>
  <w:num w:numId="16">
    <w:abstractNumId w:val="5"/>
  </w:num>
  <w:num w:numId="17">
    <w:abstractNumId w:val="27"/>
  </w:num>
  <w:num w:numId="18">
    <w:abstractNumId w:val="16"/>
  </w:num>
  <w:num w:numId="19">
    <w:abstractNumId w:val="20"/>
  </w:num>
  <w:num w:numId="20">
    <w:abstractNumId w:val="6"/>
  </w:num>
  <w:num w:numId="21">
    <w:abstractNumId w:val="25"/>
  </w:num>
  <w:num w:numId="22">
    <w:abstractNumId w:val="23"/>
  </w:num>
  <w:num w:numId="23">
    <w:abstractNumId w:val="24"/>
  </w:num>
  <w:num w:numId="24">
    <w:abstractNumId w:val="22"/>
  </w:num>
  <w:num w:numId="25">
    <w:abstractNumId w:val="3"/>
  </w:num>
  <w:num w:numId="26">
    <w:abstractNumId w:val="7"/>
  </w:num>
  <w:num w:numId="27">
    <w:abstractNumId w:val="1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31B11"/>
    <w:rsid w:val="000A2173"/>
    <w:rsid w:val="000F43B2"/>
    <w:rsid w:val="0014305F"/>
    <w:rsid w:val="00152EC9"/>
    <w:rsid w:val="001C09E1"/>
    <w:rsid w:val="00331B11"/>
    <w:rsid w:val="00494320"/>
    <w:rsid w:val="005D30C1"/>
    <w:rsid w:val="006329EF"/>
    <w:rsid w:val="00654F17"/>
    <w:rsid w:val="007F5F38"/>
    <w:rsid w:val="00803CD9"/>
    <w:rsid w:val="008E5D1E"/>
    <w:rsid w:val="00961EA3"/>
    <w:rsid w:val="009B2AA0"/>
    <w:rsid w:val="00B65BF4"/>
    <w:rsid w:val="00C61572"/>
    <w:rsid w:val="00CC15AC"/>
    <w:rsid w:val="00D268DD"/>
    <w:rsid w:val="00D91FCB"/>
    <w:rsid w:val="00E069D6"/>
    <w:rsid w:val="00E163B6"/>
    <w:rsid w:val="00E16656"/>
    <w:rsid w:val="00E902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0E64"/>
  <w15:chartTrackingRefBased/>
  <w15:docId w15:val="{76ABE693-AEC3-455E-83A4-7B388705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B11"/>
    <w:pPr>
      <w:spacing w:after="200" w:line="276" w:lineRule="auto"/>
    </w:pPr>
    <w:rPr>
      <w:rFonts w:asciiTheme="minorHAnsi" w:hAnsiTheme="minorHAnsi"/>
      <w:sz w:val="22"/>
      <w:lang w:val="en-GB"/>
    </w:rPr>
  </w:style>
  <w:style w:type="paragraph" w:styleId="Heading1">
    <w:name w:val="heading 1"/>
    <w:basedOn w:val="Normal"/>
    <w:next w:val="Normal"/>
    <w:link w:val="Heading1Char"/>
    <w:uiPriority w:val="9"/>
    <w:qFormat/>
    <w:rsid w:val="00331B1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31B1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31B11"/>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B11"/>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331B11"/>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331B11"/>
    <w:rPr>
      <w:rFonts w:asciiTheme="majorHAnsi" w:eastAsiaTheme="majorEastAsia" w:hAnsiTheme="majorHAnsi" w:cstheme="majorBidi"/>
      <w:b/>
      <w:bCs/>
      <w:color w:val="5B9BD5" w:themeColor="accent1"/>
      <w:sz w:val="22"/>
      <w:lang w:val="en-GB"/>
    </w:rPr>
  </w:style>
  <w:style w:type="character" w:styleId="CommentReference">
    <w:name w:val="annotation reference"/>
    <w:basedOn w:val="DefaultParagraphFont"/>
    <w:uiPriority w:val="99"/>
    <w:semiHidden/>
    <w:unhideWhenUsed/>
    <w:rsid w:val="00331B11"/>
    <w:rPr>
      <w:sz w:val="16"/>
      <w:szCs w:val="16"/>
    </w:rPr>
  </w:style>
  <w:style w:type="paragraph" w:styleId="CommentText">
    <w:name w:val="annotation text"/>
    <w:basedOn w:val="Normal"/>
    <w:link w:val="CommentTextChar"/>
    <w:uiPriority w:val="99"/>
    <w:unhideWhenUsed/>
    <w:rsid w:val="00331B11"/>
    <w:pPr>
      <w:spacing w:line="240" w:lineRule="auto"/>
    </w:pPr>
    <w:rPr>
      <w:sz w:val="20"/>
      <w:szCs w:val="20"/>
    </w:rPr>
  </w:style>
  <w:style w:type="character" w:customStyle="1" w:styleId="CommentTextChar">
    <w:name w:val="Comment Text Char"/>
    <w:basedOn w:val="DefaultParagraphFont"/>
    <w:link w:val="CommentText"/>
    <w:uiPriority w:val="99"/>
    <w:rsid w:val="00331B11"/>
    <w:rPr>
      <w:rFonts w:asciiTheme="minorHAnsi" w:hAnsiTheme="minorHAnsi"/>
      <w:szCs w:val="20"/>
      <w:lang w:val="en-GB"/>
    </w:rPr>
  </w:style>
  <w:style w:type="paragraph" w:styleId="BalloonText">
    <w:name w:val="Balloon Text"/>
    <w:basedOn w:val="Normal"/>
    <w:link w:val="BalloonTextChar"/>
    <w:uiPriority w:val="99"/>
    <w:semiHidden/>
    <w:unhideWhenUsed/>
    <w:rsid w:val="00331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B11"/>
    <w:rPr>
      <w:rFonts w:ascii="Tahoma" w:hAnsi="Tahoma" w:cs="Tahoma"/>
      <w:sz w:val="16"/>
      <w:szCs w:val="16"/>
      <w:lang w:val="en-GB"/>
    </w:rPr>
  </w:style>
  <w:style w:type="paragraph" w:styleId="ListParagraph">
    <w:name w:val="List Paragraph"/>
    <w:basedOn w:val="Normal"/>
    <w:uiPriority w:val="34"/>
    <w:qFormat/>
    <w:rsid w:val="00331B11"/>
    <w:pPr>
      <w:ind w:left="720"/>
      <w:contextualSpacing/>
    </w:pPr>
  </w:style>
  <w:style w:type="paragraph" w:styleId="CommentSubject">
    <w:name w:val="annotation subject"/>
    <w:basedOn w:val="CommentText"/>
    <w:next w:val="CommentText"/>
    <w:link w:val="CommentSubjectChar"/>
    <w:uiPriority w:val="99"/>
    <w:semiHidden/>
    <w:unhideWhenUsed/>
    <w:rsid w:val="00331B11"/>
    <w:rPr>
      <w:b/>
      <w:bCs/>
    </w:rPr>
  </w:style>
  <w:style w:type="character" w:customStyle="1" w:styleId="CommentSubjectChar">
    <w:name w:val="Comment Subject Char"/>
    <w:basedOn w:val="CommentTextChar"/>
    <w:link w:val="CommentSubject"/>
    <w:uiPriority w:val="99"/>
    <w:semiHidden/>
    <w:rsid w:val="00331B11"/>
    <w:rPr>
      <w:rFonts w:asciiTheme="minorHAnsi" w:hAnsiTheme="minorHAnsi"/>
      <w:b/>
      <w:bCs/>
      <w:szCs w:val="20"/>
      <w:lang w:val="en-GB"/>
    </w:rPr>
  </w:style>
  <w:style w:type="character" w:styleId="Hyperlink">
    <w:name w:val="Hyperlink"/>
    <w:basedOn w:val="DefaultParagraphFont"/>
    <w:uiPriority w:val="99"/>
    <w:unhideWhenUsed/>
    <w:rsid w:val="00331B11"/>
    <w:rPr>
      <w:color w:val="0000FF"/>
      <w:u w:val="single"/>
    </w:rPr>
  </w:style>
  <w:style w:type="paragraph" w:customStyle="1" w:styleId="EndNoteBibliographyTitle">
    <w:name w:val="EndNote Bibliography Title"/>
    <w:basedOn w:val="Normal"/>
    <w:link w:val="EndNoteBibliographyTitleChar"/>
    <w:rsid w:val="00331B1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31B11"/>
    <w:rPr>
      <w:rFonts w:ascii="Calibri" w:hAnsi="Calibri" w:cs="Calibri"/>
      <w:noProof/>
      <w:sz w:val="22"/>
      <w:lang w:val="en-US"/>
    </w:rPr>
  </w:style>
  <w:style w:type="paragraph" w:customStyle="1" w:styleId="EndNoteBibliography">
    <w:name w:val="EndNote Bibliography"/>
    <w:basedOn w:val="Normal"/>
    <w:link w:val="EndNoteBibliographyChar"/>
    <w:rsid w:val="00331B1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31B11"/>
    <w:rPr>
      <w:rFonts w:ascii="Calibri" w:hAnsi="Calibri" w:cs="Calibri"/>
      <w:noProof/>
      <w:sz w:val="22"/>
      <w:lang w:val="en-US"/>
    </w:rPr>
  </w:style>
  <w:style w:type="table" w:styleId="TableGrid">
    <w:name w:val="Table Grid"/>
    <w:basedOn w:val="TableNormal"/>
    <w:uiPriority w:val="59"/>
    <w:rsid w:val="00331B11"/>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1B11"/>
    <w:pPr>
      <w:autoSpaceDE w:val="0"/>
      <w:autoSpaceDN w:val="0"/>
      <w:adjustRightInd w:val="0"/>
      <w:spacing w:line="240" w:lineRule="auto"/>
    </w:pPr>
    <w:rPr>
      <w:rFonts w:cs="Verdana"/>
      <w:color w:val="000000"/>
      <w:sz w:val="24"/>
      <w:szCs w:val="24"/>
    </w:rPr>
  </w:style>
  <w:style w:type="paragraph" w:styleId="Header">
    <w:name w:val="header"/>
    <w:basedOn w:val="Normal"/>
    <w:link w:val="HeaderChar"/>
    <w:uiPriority w:val="99"/>
    <w:unhideWhenUsed/>
    <w:rsid w:val="00331B1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1B11"/>
    <w:rPr>
      <w:rFonts w:asciiTheme="minorHAnsi" w:hAnsiTheme="minorHAnsi"/>
      <w:sz w:val="22"/>
      <w:lang w:val="en-GB"/>
    </w:rPr>
  </w:style>
  <w:style w:type="paragraph" w:styleId="Footer">
    <w:name w:val="footer"/>
    <w:basedOn w:val="Normal"/>
    <w:link w:val="FooterChar"/>
    <w:uiPriority w:val="99"/>
    <w:unhideWhenUsed/>
    <w:rsid w:val="00331B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1B11"/>
    <w:rPr>
      <w:rFonts w:asciiTheme="minorHAnsi" w:hAnsiTheme="minorHAnsi"/>
      <w:sz w:val="22"/>
      <w:lang w:val="en-GB"/>
    </w:rPr>
  </w:style>
  <w:style w:type="paragraph" w:styleId="Caption">
    <w:name w:val="caption"/>
    <w:basedOn w:val="Normal"/>
    <w:next w:val="Normal"/>
    <w:uiPriority w:val="35"/>
    <w:unhideWhenUsed/>
    <w:qFormat/>
    <w:rsid w:val="00331B11"/>
    <w:pPr>
      <w:spacing w:line="240" w:lineRule="auto"/>
    </w:pPr>
    <w:rPr>
      <w:b/>
      <w:bCs/>
      <w:color w:val="5B9BD5" w:themeColor="accent1"/>
      <w:sz w:val="18"/>
      <w:szCs w:val="18"/>
    </w:rPr>
  </w:style>
  <w:style w:type="character" w:customStyle="1" w:styleId="referencesnote2">
    <w:name w:val="references__note2"/>
    <w:basedOn w:val="DefaultParagraphFont"/>
    <w:rsid w:val="00331B11"/>
  </w:style>
  <w:style w:type="character" w:customStyle="1" w:styleId="label6">
    <w:name w:val="label6"/>
    <w:basedOn w:val="DefaultParagraphFont"/>
    <w:rsid w:val="00331B11"/>
    <w:rPr>
      <w:b/>
      <w:bCs/>
      <w:vanish w:val="0"/>
      <w:webHidden w:val="0"/>
      <w:color w:val="757575"/>
      <w:sz w:val="18"/>
      <w:szCs w:val="18"/>
      <w:specVanish w:val="0"/>
    </w:rPr>
  </w:style>
  <w:style w:type="character" w:customStyle="1" w:styleId="referencessource">
    <w:name w:val="references__source"/>
    <w:basedOn w:val="DefaultParagraphFont"/>
    <w:rsid w:val="00331B11"/>
  </w:style>
  <w:style w:type="character" w:customStyle="1" w:styleId="referencesyear">
    <w:name w:val="references__year"/>
    <w:basedOn w:val="DefaultParagraphFont"/>
    <w:rsid w:val="00331B11"/>
  </w:style>
  <w:style w:type="character" w:customStyle="1" w:styleId="referencesauthors2">
    <w:name w:val="references__authors2"/>
    <w:basedOn w:val="DefaultParagraphFont"/>
    <w:rsid w:val="00331B11"/>
  </w:style>
  <w:style w:type="character" w:styleId="FollowedHyperlink">
    <w:name w:val="FollowedHyperlink"/>
    <w:basedOn w:val="DefaultParagraphFont"/>
    <w:uiPriority w:val="99"/>
    <w:semiHidden/>
    <w:unhideWhenUsed/>
    <w:rsid w:val="00331B11"/>
    <w:rPr>
      <w:color w:val="954F72" w:themeColor="followedHyperlink"/>
      <w:u w:val="single"/>
    </w:rPr>
  </w:style>
  <w:style w:type="paragraph" w:styleId="Revision">
    <w:name w:val="Revision"/>
    <w:hidden/>
    <w:uiPriority w:val="99"/>
    <w:semiHidden/>
    <w:rsid w:val="00331B11"/>
    <w:pPr>
      <w:spacing w:line="240" w:lineRule="auto"/>
    </w:pPr>
    <w:rPr>
      <w:rFonts w:asciiTheme="minorHAnsi" w:hAnsiTheme="minorHAnsi"/>
      <w:sz w:val="22"/>
      <w:lang w:val="en-GB"/>
    </w:rPr>
  </w:style>
  <w:style w:type="character" w:styleId="LineNumber">
    <w:name w:val="line number"/>
    <w:basedOn w:val="DefaultParagraphFont"/>
    <w:uiPriority w:val="99"/>
    <w:semiHidden/>
    <w:unhideWhenUsed/>
    <w:rsid w:val="00331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pendata.cbs.nl/sta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Oosterhoff, Marije (HAG)</dc:creator>
  <cp:keywords/>
  <dc:description/>
  <cp:lastModifiedBy>Oosterhoff, Marije (HAG)</cp:lastModifiedBy>
  <cp:revision>2</cp:revision>
  <dcterms:created xsi:type="dcterms:W3CDTF">2020-10-05T08:05:00Z</dcterms:created>
  <dcterms:modified xsi:type="dcterms:W3CDTF">2020-10-05T08:05:00Z</dcterms:modified>
</cp:coreProperties>
</file>