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CED41B" w14:textId="35846F56" w:rsidR="003275D6" w:rsidRPr="0072261C" w:rsidRDefault="00593AC4" w:rsidP="0072261C">
      <w:pPr>
        <w:spacing w:after="0"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Additional file</w:t>
      </w:r>
      <w:r w:rsidR="003275D6" w:rsidRPr="0072261C">
        <w:rPr>
          <w:rFonts w:ascii="Times New Roman" w:hAnsi="Times New Roman" w:cs="Times New Roman"/>
          <w:b/>
          <w:bCs/>
          <w:sz w:val="24"/>
          <w:szCs w:val="24"/>
          <w:lang w:val="en-US"/>
        </w:rPr>
        <w:t xml:space="preserve"> 1: Assessing Applicability of </w:t>
      </w:r>
      <w:r w:rsidR="003275D6" w:rsidRPr="0072261C">
        <w:rPr>
          <w:rFonts w:ascii="Times New Roman" w:hAnsi="Times New Roman" w:cs="Times New Roman"/>
          <w:b/>
          <w:bCs/>
          <w:sz w:val="24"/>
          <w:szCs w:val="24"/>
        </w:rPr>
        <w:t>ACG</w:t>
      </w:r>
      <w:r w:rsidR="003275D6" w:rsidRPr="0072261C">
        <w:rPr>
          <w:rFonts w:ascii="Times New Roman" w:hAnsi="Times New Roman" w:cs="Times New Roman"/>
          <w:b/>
          <w:bCs/>
          <w:sz w:val="24"/>
          <w:szCs w:val="24"/>
          <w:vertAlign w:val="superscript"/>
        </w:rPr>
        <w:t>®</w:t>
      </w:r>
      <w:r w:rsidR="003275D6" w:rsidRPr="0072261C">
        <w:rPr>
          <w:rFonts w:ascii="Times New Roman" w:hAnsi="Times New Roman" w:cs="Times New Roman"/>
          <w:b/>
          <w:bCs/>
          <w:sz w:val="24"/>
          <w:szCs w:val="24"/>
          <w:lang w:val="en-US"/>
        </w:rPr>
        <w:t xml:space="preserve"> Score for South African Claims Data</w:t>
      </w:r>
    </w:p>
    <w:p w14:paraId="0BABDABE" w14:textId="77777777" w:rsidR="003275D6" w:rsidRPr="00F27531" w:rsidRDefault="003275D6" w:rsidP="003275D6">
      <w:pPr>
        <w:spacing w:after="0" w:line="480" w:lineRule="auto"/>
        <w:jc w:val="both"/>
        <w:rPr>
          <w:rFonts w:ascii="Times New Roman" w:hAnsi="Times New Roman" w:cs="Times New Roman"/>
          <w:sz w:val="24"/>
          <w:szCs w:val="24"/>
          <w:lang w:val="en-US"/>
        </w:rPr>
      </w:pPr>
      <w:r w:rsidRPr="00F27531">
        <w:rPr>
          <w:rFonts w:ascii="Times New Roman" w:hAnsi="Times New Roman" w:cs="Times New Roman"/>
          <w:sz w:val="24"/>
          <w:szCs w:val="24"/>
          <w:lang w:val="en-US"/>
        </w:rPr>
        <w:t>The ACG® System uses clinical diagnoses captured by insurance claims to assign individuals to the most appropriate risk cell representative of the individuals’ clinical and financial risk. A limitation of this method is that a condition identified by diagnosis codes of an individual in a given year which continues to persist but is not specifically recorded in the subsequent years may result in a different ACG® morbidity risk cell assignment with fewer conditions reported to explain the clinical risk associated with the resource utilization observed. To ensure a more comprehensive view of an individual’s true level of morbidity, the average of the morbidity risk score in 2016 and 2017 was used to represent the overall morbidity level of each health plan member.</w:t>
      </w:r>
    </w:p>
    <w:p w14:paraId="5AF350B6" w14:textId="77777777" w:rsidR="003275D6" w:rsidRPr="00F27531" w:rsidRDefault="003275D6" w:rsidP="003275D6">
      <w:pPr>
        <w:spacing w:after="0" w:line="480" w:lineRule="auto"/>
        <w:jc w:val="both"/>
        <w:rPr>
          <w:rFonts w:ascii="Times New Roman" w:hAnsi="Times New Roman" w:cs="Times New Roman"/>
          <w:sz w:val="24"/>
          <w:szCs w:val="24"/>
          <w:lang w:val="en-US"/>
        </w:rPr>
      </w:pPr>
    </w:p>
    <w:p w14:paraId="436C3DF8" w14:textId="77777777" w:rsidR="003275D6" w:rsidRPr="00F27531" w:rsidRDefault="003275D6" w:rsidP="003275D6">
      <w:pPr>
        <w:spacing w:after="0" w:line="480" w:lineRule="auto"/>
        <w:jc w:val="both"/>
        <w:rPr>
          <w:rFonts w:ascii="Times New Roman" w:hAnsi="Times New Roman" w:cs="Times New Roman"/>
          <w:sz w:val="24"/>
          <w:szCs w:val="24"/>
          <w:lang w:val="en-US"/>
        </w:rPr>
      </w:pPr>
      <w:r w:rsidRPr="00F27531">
        <w:rPr>
          <w:rFonts w:ascii="Times New Roman" w:hAnsi="Times New Roman" w:cs="Times New Roman"/>
          <w:sz w:val="24"/>
          <w:szCs w:val="24"/>
          <w:lang w:val="en-US"/>
        </w:rPr>
        <w:t xml:space="preserve">The weights of ACG® risk cells are based on healthcare claims costs derived for a defined U.S. reference population at a specific point in time (i.e., base year). </w:t>
      </w:r>
      <w:r>
        <w:rPr>
          <w:rFonts w:ascii="Times New Roman" w:hAnsi="Times New Roman" w:cs="Times New Roman"/>
          <w:sz w:val="24"/>
          <w:szCs w:val="24"/>
          <w:lang w:val="en-US"/>
        </w:rPr>
        <w:t>T</w:t>
      </w:r>
      <w:r w:rsidRPr="00F27531">
        <w:rPr>
          <w:rFonts w:ascii="Times New Roman" w:hAnsi="Times New Roman" w:cs="Times New Roman"/>
          <w:sz w:val="24"/>
          <w:szCs w:val="24"/>
          <w:lang w:val="en-US"/>
        </w:rPr>
        <w:t xml:space="preserve">he weights assigned to each risk cell describe the average expected cost </w:t>
      </w:r>
      <w:r>
        <w:rPr>
          <w:rFonts w:ascii="Times New Roman" w:hAnsi="Times New Roman" w:cs="Times New Roman"/>
          <w:sz w:val="24"/>
          <w:szCs w:val="24"/>
          <w:lang w:val="en-US"/>
        </w:rPr>
        <w:t>of lives</w:t>
      </w:r>
      <w:r w:rsidRPr="00F27531">
        <w:rPr>
          <w:rFonts w:ascii="Times New Roman" w:hAnsi="Times New Roman" w:cs="Times New Roman"/>
          <w:sz w:val="24"/>
          <w:szCs w:val="24"/>
          <w:lang w:val="en-US"/>
        </w:rPr>
        <w:t xml:space="preserve"> in </w:t>
      </w:r>
      <w:r>
        <w:rPr>
          <w:rFonts w:ascii="Times New Roman" w:hAnsi="Times New Roman" w:cs="Times New Roman"/>
          <w:sz w:val="24"/>
          <w:szCs w:val="24"/>
          <w:lang w:val="en-US"/>
        </w:rPr>
        <w:t>that</w:t>
      </w:r>
      <w:r w:rsidRPr="00F27531">
        <w:rPr>
          <w:rFonts w:ascii="Times New Roman" w:hAnsi="Times New Roman" w:cs="Times New Roman"/>
          <w:sz w:val="24"/>
          <w:szCs w:val="24"/>
          <w:lang w:val="en-US"/>
        </w:rPr>
        <w:t xml:space="preserve"> cell relative to other ACG® risk cells. Within the same ACG® risk cell, individuals may have different combinations of clinical conditions with similar resource utilization. Users of the ACG® System often compare the weights provided by the system to those derived using healthcare costs for individuals </w:t>
      </w:r>
      <w:r>
        <w:rPr>
          <w:rFonts w:ascii="Times New Roman" w:hAnsi="Times New Roman" w:cs="Times New Roman"/>
          <w:sz w:val="24"/>
          <w:szCs w:val="24"/>
          <w:lang w:val="en-US"/>
        </w:rPr>
        <w:t xml:space="preserve">where </w:t>
      </w:r>
      <w:r w:rsidRPr="00F27531">
        <w:rPr>
          <w:rFonts w:ascii="Times New Roman" w:hAnsi="Times New Roman" w:cs="Times New Roman"/>
          <w:sz w:val="24"/>
          <w:szCs w:val="24"/>
          <w:lang w:val="en-US"/>
        </w:rPr>
        <w:t>possible, to assess the appropriateness of the standard U.S. weights generated by the ACG® System</w:t>
      </w:r>
      <w:r>
        <w:rPr>
          <w:rFonts w:ascii="Times New Roman" w:hAnsi="Times New Roman" w:cs="Times New Roman"/>
          <w:sz w:val="24"/>
          <w:szCs w:val="24"/>
          <w:lang w:val="en-US"/>
        </w:rPr>
        <w:t xml:space="preserve"> within the local context</w:t>
      </w:r>
      <w:r w:rsidRPr="00F27531">
        <w:rPr>
          <w:rFonts w:ascii="Times New Roman" w:hAnsi="Times New Roman" w:cs="Times New Roman"/>
          <w:sz w:val="24"/>
          <w:szCs w:val="24"/>
          <w:lang w:val="en-US"/>
        </w:rPr>
        <w:t xml:space="preserve">. </w:t>
      </w:r>
    </w:p>
    <w:p w14:paraId="2A92237E" w14:textId="77777777" w:rsidR="003275D6" w:rsidRPr="00F27531" w:rsidRDefault="003275D6" w:rsidP="003275D6">
      <w:pPr>
        <w:spacing w:after="0" w:line="480" w:lineRule="auto"/>
        <w:jc w:val="both"/>
        <w:rPr>
          <w:rFonts w:ascii="Times New Roman" w:hAnsi="Times New Roman" w:cs="Times New Roman"/>
          <w:sz w:val="24"/>
          <w:szCs w:val="24"/>
          <w:lang w:val="en-US"/>
        </w:rPr>
      </w:pPr>
    </w:p>
    <w:p w14:paraId="43686ECB" w14:textId="428D715C" w:rsidR="003275D6" w:rsidRPr="00F27531" w:rsidRDefault="003275D6" w:rsidP="003275D6">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w:t>
      </w:r>
      <w:r w:rsidRPr="00F27531">
        <w:rPr>
          <w:rFonts w:ascii="Times New Roman" w:hAnsi="Times New Roman" w:cs="Times New Roman"/>
          <w:sz w:val="24"/>
          <w:szCs w:val="24"/>
          <w:lang w:val="en-US"/>
        </w:rPr>
        <w:t xml:space="preserve"> strong positive correlation (Pearson correlation coefficient = 0.99) between the ACG® weights based on the U.S. reference population and the ACG® weights empirically derived using the local SA population was observed (</w:t>
      </w:r>
      <w:r>
        <w:rPr>
          <w:rFonts w:ascii="Times New Roman" w:hAnsi="Times New Roman" w:cs="Times New Roman"/>
          <w:sz w:val="24"/>
          <w:szCs w:val="24"/>
          <w:lang w:val="en-US"/>
        </w:rPr>
        <w:t>Figure A1</w:t>
      </w:r>
      <w:r w:rsidRPr="00F27531">
        <w:rPr>
          <w:rFonts w:ascii="Times New Roman" w:hAnsi="Times New Roman" w:cs="Times New Roman"/>
          <w:sz w:val="24"/>
          <w:szCs w:val="24"/>
          <w:lang w:val="en-US"/>
        </w:rPr>
        <w:t xml:space="preserve">). </w:t>
      </w:r>
      <w:r>
        <w:rPr>
          <w:rFonts w:ascii="Times New Roman" w:hAnsi="Times New Roman" w:cs="Times New Roman"/>
          <w:sz w:val="24"/>
          <w:szCs w:val="24"/>
          <w:lang w:val="en-US"/>
        </w:rPr>
        <w:t>Since either of</w:t>
      </w:r>
      <w:r w:rsidRPr="00F27531">
        <w:rPr>
          <w:rFonts w:ascii="Times New Roman" w:hAnsi="Times New Roman" w:cs="Times New Roman"/>
          <w:sz w:val="24"/>
          <w:szCs w:val="24"/>
          <w:lang w:val="en-US"/>
        </w:rPr>
        <w:t xml:space="preserve"> the two sets of weights could have reasonably been considered for use in this study, ACG®</w:t>
      </w:r>
      <w:r>
        <w:rPr>
          <w:rFonts w:ascii="Times New Roman" w:hAnsi="Times New Roman" w:cs="Times New Roman"/>
          <w:sz w:val="24"/>
          <w:szCs w:val="24"/>
          <w:lang w:val="en-US"/>
        </w:rPr>
        <w:t xml:space="preserve"> </w:t>
      </w:r>
      <w:r w:rsidRPr="00F27531">
        <w:rPr>
          <w:rFonts w:ascii="Times New Roman" w:hAnsi="Times New Roman" w:cs="Times New Roman"/>
          <w:sz w:val="24"/>
          <w:szCs w:val="24"/>
          <w:lang w:val="en-US"/>
        </w:rPr>
        <w:t xml:space="preserve">users are encouraged to calculate risk scores using local cost data if available “to more accurately reflect local benefits </w:t>
      </w:r>
      <w:r w:rsidRPr="00F27531">
        <w:rPr>
          <w:rFonts w:ascii="Times New Roman" w:hAnsi="Times New Roman" w:cs="Times New Roman"/>
          <w:sz w:val="24"/>
          <w:szCs w:val="24"/>
          <w:lang w:val="en-US"/>
        </w:rPr>
        <w:lastRenderedPageBreak/>
        <w:t>and area practice patterns”</w:t>
      </w:r>
      <w:r w:rsidR="00A3311B">
        <w:rPr>
          <w:rStyle w:val="FootnoteReference"/>
          <w:rFonts w:ascii="Times New Roman" w:hAnsi="Times New Roman" w:cs="Times New Roman"/>
          <w:sz w:val="24"/>
          <w:szCs w:val="24"/>
          <w:lang w:val="en-US"/>
        </w:rPr>
        <w:footnoteReference w:id="1"/>
      </w:r>
      <w:r w:rsidRPr="00F27531">
        <w:rPr>
          <w:rFonts w:ascii="Times New Roman" w:hAnsi="Times New Roman" w:cs="Times New Roman"/>
          <w:sz w:val="24"/>
          <w:szCs w:val="24"/>
          <w:lang w:val="en-US"/>
        </w:rPr>
        <w:t xml:space="preserve">. Based on these results we decided to use the empirically derived weights to account for any local differences that exist (i.e., we retrained the ACG® algorithm to generate new weights for each of the predictors). </w:t>
      </w:r>
    </w:p>
    <w:p w14:paraId="186F294E" w14:textId="77777777" w:rsidR="003275D6" w:rsidRDefault="003275D6" w:rsidP="003275D6">
      <w:pPr>
        <w:keepNext/>
        <w:spacing w:after="0" w:line="480" w:lineRule="auto"/>
        <w:jc w:val="center"/>
      </w:pPr>
      <w:r w:rsidRPr="00F27531">
        <w:rPr>
          <w:noProof/>
          <w:lang w:val="en-US"/>
        </w:rPr>
        <w:drawing>
          <wp:inline distT="0" distB="0" distL="0" distR="0" wp14:anchorId="5092E812" wp14:editId="2EDDCB77">
            <wp:extent cx="4064400" cy="3600000"/>
            <wp:effectExtent l="0" t="0" r="0" b="635"/>
            <wp:docPr id="61" name="Chart 61">
              <a:extLst xmlns:a="http://schemas.openxmlformats.org/drawingml/2006/main">
                <a:ext uri="{FF2B5EF4-FFF2-40B4-BE49-F238E27FC236}">
                  <a16:creationId xmlns:a16="http://schemas.microsoft.com/office/drawing/2014/main" id="{7E4C5DBE-466E-41B5-93D7-1A50BC5F53E7}"/>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7B905AB7" w14:textId="77777777" w:rsidR="003275D6" w:rsidRPr="00784D64" w:rsidRDefault="003275D6" w:rsidP="003275D6">
      <w:pPr>
        <w:pStyle w:val="Caption"/>
        <w:jc w:val="center"/>
        <w:rPr>
          <w:rFonts w:ascii="Times New Roman" w:hAnsi="Times New Roman" w:cs="Times New Roman"/>
          <w:i w:val="0"/>
          <w:iCs w:val="0"/>
          <w:color w:val="000000" w:themeColor="text1"/>
          <w:sz w:val="24"/>
          <w:szCs w:val="24"/>
          <w:lang w:val="en-US"/>
        </w:rPr>
      </w:pPr>
      <w:bookmarkStart w:id="0" w:name="_Ref33296605"/>
      <w:r w:rsidRPr="00784D64">
        <w:rPr>
          <w:rFonts w:ascii="Times New Roman" w:hAnsi="Times New Roman" w:cs="Times New Roman"/>
          <w:i w:val="0"/>
          <w:iCs w:val="0"/>
          <w:color w:val="000000" w:themeColor="text1"/>
          <w:sz w:val="24"/>
          <w:szCs w:val="24"/>
        </w:rPr>
        <w:t xml:space="preserve">Figure </w:t>
      </w:r>
      <w:bookmarkEnd w:id="0"/>
      <w:r>
        <w:rPr>
          <w:rFonts w:ascii="Times New Roman" w:hAnsi="Times New Roman" w:cs="Times New Roman"/>
          <w:i w:val="0"/>
          <w:iCs w:val="0"/>
          <w:color w:val="000000" w:themeColor="text1"/>
          <w:sz w:val="24"/>
          <w:szCs w:val="24"/>
        </w:rPr>
        <w:t>A1</w:t>
      </w:r>
      <w:r w:rsidRPr="00784D64">
        <w:rPr>
          <w:rFonts w:ascii="Times New Roman" w:hAnsi="Times New Roman" w:cs="Times New Roman"/>
          <w:i w:val="0"/>
          <w:iCs w:val="0"/>
          <w:color w:val="000000" w:themeColor="text1"/>
          <w:sz w:val="24"/>
          <w:szCs w:val="24"/>
        </w:rPr>
        <w:t xml:space="preserve"> Correlation between ACG® System weights and empirically derived ACG weights used in this study</w:t>
      </w:r>
    </w:p>
    <w:p w14:paraId="6BF52653" w14:textId="77777777" w:rsidR="003275D6" w:rsidRPr="00F27531" w:rsidRDefault="003275D6" w:rsidP="003275D6">
      <w:pPr>
        <w:spacing w:after="0" w:line="480" w:lineRule="auto"/>
        <w:jc w:val="both"/>
        <w:rPr>
          <w:rFonts w:ascii="Times New Roman" w:hAnsi="Times New Roman" w:cs="Times New Roman"/>
          <w:sz w:val="24"/>
          <w:szCs w:val="24"/>
          <w:lang w:val="en-US"/>
        </w:rPr>
      </w:pPr>
    </w:p>
    <w:p w14:paraId="36CC2421" w14:textId="77777777" w:rsidR="003275D6" w:rsidRPr="00F27531" w:rsidRDefault="003275D6" w:rsidP="003275D6">
      <w:pPr>
        <w:spacing w:after="120" w:line="480" w:lineRule="auto"/>
        <w:jc w:val="both"/>
        <w:rPr>
          <w:rFonts w:ascii="Times New Roman" w:hAnsi="Times New Roman" w:cs="Times New Roman"/>
          <w:sz w:val="24"/>
          <w:szCs w:val="24"/>
          <w:lang w:val="en-US"/>
        </w:rPr>
      </w:pPr>
      <w:r w:rsidRPr="00F27531">
        <w:rPr>
          <w:rFonts w:ascii="Times New Roman" w:hAnsi="Times New Roman" w:cs="Times New Roman"/>
          <w:sz w:val="24"/>
          <w:szCs w:val="24"/>
          <w:lang w:val="en-US"/>
        </w:rPr>
        <w:t>Weights for each ACG® risk cell were based on 2016 healthcare costs. The relative weights determined for each ACG® cell were then applied to the individuals assigned to the same ACG® risk cell in 2017.</w:t>
      </w:r>
    </w:p>
    <w:p w14:paraId="7677E318" w14:textId="77777777" w:rsidR="004A7977" w:rsidRDefault="004A7977"/>
    <w:sectPr w:rsidR="004A797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119736" w14:textId="77777777" w:rsidR="00BF12BF" w:rsidRDefault="00BF12BF" w:rsidP="00A3311B">
      <w:pPr>
        <w:spacing w:after="0" w:line="240" w:lineRule="auto"/>
      </w:pPr>
      <w:r>
        <w:separator/>
      </w:r>
    </w:p>
  </w:endnote>
  <w:endnote w:type="continuationSeparator" w:id="0">
    <w:p w14:paraId="7F3833CA" w14:textId="77777777" w:rsidR="00BF12BF" w:rsidRDefault="00BF12BF" w:rsidP="00A331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9F0B18" w14:textId="77777777" w:rsidR="00BF12BF" w:rsidRDefault="00BF12BF" w:rsidP="00A3311B">
      <w:pPr>
        <w:spacing w:after="0" w:line="240" w:lineRule="auto"/>
      </w:pPr>
      <w:r>
        <w:separator/>
      </w:r>
    </w:p>
  </w:footnote>
  <w:footnote w:type="continuationSeparator" w:id="0">
    <w:p w14:paraId="07564679" w14:textId="77777777" w:rsidR="00BF12BF" w:rsidRDefault="00BF12BF" w:rsidP="00A3311B">
      <w:pPr>
        <w:spacing w:after="0" w:line="240" w:lineRule="auto"/>
      </w:pPr>
      <w:r>
        <w:continuationSeparator/>
      </w:r>
    </w:p>
  </w:footnote>
  <w:footnote w:id="1">
    <w:p w14:paraId="3B6556C0" w14:textId="77777777" w:rsidR="00165BCF" w:rsidRDefault="00A3311B" w:rsidP="00165BCF">
      <w:pPr>
        <w:widowControl w:val="0"/>
        <w:autoSpaceDE w:val="0"/>
        <w:autoSpaceDN w:val="0"/>
        <w:adjustRightInd w:val="0"/>
        <w:spacing w:line="240" w:lineRule="auto"/>
        <w:ind w:left="709" w:hanging="640"/>
        <w:rPr>
          <w:rFonts w:ascii="Times New Roman" w:hAnsi="Times New Roman" w:cs="Times New Roman"/>
          <w:i/>
          <w:iCs/>
          <w:noProof/>
          <w:sz w:val="24"/>
          <w:szCs w:val="24"/>
        </w:rPr>
      </w:pPr>
      <w:r>
        <w:rPr>
          <w:rStyle w:val="FootnoteReference"/>
        </w:rPr>
        <w:footnoteRef/>
      </w:r>
      <w:r>
        <w:t xml:space="preserve"> </w:t>
      </w:r>
      <w:r w:rsidRPr="006D7CD6">
        <w:rPr>
          <w:rFonts w:ascii="Times New Roman" w:hAnsi="Times New Roman" w:cs="Times New Roman"/>
          <w:noProof/>
          <w:sz w:val="24"/>
          <w:szCs w:val="24"/>
        </w:rPr>
        <w:t xml:space="preserve">Johns Hopkins Bloomberg School of Public Health. </w:t>
      </w:r>
      <w:r w:rsidRPr="006D7CD6">
        <w:rPr>
          <w:rFonts w:ascii="Times New Roman" w:hAnsi="Times New Roman" w:cs="Times New Roman"/>
          <w:i/>
          <w:iCs/>
          <w:noProof/>
          <w:sz w:val="24"/>
          <w:szCs w:val="24"/>
        </w:rPr>
        <w:t>The Johns Hopkins ACG ® System</w:t>
      </w:r>
      <w:r w:rsidR="00165BCF">
        <w:rPr>
          <w:rFonts w:ascii="Times New Roman" w:hAnsi="Times New Roman" w:cs="Times New Roman"/>
          <w:i/>
          <w:iCs/>
          <w:noProof/>
          <w:sz w:val="24"/>
          <w:szCs w:val="24"/>
        </w:rPr>
        <w:t xml:space="preserve"> </w:t>
      </w:r>
    </w:p>
    <w:p w14:paraId="399AD513" w14:textId="3A67CE62" w:rsidR="00A3311B" w:rsidRPr="00165BCF" w:rsidRDefault="00A3311B" w:rsidP="00165BCF">
      <w:pPr>
        <w:widowControl w:val="0"/>
        <w:autoSpaceDE w:val="0"/>
        <w:autoSpaceDN w:val="0"/>
        <w:adjustRightInd w:val="0"/>
        <w:spacing w:line="240" w:lineRule="auto"/>
        <w:ind w:left="709" w:hanging="640"/>
        <w:rPr>
          <w:rFonts w:ascii="Times New Roman" w:hAnsi="Times New Roman" w:cs="Times New Roman"/>
          <w:i/>
          <w:iCs/>
          <w:noProof/>
          <w:sz w:val="24"/>
          <w:szCs w:val="24"/>
        </w:rPr>
      </w:pPr>
      <w:r w:rsidRPr="006D7CD6">
        <w:rPr>
          <w:rFonts w:ascii="Times New Roman" w:hAnsi="Times New Roman" w:cs="Times New Roman"/>
          <w:i/>
          <w:iCs/>
          <w:noProof/>
          <w:sz w:val="24"/>
          <w:szCs w:val="24"/>
        </w:rPr>
        <w:t>Version 11.0 Applications Guide</w:t>
      </w:r>
      <w:r w:rsidRPr="006D7CD6">
        <w:rPr>
          <w:rFonts w:ascii="Times New Roman" w:hAnsi="Times New Roman" w:cs="Times New Roman"/>
          <w:noProof/>
          <w:sz w:val="24"/>
          <w:szCs w:val="24"/>
        </w:rPr>
        <w:t>.; 2014.</w:t>
      </w:r>
    </w:p>
    <w:p w14:paraId="4742A47F" w14:textId="03ED1578" w:rsidR="00A3311B" w:rsidRDefault="00A3311B">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SyNDcwNLG0tDA2MTFT0lEKTi0uzszPAykwrQUA2f21mCwAAAA="/>
  </w:docVars>
  <w:rsids>
    <w:rsidRoot w:val="003275D6"/>
    <w:rsid w:val="00000100"/>
    <w:rsid w:val="0002274E"/>
    <w:rsid w:val="000260EC"/>
    <w:rsid w:val="00036EA3"/>
    <w:rsid w:val="00051FE5"/>
    <w:rsid w:val="00073D23"/>
    <w:rsid w:val="000A4E7C"/>
    <w:rsid w:val="000B25BC"/>
    <w:rsid w:val="000E4CAF"/>
    <w:rsid w:val="00104E3D"/>
    <w:rsid w:val="00123B8E"/>
    <w:rsid w:val="001310B0"/>
    <w:rsid w:val="00134271"/>
    <w:rsid w:val="00141FE9"/>
    <w:rsid w:val="00151054"/>
    <w:rsid w:val="00161FE0"/>
    <w:rsid w:val="00165BCF"/>
    <w:rsid w:val="00166334"/>
    <w:rsid w:val="001D14CE"/>
    <w:rsid w:val="001F0BE8"/>
    <w:rsid w:val="001F583A"/>
    <w:rsid w:val="0026200D"/>
    <w:rsid w:val="00280736"/>
    <w:rsid w:val="002D3232"/>
    <w:rsid w:val="003275D6"/>
    <w:rsid w:val="0034100C"/>
    <w:rsid w:val="00357BEB"/>
    <w:rsid w:val="00361F89"/>
    <w:rsid w:val="00373F9F"/>
    <w:rsid w:val="00380D81"/>
    <w:rsid w:val="003E799B"/>
    <w:rsid w:val="00480058"/>
    <w:rsid w:val="004A7977"/>
    <w:rsid w:val="004B2A3E"/>
    <w:rsid w:val="004B4B90"/>
    <w:rsid w:val="004E4FC4"/>
    <w:rsid w:val="004F19AB"/>
    <w:rsid w:val="00507A4A"/>
    <w:rsid w:val="00513DF2"/>
    <w:rsid w:val="005218BB"/>
    <w:rsid w:val="00536C1D"/>
    <w:rsid w:val="00557ACC"/>
    <w:rsid w:val="00562E9E"/>
    <w:rsid w:val="005767AA"/>
    <w:rsid w:val="005775FA"/>
    <w:rsid w:val="005827F1"/>
    <w:rsid w:val="00593AC4"/>
    <w:rsid w:val="005B71DD"/>
    <w:rsid w:val="005D01DA"/>
    <w:rsid w:val="005E55F6"/>
    <w:rsid w:val="005F0048"/>
    <w:rsid w:val="005F1669"/>
    <w:rsid w:val="005F4403"/>
    <w:rsid w:val="00621CDB"/>
    <w:rsid w:val="0062201C"/>
    <w:rsid w:val="006327A3"/>
    <w:rsid w:val="00643ED5"/>
    <w:rsid w:val="00662ACE"/>
    <w:rsid w:val="006647AB"/>
    <w:rsid w:val="006F6407"/>
    <w:rsid w:val="00702805"/>
    <w:rsid w:val="00717EB3"/>
    <w:rsid w:val="0072261C"/>
    <w:rsid w:val="007245BC"/>
    <w:rsid w:val="00725028"/>
    <w:rsid w:val="00787EB7"/>
    <w:rsid w:val="007A0A41"/>
    <w:rsid w:val="00804ABE"/>
    <w:rsid w:val="00897F2E"/>
    <w:rsid w:val="008B35F5"/>
    <w:rsid w:val="008C5523"/>
    <w:rsid w:val="008E764E"/>
    <w:rsid w:val="009070CB"/>
    <w:rsid w:val="00926BAD"/>
    <w:rsid w:val="00966FA2"/>
    <w:rsid w:val="00984186"/>
    <w:rsid w:val="009A1580"/>
    <w:rsid w:val="009A2F9C"/>
    <w:rsid w:val="009E0DB5"/>
    <w:rsid w:val="00A03C0E"/>
    <w:rsid w:val="00A3311B"/>
    <w:rsid w:val="00A438BE"/>
    <w:rsid w:val="00A4789A"/>
    <w:rsid w:val="00A51EE3"/>
    <w:rsid w:val="00AB5C5C"/>
    <w:rsid w:val="00AD4F5E"/>
    <w:rsid w:val="00AF4F2D"/>
    <w:rsid w:val="00AF65EE"/>
    <w:rsid w:val="00B24F70"/>
    <w:rsid w:val="00B33AB3"/>
    <w:rsid w:val="00B360AC"/>
    <w:rsid w:val="00B80F76"/>
    <w:rsid w:val="00BA508D"/>
    <w:rsid w:val="00BB02A3"/>
    <w:rsid w:val="00BD5C0D"/>
    <w:rsid w:val="00BF12BF"/>
    <w:rsid w:val="00C1186A"/>
    <w:rsid w:val="00C33292"/>
    <w:rsid w:val="00C35C0B"/>
    <w:rsid w:val="00C84365"/>
    <w:rsid w:val="00CA3E6E"/>
    <w:rsid w:val="00CA60C0"/>
    <w:rsid w:val="00CE08F7"/>
    <w:rsid w:val="00CF7260"/>
    <w:rsid w:val="00D20C54"/>
    <w:rsid w:val="00D27A70"/>
    <w:rsid w:val="00D34897"/>
    <w:rsid w:val="00D5465E"/>
    <w:rsid w:val="00D579DC"/>
    <w:rsid w:val="00D71235"/>
    <w:rsid w:val="00D77452"/>
    <w:rsid w:val="00D9109F"/>
    <w:rsid w:val="00D96E67"/>
    <w:rsid w:val="00D97A5E"/>
    <w:rsid w:val="00DD51CA"/>
    <w:rsid w:val="00DE2E06"/>
    <w:rsid w:val="00DF6525"/>
    <w:rsid w:val="00E13770"/>
    <w:rsid w:val="00E23876"/>
    <w:rsid w:val="00E87254"/>
    <w:rsid w:val="00EF5AD1"/>
    <w:rsid w:val="00F27F4F"/>
    <w:rsid w:val="00F30A1E"/>
    <w:rsid w:val="00F5393F"/>
    <w:rsid w:val="00F72BF7"/>
    <w:rsid w:val="00F73B87"/>
    <w:rsid w:val="00F81994"/>
    <w:rsid w:val="00FB3B90"/>
    <w:rsid w:val="00FB4C8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52C4F"/>
  <w15:chartTrackingRefBased/>
  <w15:docId w15:val="{B56731A3-E154-4ADD-A26B-2D915C945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5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3275D6"/>
    <w:pPr>
      <w:spacing w:after="200"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3275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75D6"/>
    <w:rPr>
      <w:rFonts w:ascii="Segoe UI" w:hAnsi="Segoe UI" w:cs="Segoe UI"/>
      <w:sz w:val="18"/>
      <w:szCs w:val="18"/>
    </w:rPr>
  </w:style>
  <w:style w:type="character" w:styleId="CommentReference">
    <w:name w:val="annotation reference"/>
    <w:basedOn w:val="DefaultParagraphFont"/>
    <w:uiPriority w:val="99"/>
    <w:semiHidden/>
    <w:unhideWhenUsed/>
    <w:rsid w:val="003275D6"/>
    <w:rPr>
      <w:sz w:val="16"/>
      <w:szCs w:val="16"/>
    </w:rPr>
  </w:style>
  <w:style w:type="paragraph" w:styleId="CommentText">
    <w:name w:val="annotation text"/>
    <w:basedOn w:val="Normal"/>
    <w:link w:val="CommentTextChar"/>
    <w:uiPriority w:val="99"/>
    <w:semiHidden/>
    <w:unhideWhenUsed/>
    <w:rsid w:val="003275D6"/>
    <w:pPr>
      <w:spacing w:line="240" w:lineRule="auto"/>
    </w:pPr>
    <w:rPr>
      <w:sz w:val="20"/>
      <w:szCs w:val="20"/>
    </w:rPr>
  </w:style>
  <w:style w:type="character" w:customStyle="1" w:styleId="CommentTextChar">
    <w:name w:val="Comment Text Char"/>
    <w:basedOn w:val="DefaultParagraphFont"/>
    <w:link w:val="CommentText"/>
    <w:uiPriority w:val="99"/>
    <w:semiHidden/>
    <w:rsid w:val="003275D6"/>
    <w:rPr>
      <w:sz w:val="20"/>
      <w:szCs w:val="20"/>
    </w:rPr>
  </w:style>
  <w:style w:type="paragraph" w:styleId="CommentSubject">
    <w:name w:val="annotation subject"/>
    <w:basedOn w:val="CommentText"/>
    <w:next w:val="CommentText"/>
    <w:link w:val="CommentSubjectChar"/>
    <w:uiPriority w:val="99"/>
    <w:semiHidden/>
    <w:unhideWhenUsed/>
    <w:rsid w:val="003275D6"/>
    <w:rPr>
      <w:b/>
      <w:bCs/>
    </w:rPr>
  </w:style>
  <w:style w:type="character" w:customStyle="1" w:styleId="CommentSubjectChar">
    <w:name w:val="Comment Subject Char"/>
    <w:basedOn w:val="CommentTextChar"/>
    <w:link w:val="CommentSubject"/>
    <w:uiPriority w:val="99"/>
    <w:semiHidden/>
    <w:rsid w:val="003275D6"/>
    <w:rPr>
      <w:b/>
      <w:bCs/>
      <w:sz w:val="20"/>
      <w:szCs w:val="20"/>
    </w:rPr>
  </w:style>
  <w:style w:type="paragraph" w:styleId="FootnoteText">
    <w:name w:val="footnote text"/>
    <w:basedOn w:val="Normal"/>
    <w:link w:val="FootnoteTextChar"/>
    <w:uiPriority w:val="99"/>
    <w:semiHidden/>
    <w:unhideWhenUsed/>
    <w:rsid w:val="00A3311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3311B"/>
    <w:rPr>
      <w:sz w:val="20"/>
      <w:szCs w:val="20"/>
    </w:rPr>
  </w:style>
  <w:style w:type="character" w:styleId="FootnoteReference">
    <w:name w:val="footnote reference"/>
    <w:basedOn w:val="DefaultParagraphFont"/>
    <w:uiPriority w:val="99"/>
    <w:semiHidden/>
    <w:unhideWhenUsed/>
    <w:rsid w:val="00A3311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endnotes" Target="endnotes.xml"/><Relationship Id="rId4" Type="http://schemas.openxmlformats.org/officeDocument/2006/relationships/footnotes" Target="footnotes.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806592854116549E-2"/>
          <c:y val="6.9202689036241868E-2"/>
          <c:w val="0.88378580329408352"/>
          <c:h val="0.83330395331123897"/>
        </c:manualLayout>
      </c:layout>
      <c:scatterChart>
        <c:scatterStyle val="lineMarker"/>
        <c:varyColors val="0"/>
        <c:ser>
          <c:idx val="0"/>
          <c:order val="0"/>
          <c:spPr>
            <a:ln w="19050" cap="rnd">
              <a:noFill/>
              <a:round/>
            </a:ln>
            <a:effectLst/>
          </c:spPr>
          <c:marker>
            <c:symbol val="circle"/>
            <c:size val="5"/>
            <c:spPr>
              <a:solidFill>
                <a:sysClr val="windowText" lastClr="000000"/>
              </a:solidFill>
              <a:ln w="9525">
                <a:solidFill>
                  <a:schemeClr val="accent1"/>
                </a:solidFill>
              </a:ln>
              <a:effectLst/>
            </c:spPr>
          </c:marker>
          <c:xVal>
            <c:numRef>
              <c:f>'Sensitivity test'!$F$2:$F$94</c:f>
              <c:numCache>
                <c:formatCode>General</c:formatCode>
                <c:ptCount val="93"/>
                <c:pt idx="0">
                  <c:v>-1.7706446133229072</c:v>
                </c:pt>
                <c:pt idx="1">
                  <c:v>-2.1446410853046749</c:v>
                </c:pt>
                <c:pt idx="2">
                  <c:v>-2.3804571676668513</c:v>
                </c:pt>
                <c:pt idx="3">
                  <c:v>-1.6876688360530596</c:v>
                </c:pt>
                <c:pt idx="4">
                  <c:v>-1.9761088384534709</c:v>
                </c:pt>
                <c:pt idx="5">
                  <c:v>-2.3121020598343032</c:v>
                </c:pt>
                <c:pt idx="6">
                  <c:v>-1.9400072880638131</c:v>
                </c:pt>
                <c:pt idx="7">
                  <c:v>-0.26513336545430688</c:v>
                </c:pt>
                <c:pt idx="8">
                  <c:v>-1.2284131583532847</c:v>
                </c:pt>
                <c:pt idx="9">
                  <c:v>-1.1417737780628749</c:v>
                </c:pt>
                <c:pt idx="10">
                  <c:v>-1.8773509156303132</c:v>
                </c:pt>
                <c:pt idx="11">
                  <c:v>-0.9908846641842638</c:v>
                </c:pt>
                <c:pt idx="12">
                  <c:v>-1.7499812145412725</c:v>
                </c:pt>
                <c:pt idx="13">
                  <c:v>-0.3067429052347011</c:v>
                </c:pt>
                <c:pt idx="14">
                  <c:v>0.28418766958262448</c:v>
                </c:pt>
                <c:pt idx="15">
                  <c:v>-3.1804833160138188</c:v>
                </c:pt>
                <c:pt idx="16">
                  <c:v>0.77095731459122552</c:v>
                </c:pt>
                <c:pt idx="17">
                  <c:v>-1.4957389088790229</c:v>
                </c:pt>
                <c:pt idx="18">
                  <c:v>0.87267327531329331</c:v>
                </c:pt>
                <c:pt idx="19">
                  <c:v>-0.90910962226699099</c:v>
                </c:pt>
                <c:pt idx="20">
                  <c:v>0.96338414083339585</c:v>
                </c:pt>
                <c:pt idx="21">
                  <c:v>-0.52696612707451274</c:v>
                </c:pt>
                <c:pt idx="22">
                  <c:v>0.97391853454803434</c:v>
                </c:pt>
                <c:pt idx="23">
                  <c:v>-0.45941389012132</c:v>
                </c:pt>
                <c:pt idx="24">
                  <c:v>1.1058936108151969</c:v>
                </c:pt>
                <c:pt idx="25">
                  <c:v>-8.4828130610725319E-2</c:v>
                </c:pt>
                <c:pt idx="26">
                  <c:v>1.118762279256222</c:v>
                </c:pt>
                <c:pt idx="27">
                  <c:v>5.0767957416336371E-2</c:v>
                </c:pt>
                <c:pt idx="28">
                  <c:v>1.436760042588378</c:v>
                </c:pt>
                <c:pt idx="29">
                  <c:v>0.83461032653668321</c:v>
                </c:pt>
                <c:pt idx="30">
                  <c:v>-1.032296519960739</c:v>
                </c:pt>
                <c:pt idx="31">
                  <c:v>-1.0852882556643275</c:v>
                </c:pt>
                <c:pt idx="32">
                  <c:v>-1.3360573788301999</c:v>
                </c:pt>
                <c:pt idx="33">
                  <c:v>-1.5770707957415664</c:v>
                </c:pt>
                <c:pt idx="34">
                  <c:v>-1.6147794813875427</c:v>
                </c:pt>
                <c:pt idx="35">
                  <c:v>-1.0565063872741725</c:v>
                </c:pt>
                <c:pt idx="36">
                  <c:v>-1.4439143649939155</c:v>
                </c:pt>
                <c:pt idx="37">
                  <c:v>-1.4497196797762222</c:v>
                </c:pt>
                <c:pt idx="38">
                  <c:v>-0.45932569062150669</c:v>
                </c:pt>
                <c:pt idx="39">
                  <c:v>0.16347348079253474</c:v>
                </c:pt>
                <c:pt idx="40">
                  <c:v>-0.89406921361542968</c:v>
                </c:pt>
                <c:pt idx="41">
                  <c:v>-8.9986327299271127E-2</c:v>
                </c:pt>
                <c:pt idx="42">
                  <c:v>-0.52762423499401334</c:v>
                </c:pt>
                <c:pt idx="43">
                  <c:v>-0.82603606842552202</c:v>
                </c:pt>
                <c:pt idx="44">
                  <c:v>-0.52889173761663044</c:v>
                </c:pt>
                <c:pt idx="45">
                  <c:v>-0.66750439101049674</c:v>
                </c:pt>
                <c:pt idx="46">
                  <c:v>-1.0100818615074008</c:v>
                </c:pt>
                <c:pt idx="47">
                  <c:v>-0.72105047930240029</c:v>
                </c:pt>
                <c:pt idx="48">
                  <c:v>0.11797923663836615</c:v>
                </c:pt>
                <c:pt idx="49">
                  <c:v>1.5443053408269816E-2</c:v>
                </c:pt>
                <c:pt idx="50">
                  <c:v>-1.121559467130367</c:v>
                </c:pt>
                <c:pt idx="51">
                  <c:v>-0.93002862887003956</c:v>
                </c:pt>
                <c:pt idx="52">
                  <c:v>-1.0116657860935621</c:v>
                </c:pt>
                <c:pt idx="53">
                  <c:v>-0.46915272342462921</c:v>
                </c:pt>
                <c:pt idx="54">
                  <c:v>-0.68515988679574236</c:v>
                </c:pt>
                <c:pt idx="55">
                  <c:v>2.8460828528326418E-2</c:v>
                </c:pt>
                <c:pt idx="56">
                  <c:v>-0.64666234953267676</c:v>
                </c:pt>
                <c:pt idx="57">
                  <c:v>-0.11024536524196188</c:v>
                </c:pt>
                <c:pt idx="58">
                  <c:v>0.63575691359806918</c:v>
                </c:pt>
                <c:pt idx="59">
                  <c:v>-0.3028069828236698</c:v>
                </c:pt>
                <c:pt idx="60">
                  <c:v>0.25366171340962212</c:v>
                </c:pt>
                <c:pt idx="61">
                  <c:v>1.0206899753558274</c:v>
                </c:pt>
                <c:pt idx="62">
                  <c:v>0.16827300639528223</c:v>
                </c:pt>
                <c:pt idx="63">
                  <c:v>0.97255233087706283</c:v>
                </c:pt>
                <c:pt idx="64">
                  <c:v>-0.22489510592032241</c:v>
                </c:pt>
                <c:pt idx="65">
                  <c:v>0.70733666894625125</c:v>
                </c:pt>
                <c:pt idx="66">
                  <c:v>-0.28926072625524868</c:v>
                </c:pt>
                <c:pt idx="67">
                  <c:v>0.26365992317468806</c:v>
                </c:pt>
                <c:pt idx="68">
                  <c:v>1.3046585082879476</c:v>
                </c:pt>
                <c:pt idx="69">
                  <c:v>-0.21068939322650607</c:v>
                </c:pt>
                <c:pt idx="70">
                  <c:v>0.22224171366991111</c:v>
                </c:pt>
                <c:pt idx="71">
                  <c:v>1.0550145632091499</c:v>
                </c:pt>
                <c:pt idx="72">
                  <c:v>0.34798583633059965</c:v>
                </c:pt>
                <c:pt idx="73">
                  <c:v>1.0994757107716004</c:v>
                </c:pt>
                <c:pt idx="74">
                  <c:v>1.8298865479857613</c:v>
                </c:pt>
                <c:pt idx="75">
                  <c:v>2.5570117570698718</c:v>
                </c:pt>
                <c:pt idx="76">
                  <c:v>0.6771043416814978</c:v>
                </c:pt>
                <c:pt idx="77">
                  <c:v>1.2951199503633708</c:v>
                </c:pt>
                <c:pt idx="78">
                  <c:v>2.4670094309662272</c:v>
                </c:pt>
                <c:pt idx="79">
                  <c:v>0.81412627878637567</c:v>
                </c:pt>
                <c:pt idx="80">
                  <c:v>1.3128984420056997</c:v>
                </c:pt>
                <c:pt idx="81">
                  <c:v>1.8950107987032005</c:v>
                </c:pt>
                <c:pt idx="82">
                  <c:v>2.8965939666141072</c:v>
                </c:pt>
                <c:pt idx="83">
                  <c:v>-2.6573037061542144</c:v>
                </c:pt>
                <c:pt idx="84">
                  <c:v>0</c:v>
                </c:pt>
                <c:pt idx="85">
                  <c:v>1.4140334918200095</c:v>
                </c:pt>
                <c:pt idx="86">
                  <c:v>-0.78922873212915368</c:v>
                </c:pt>
                <c:pt idx="87">
                  <c:v>2.4757571245703076</c:v>
                </c:pt>
                <c:pt idx="88">
                  <c:v>0.87444461292790665</c:v>
                </c:pt>
                <c:pt idx="89">
                  <c:v>1.6525958407832835</c:v>
                </c:pt>
                <c:pt idx="90">
                  <c:v>0.50194974291482364</c:v>
                </c:pt>
                <c:pt idx="91">
                  <c:v>3.4028313109146597</c:v>
                </c:pt>
                <c:pt idx="92">
                  <c:v>2.1572057332627996</c:v>
                </c:pt>
              </c:numCache>
            </c:numRef>
          </c:xVal>
          <c:yVal>
            <c:numRef>
              <c:f>'Sensitivity test'!$G$2:$G$94</c:f>
              <c:numCache>
                <c:formatCode>General</c:formatCode>
                <c:ptCount val="93"/>
                <c:pt idx="0">
                  <c:v>-1.3066902851858397</c:v>
                </c:pt>
                <c:pt idx="1">
                  <c:v>-2.1508084926556634</c:v>
                </c:pt>
                <c:pt idx="2">
                  <c:v>-2.1808859478929414</c:v>
                </c:pt>
                <c:pt idx="3">
                  <c:v>-1.4106363734508554</c:v>
                </c:pt>
                <c:pt idx="4">
                  <c:v>-1.7933930821892075</c:v>
                </c:pt>
                <c:pt idx="5">
                  <c:v>-1.7627784463696006</c:v>
                </c:pt>
                <c:pt idx="6">
                  <c:v>-1.7089757403766246</c:v>
                </c:pt>
                <c:pt idx="7">
                  <c:v>5.0522866633209047E-2</c:v>
                </c:pt>
                <c:pt idx="8">
                  <c:v>-1.3589897845886887</c:v>
                </c:pt>
                <c:pt idx="9">
                  <c:v>-1.8357274460157682</c:v>
                </c:pt>
                <c:pt idx="10">
                  <c:v>-2.5234837779408372</c:v>
                </c:pt>
                <c:pt idx="11">
                  <c:v>-1.8196413082641438</c:v>
                </c:pt>
                <c:pt idx="12">
                  <c:v>-1.4177286017603472</c:v>
                </c:pt>
                <c:pt idx="13">
                  <c:v>-0.57450614181766191</c:v>
                </c:pt>
                <c:pt idx="14">
                  <c:v>-0.1226602453633782</c:v>
                </c:pt>
                <c:pt idx="15">
                  <c:v>-2.5022063794935523</c:v>
                </c:pt>
                <c:pt idx="16">
                  <c:v>0.77195476103173655</c:v>
                </c:pt>
                <c:pt idx="17">
                  <c:v>-1.1755502846933927</c:v>
                </c:pt>
                <c:pt idx="18">
                  <c:v>0.91223622891862366</c:v>
                </c:pt>
                <c:pt idx="19">
                  <c:v>-0.66584260402874329</c:v>
                </c:pt>
                <c:pt idx="20">
                  <c:v>1.013259095717542</c:v>
                </c:pt>
                <c:pt idx="21">
                  <c:v>-0.23825269963994306</c:v>
                </c:pt>
                <c:pt idx="22">
                  <c:v>1.0138848779657483</c:v>
                </c:pt>
                <c:pt idx="23">
                  <c:v>-0.18706882042838666</c:v>
                </c:pt>
                <c:pt idx="24">
                  <c:v>1.1659331661081027</c:v>
                </c:pt>
                <c:pt idx="25">
                  <c:v>0.13835358000624129</c:v>
                </c:pt>
                <c:pt idx="26">
                  <c:v>1.1425561842032763</c:v>
                </c:pt>
                <c:pt idx="27">
                  <c:v>0.28150447244450277</c:v>
                </c:pt>
                <c:pt idx="28">
                  <c:v>1.4611099203221443</c:v>
                </c:pt>
                <c:pt idx="29">
                  <c:v>0.91534772667525732</c:v>
                </c:pt>
                <c:pt idx="30">
                  <c:v>-0.98765768284998268</c:v>
                </c:pt>
                <c:pt idx="31">
                  <c:v>-0.93359046157970715</c:v>
                </c:pt>
                <c:pt idx="32">
                  <c:v>-1.5712863376034381</c:v>
                </c:pt>
                <c:pt idx="33">
                  <c:v>-1.4877387673329965</c:v>
                </c:pt>
                <c:pt idx="34">
                  <c:v>-1.3966010553344721</c:v>
                </c:pt>
                <c:pt idx="35">
                  <c:v>-1.1867863579603188</c:v>
                </c:pt>
                <c:pt idx="36">
                  <c:v>-1.8575862398282674</c:v>
                </c:pt>
                <c:pt idx="37">
                  <c:v>-1.2242007938105763</c:v>
                </c:pt>
                <c:pt idx="38">
                  <c:v>-0.44943308489587758</c:v>
                </c:pt>
                <c:pt idx="39">
                  <c:v>8.1989762950254133E-2</c:v>
                </c:pt>
                <c:pt idx="40">
                  <c:v>-0.84347717534257449</c:v>
                </c:pt>
                <c:pt idx="41">
                  <c:v>-0.3382785760704019</c:v>
                </c:pt>
                <c:pt idx="42">
                  <c:v>-0.82560182351561118</c:v>
                </c:pt>
                <c:pt idx="43">
                  <c:v>-0.90761497517644651</c:v>
                </c:pt>
                <c:pt idx="44">
                  <c:v>-0.44001808596127578</c:v>
                </c:pt>
                <c:pt idx="45">
                  <c:v>-0.46303873695165637</c:v>
                </c:pt>
                <c:pt idx="46">
                  <c:v>-1.2722580887643558</c:v>
                </c:pt>
                <c:pt idx="47">
                  <c:v>-0.73172430871278205</c:v>
                </c:pt>
                <c:pt idx="48">
                  <c:v>0.12246221266960668</c:v>
                </c:pt>
                <c:pt idx="49">
                  <c:v>-1.5546880878137688E-2</c:v>
                </c:pt>
                <c:pt idx="50">
                  <c:v>-1.0278047508633947</c:v>
                </c:pt>
                <c:pt idx="51">
                  <c:v>-0.7626639922476115</c:v>
                </c:pt>
                <c:pt idx="52">
                  <c:v>-0.89066541686267309</c:v>
                </c:pt>
                <c:pt idx="53">
                  <c:v>-0.55930828090823048</c:v>
                </c:pt>
                <c:pt idx="54">
                  <c:v>-0.73351803116680903</c:v>
                </c:pt>
                <c:pt idx="55">
                  <c:v>-7.9735200646344387E-2</c:v>
                </c:pt>
                <c:pt idx="56">
                  <c:v>-0.59774498774930318</c:v>
                </c:pt>
                <c:pt idx="57">
                  <c:v>9.304832746331361E-2</c:v>
                </c:pt>
                <c:pt idx="58">
                  <c:v>0.68761998707966054</c:v>
                </c:pt>
                <c:pt idx="59">
                  <c:v>-0.35166891612998602</c:v>
                </c:pt>
                <c:pt idx="60">
                  <c:v>0.27366641794741881</c:v>
                </c:pt>
                <c:pt idx="61">
                  <c:v>0.88485649123369836</c:v>
                </c:pt>
                <c:pt idx="62">
                  <c:v>-0.1767274666336541</c:v>
                </c:pt>
                <c:pt idx="63">
                  <c:v>0.45653427358041754</c:v>
                </c:pt>
                <c:pt idx="64">
                  <c:v>-0.20172876883907126</c:v>
                </c:pt>
                <c:pt idx="65">
                  <c:v>0.65546570853505293</c:v>
                </c:pt>
                <c:pt idx="66">
                  <c:v>-0.1839551697551072</c:v>
                </c:pt>
                <c:pt idx="67">
                  <c:v>0.44056916707419014</c:v>
                </c:pt>
                <c:pt idx="68">
                  <c:v>1.1458510801001287</c:v>
                </c:pt>
                <c:pt idx="69">
                  <c:v>-0.10431110669518158</c:v>
                </c:pt>
                <c:pt idx="70">
                  <c:v>0.41471050310096885</c:v>
                </c:pt>
                <c:pt idx="71">
                  <c:v>1.0552447321926401</c:v>
                </c:pt>
                <c:pt idx="72">
                  <c:v>0.44830828806714562</c:v>
                </c:pt>
                <c:pt idx="73">
                  <c:v>1.1370404504179741</c:v>
                </c:pt>
                <c:pt idx="74">
                  <c:v>1.7159071654381488</c:v>
                </c:pt>
                <c:pt idx="75">
                  <c:v>2.354582282115619</c:v>
                </c:pt>
                <c:pt idx="76">
                  <c:v>0.44278646288283752</c:v>
                </c:pt>
                <c:pt idx="77">
                  <c:v>1.0110657688160127</c:v>
                </c:pt>
                <c:pt idx="78">
                  <c:v>2.3507280807804638</c:v>
                </c:pt>
                <c:pt idx="79">
                  <c:v>0.87771360372131835</c:v>
                </c:pt>
                <c:pt idx="80">
                  <c:v>1.3716227538206083</c:v>
                </c:pt>
                <c:pt idx="81">
                  <c:v>1.871363545162106</c:v>
                </c:pt>
                <c:pt idx="82">
                  <c:v>2.7807301481740425</c:v>
                </c:pt>
                <c:pt idx="83">
                  <c:v>-2.1962708667324211</c:v>
                </c:pt>
                <c:pt idx="84">
                  <c:v>0</c:v>
                </c:pt>
                <c:pt idx="85">
                  <c:v>0.86145308284953803</c:v>
                </c:pt>
                <c:pt idx="86">
                  <c:v>-0.31556391148786983</c:v>
                </c:pt>
                <c:pt idx="87">
                  <c:v>2.2454679809354738</c:v>
                </c:pt>
                <c:pt idx="88">
                  <c:v>0.51590517828334692</c:v>
                </c:pt>
                <c:pt idx="89">
                  <c:v>1.2377163377527252</c:v>
                </c:pt>
                <c:pt idx="90">
                  <c:v>0.21353347851407628</c:v>
                </c:pt>
                <c:pt idx="91">
                  <c:v>3.3173141562929644</c:v>
                </c:pt>
                <c:pt idx="92">
                  <c:v>1.5524120787289304</c:v>
                </c:pt>
              </c:numCache>
            </c:numRef>
          </c:yVal>
          <c:smooth val="0"/>
          <c:extLst>
            <c:ext xmlns:c16="http://schemas.microsoft.com/office/drawing/2014/chart" uri="{C3380CC4-5D6E-409C-BE32-E72D297353CC}">
              <c16:uniqueId val="{00000000-CCA2-464B-B298-7995A1B28CD3}"/>
            </c:ext>
          </c:extLst>
        </c:ser>
        <c:dLbls>
          <c:showLegendKey val="0"/>
          <c:showVal val="0"/>
          <c:showCatName val="0"/>
          <c:showSerName val="0"/>
          <c:showPercent val="0"/>
          <c:showBubbleSize val="0"/>
        </c:dLbls>
        <c:axId val="93275967"/>
        <c:axId val="2104863535"/>
      </c:scatterChart>
      <c:valAx>
        <c:axId val="93275967"/>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900">
                    <a:solidFill>
                      <a:schemeClr val="tx1"/>
                    </a:solidFill>
                  </a:rPr>
                  <a:t>Log of ACG weights (empirically derived using the local population)</a:t>
                </a:r>
              </a:p>
            </c:rich>
          </c:tx>
          <c:layout>
            <c:manualLayout>
              <c:xMode val="edge"/>
              <c:yMode val="edge"/>
              <c:x val="0.12755999586073247"/>
              <c:y val="0.9067955121392490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104863535"/>
        <c:crosses val="autoZero"/>
        <c:crossBetween val="midCat"/>
      </c:valAx>
      <c:valAx>
        <c:axId val="2104863535"/>
        <c:scaling>
          <c:orientation val="minMax"/>
          <c:min val="-4"/>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900">
                    <a:solidFill>
                      <a:schemeClr val="tx1"/>
                    </a:solidFill>
                  </a:rPr>
                  <a:t>Log of ACG weights (based on US reference population)</a:t>
                </a:r>
              </a:p>
            </c:rich>
          </c:tx>
          <c:layout>
            <c:manualLayout>
              <c:xMode val="edge"/>
              <c:yMode val="edge"/>
              <c:x val="9.1083809476338023E-3"/>
              <c:y val="0.12919606010015242"/>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3275967"/>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0.48671</cdr:x>
      <cdr:y>0.81972</cdr:y>
    </cdr:from>
    <cdr:to>
      <cdr:x>0.98503</cdr:x>
      <cdr:y>0.86877</cdr:y>
    </cdr:to>
    <cdr:sp macro="" textlink="">
      <cdr:nvSpPr>
        <cdr:cNvPr id="3" name="TextBox 3">
          <a:extLst xmlns:a="http://schemas.openxmlformats.org/drawingml/2006/main">
            <a:ext uri="{FF2B5EF4-FFF2-40B4-BE49-F238E27FC236}">
              <a16:creationId xmlns:a16="http://schemas.microsoft.com/office/drawing/2014/main" id="{AAA3A638-49C3-4692-9F32-81E4F75594DF}"/>
            </a:ext>
          </a:extLst>
        </cdr:cNvPr>
        <cdr:cNvSpPr txBox="1"/>
      </cdr:nvSpPr>
      <cdr:spPr>
        <a:xfrm xmlns:a="http://schemas.openxmlformats.org/drawingml/2006/main">
          <a:off x="1978608" y="2950840"/>
          <a:ext cx="2025805" cy="176571"/>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ZA" sz="900">
              <a:latin typeface="Times New Roman" panose="02020603050405020304" pitchFamily="18" charset="0"/>
              <a:cs typeface="Times New Roman" panose="02020603050405020304" pitchFamily="18" charset="0"/>
            </a:rPr>
            <a:t>Pearson correlation coefficient = 0.99</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10</TotalTime>
  <Pages>2</Pages>
  <Words>383</Words>
  <Characters>2184</Characters>
  <Application>Microsoft Office Word</Application>
  <DocSecurity>0</DocSecurity>
  <Lines>18</Lines>
  <Paragraphs>5</Paragraphs>
  <ScaleCrop>false</ScaleCrop>
  <Company/>
  <LinksUpToDate>false</LinksUpToDate>
  <CharactersWithSpaces>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Mannie</dc:creator>
  <cp:keywords/>
  <dc:description/>
  <cp:lastModifiedBy>Cristina Mannie</cp:lastModifiedBy>
  <cp:revision>6</cp:revision>
  <dcterms:created xsi:type="dcterms:W3CDTF">2020-03-21T20:43:00Z</dcterms:created>
  <dcterms:modified xsi:type="dcterms:W3CDTF">2020-04-25T19:03:00Z</dcterms:modified>
</cp:coreProperties>
</file>