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1.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2.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9723331" w14:textId="1CC6BDE6" w:rsidR="00696E10" w:rsidRPr="000D7E15" w:rsidRDefault="007755E6" w:rsidP="00696E10">
      <w:pPr>
        <w:pStyle w:val="NormalWeb"/>
        <w:keepNext/>
        <w:spacing w:before="0" w:beforeAutospacing="0" w:after="0" w:afterAutospacing="0" w:line="480" w:lineRule="auto"/>
        <w:rPr>
          <w:b/>
          <w:bCs/>
          <w:lang w:val="en-US"/>
        </w:rPr>
      </w:pPr>
      <w:r>
        <w:rPr>
          <w:b/>
          <w:bCs/>
          <w:lang w:val="en-US"/>
        </w:rPr>
        <w:t>Additional file</w:t>
      </w:r>
      <w:r w:rsidR="00696E10" w:rsidRPr="000D7E15">
        <w:rPr>
          <w:b/>
          <w:bCs/>
          <w:lang w:val="en-US"/>
        </w:rPr>
        <w:t xml:space="preserve"> 3: Characteristics of the Study Population</w:t>
      </w:r>
    </w:p>
    <w:p w14:paraId="4D22A934" w14:textId="65CF415C" w:rsidR="00696E10" w:rsidRPr="00F27531" w:rsidRDefault="00696E10" w:rsidP="00696E10">
      <w:pPr>
        <w:spacing w:after="0" w:line="480" w:lineRule="auto"/>
        <w:jc w:val="both"/>
        <w:rPr>
          <w:rFonts w:ascii="Times New Roman" w:hAnsi="Times New Roman" w:cs="Times New Roman"/>
          <w:sz w:val="24"/>
          <w:szCs w:val="24"/>
          <w:lang w:val="en-US"/>
        </w:rPr>
      </w:pPr>
      <w:r w:rsidRPr="00F27531">
        <w:rPr>
          <w:rFonts w:ascii="Times New Roman" w:hAnsi="Times New Roman" w:cs="Times New Roman"/>
          <w:sz w:val="24"/>
          <w:szCs w:val="24"/>
          <w:lang w:val="en-US"/>
        </w:rPr>
        <w:t xml:space="preserve">A typical characteristic of the SA commercially insured population is the severe under-representation of healthy individuals (who opt-out in early adulthood due to the absence of mandatory membership) coupled with an over-representation of older individuals. </w:t>
      </w:r>
      <w:r>
        <w:rPr>
          <w:rFonts w:ascii="Times New Roman" w:hAnsi="Times New Roman" w:cs="Times New Roman"/>
          <w:sz w:val="24"/>
          <w:szCs w:val="24"/>
          <w:lang w:val="en-US"/>
        </w:rPr>
        <w:t xml:space="preserve">Figure C1 </w:t>
      </w:r>
      <w:r w:rsidRPr="00F27531">
        <w:rPr>
          <w:rFonts w:ascii="Times New Roman" w:hAnsi="Times New Roman" w:cs="Times New Roman"/>
          <w:sz w:val="24"/>
          <w:szCs w:val="24"/>
          <w:lang w:val="en-US"/>
        </w:rPr>
        <w:t>highlights this phenomenon which is evident by the markedly fewer individuals observed amongst those aged 20-29 years and the higher proportion of individuals over 40 years compared to the national distribution. Since a high proportion of members over 40 years (compared to younger individuals) will tend to have increased healthcare needs, the lack of young, healthier members on health plans restricts the ability of health plans to be able to subsidize older, sicker members in a community</w:t>
      </w:r>
      <w:r>
        <w:rPr>
          <w:rFonts w:ascii="Times New Roman" w:hAnsi="Times New Roman" w:cs="Times New Roman"/>
          <w:sz w:val="24"/>
          <w:szCs w:val="24"/>
          <w:lang w:val="en-US"/>
        </w:rPr>
        <w:t>-</w:t>
      </w:r>
      <w:r w:rsidRPr="00F27531">
        <w:rPr>
          <w:rFonts w:ascii="Times New Roman" w:hAnsi="Times New Roman" w:cs="Times New Roman"/>
          <w:sz w:val="24"/>
          <w:szCs w:val="24"/>
          <w:lang w:val="en-US"/>
        </w:rPr>
        <w:t>rated environment resulting in a need for higher premiums. This</w:t>
      </w:r>
      <w:r>
        <w:rPr>
          <w:rFonts w:ascii="Times New Roman" w:hAnsi="Times New Roman" w:cs="Times New Roman"/>
          <w:sz w:val="24"/>
          <w:szCs w:val="24"/>
          <w:lang w:val="en-US"/>
        </w:rPr>
        <w:t>, in turn,</w:t>
      </w:r>
      <w:r w:rsidRPr="00F27531">
        <w:rPr>
          <w:rFonts w:ascii="Times New Roman" w:hAnsi="Times New Roman" w:cs="Times New Roman"/>
          <w:sz w:val="24"/>
          <w:szCs w:val="24"/>
          <w:lang w:val="en-US"/>
        </w:rPr>
        <w:t xml:space="preserve"> reduces the affordability of private healthcare for the majority of the population.</w:t>
      </w:r>
      <w:r w:rsidR="000D7E15">
        <w:rPr>
          <w:rStyle w:val="FootnoteReference"/>
          <w:rFonts w:ascii="Times New Roman" w:hAnsi="Times New Roman" w:cs="Times New Roman"/>
          <w:sz w:val="24"/>
          <w:szCs w:val="24"/>
          <w:lang w:val="en-US"/>
        </w:rPr>
        <w:footnoteReference w:id="1"/>
      </w:r>
      <w:r w:rsidR="000D7E15" w:rsidRPr="00F27531">
        <w:rPr>
          <w:rFonts w:ascii="Times New Roman" w:hAnsi="Times New Roman" w:cs="Times New Roman"/>
          <w:sz w:val="24"/>
          <w:szCs w:val="24"/>
          <w:lang w:val="en-US"/>
        </w:rPr>
        <w:t xml:space="preserve"> </w:t>
      </w:r>
    </w:p>
    <w:p w14:paraId="45C217E4" w14:textId="77777777" w:rsidR="00696E10" w:rsidRDefault="00696E10" w:rsidP="00696E10">
      <w:pPr>
        <w:keepNext/>
        <w:spacing w:after="0" w:line="480" w:lineRule="auto"/>
        <w:jc w:val="center"/>
      </w:pPr>
      <w:r w:rsidRPr="00F27531">
        <w:rPr>
          <w:noProof/>
          <w:lang w:val="en-US"/>
        </w:rPr>
        <w:drawing>
          <wp:inline distT="0" distB="0" distL="0" distR="0" wp14:anchorId="0AB6A011" wp14:editId="1B277203">
            <wp:extent cx="4766418" cy="2916000"/>
            <wp:effectExtent l="0" t="0" r="0" b="0"/>
            <wp:docPr id="62" name="Chart 62">
              <a:extLst xmlns:a="http://schemas.openxmlformats.org/drawingml/2006/main">
                <a:ext uri="{FF2B5EF4-FFF2-40B4-BE49-F238E27FC236}">
                  <a16:creationId xmlns:a16="http://schemas.microsoft.com/office/drawing/2014/main" id="{9792A529-8E75-4488-9D22-B073CB543E0B}"/>
                </a:ext>
              </a:extLst>
            </wp:docPr>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421B642A" w14:textId="77777777" w:rsidR="00696E10" w:rsidRPr="00EC3B09" w:rsidRDefault="00696E10" w:rsidP="00696E10">
      <w:pPr>
        <w:pStyle w:val="Caption"/>
        <w:jc w:val="center"/>
        <w:rPr>
          <w:rFonts w:ascii="Times New Roman" w:hAnsi="Times New Roman" w:cs="Times New Roman"/>
          <w:i w:val="0"/>
          <w:iCs w:val="0"/>
          <w:color w:val="000000" w:themeColor="text1"/>
          <w:sz w:val="24"/>
          <w:szCs w:val="24"/>
          <w:lang w:val="en-US"/>
        </w:rPr>
      </w:pPr>
      <w:bookmarkStart w:id="0" w:name="_Ref33297404"/>
      <w:r w:rsidRPr="00EC3B09">
        <w:rPr>
          <w:rFonts w:ascii="Times New Roman" w:hAnsi="Times New Roman" w:cs="Times New Roman"/>
          <w:i w:val="0"/>
          <w:iCs w:val="0"/>
          <w:color w:val="000000" w:themeColor="text1"/>
          <w:sz w:val="24"/>
          <w:szCs w:val="24"/>
        </w:rPr>
        <w:t xml:space="preserve">Figure </w:t>
      </w:r>
      <w:bookmarkEnd w:id="0"/>
      <w:r w:rsidRPr="00EC3B09">
        <w:rPr>
          <w:rFonts w:ascii="Times New Roman" w:hAnsi="Times New Roman" w:cs="Times New Roman"/>
          <w:i w:val="0"/>
          <w:iCs w:val="0"/>
          <w:color w:val="000000" w:themeColor="text1"/>
          <w:sz w:val="24"/>
          <w:szCs w:val="24"/>
        </w:rPr>
        <w:t>C1 Comparing the distribution of the study population versus South African total population by age band</w:t>
      </w:r>
    </w:p>
    <w:p w14:paraId="2FDE6D09" w14:textId="77777777" w:rsidR="00696E10" w:rsidRPr="00F27531" w:rsidRDefault="00696E10" w:rsidP="00696E10">
      <w:pPr>
        <w:spacing w:after="0" w:line="480" w:lineRule="auto"/>
        <w:jc w:val="both"/>
        <w:rPr>
          <w:rFonts w:ascii="Times New Roman" w:hAnsi="Times New Roman" w:cs="Times New Roman"/>
          <w:sz w:val="24"/>
          <w:szCs w:val="24"/>
          <w:lang w:val="en-US"/>
        </w:rPr>
      </w:pPr>
    </w:p>
    <w:p w14:paraId="0309BA94" w14:textId="2D20C197" w:rsidR="00696E10" w:rsidRPr="00F27531" w:rsidRDefault="00696E10" w:rsidP="00696E10">
      <w:pPr>
        <w:spacing w:after="0" w:line="480" w:lineRule="auto"/>
        <w:jc w:val="both"/>
        <w:rPr>
          <w:rFonts w:ascii="Times New Roman" w:hAnsi="Times New Roman" w:cs="Times New Roman"/>
          <w:sz w:val="24"/>
          <w:szCs w:val="24"/>
          <w:lang w:val="en-US"/>
        </w:rPr>
      </w:pPr>
      <w:r w:rsidRPr="00F27531">
        <w:rPr>
          <w:rFonts w:ascii="Times New Roman" w:hAnsi="Times New Roman" w:cs="Times New Roman"/>
          <w:sz w:val="24"/>
          <w:szCs w:val="24"/>
          <w:lang w:val="en-US"/>
        </w:rPr>
        <w:lastRenderedPageBreak/>
        <w:t>Women tend to be higher users of healthcare than men.</w:t>
      </w:r>
      <w:r w:rsidR="000D7E15">
        <w:rPr>
          <w:rStyle w:val="FootnoteReference"/>
          <w:rFonts w:ascii="Times New Roman" w:hAnsi="Times New Roman" w:cs="Times New Roman"/>
          <w:sz w:val="24"/>
          <w:szCs w:val="24"/>
          <w:lang w:val="en-US"/>
        </w:rPr>
        <w:footnoteReference w:id="2"/>
      </w:r>
      <w:r w:rsidR="000D7E15">
        <w:rPr>
          <w:rStyle w:val="FootnoteReference"/>
          <w:rFonts w:ascii="Times New Roman" w:hAnsi="Times New Roman" w:cs="Times New Roman"/>
          <w:sz w:val="24"/>
          <w:szCs w:val="24"/>
          <w:lang w:val="en-US"/>
        </w:rPr>
        <w:footnoteReference w:id="3"/>
      </w:r>
      <w:r w:rsidR="000D7E15">
        <w:rPr>
          <w:rFonts w:ascii="Times New Roman" w:hAnsi="Times New Roman" w:cs="Times New Roman"/>
          <w:sz w:val="24"/>
          <w:szCs w:val="24"/>
          <w:lang w:val="en-US"/>
        </w:rPr>
        <w:t xml:space="preserve"> </w:t>
      </w:r>
      <w:r w:rsidRPr="00F27531">
        <w:rPr>
          <w:rFonts w:ascii="Times New Roman" w:hAnsi="Times New Roman" w:cs="Times New Roman"/>
          <w:sz w:val="24"/>
          <w:szCs w:val="24"/>
          <w:lang w:val="en-US"/>
        </w:rPr>
        <w:t>Some of the reasons cited for this general global phenomenon include different health-seeking behavio</w:t>
      </w:r>
      <w:r>
        <w:rPr>
          <w:rFonts w:ascii="Times New Roman" w:hAnsi="Times New Roman" w:cs="Times New Roman"/>
          <w:sz w:val="24"/>
          <w:szCs w:val="24"/>
          <w:lang w:val="en-US"/>
        </w:rPr>
        <w:t>u</w:t>
      </w:r>
      <w:r w:rsidRPr="00F27531">
        <w:rPr>
          <w:rFonts w:ascii="Times New Roman" w:hAnsi="Times New Roman" w:cs="Times New Roman"/>
          <w:sz w:val="24"/>
          <w:szCs w:val="24"/>
          <w:lang w:val="en-US"/>
        </w:rPr>
        <w:t xml:space="preserve">r observed amongst men and women (e.g. women tend to report signs and symptoms earlier than men would, as well as the natural biological and </w:t>
      </w:r>
      <w:r w:rsidRPr="00D82270">
        <w:rPr>
          <w:rFonts w:ascii="Times New Roman" w:hAnsi="Times New Roman" w:cs="Times New Roman"/>
          <w:sz w:val="24"/>
          <w:szCs w:val="24"/>
        </w:rPr>
        <w:t>gynaecological</w:t>
      </w:r>
      <w:r w:rsidRPr="00F27531">
        <w:rPr>
          <w:rFonts w:ascii="Times New Roman" w:hAnsi="Times New Roman" w:cs="Times New Roman"/>
          <w:sz w:val="24"/>
          <w:szCs w:val="24"/>
          <w:lang w:val="en-US"/>
        </w:rPr>
        <w:t xml:space="preserve"> </w:t>
      </w:r>
      <w:r w:rsidRPr="0055146E">
        <w:rPr>
          <w:rFonts w:ascii="Times New Roman" w:hAnsi="Times New Roman" w:cs="Times New Roman"/>
          <w:sz w:val="24"/>
          <w:szCs w:val="24"/>
        </w:rPr>
        <w:t>events in</w:t>
      </w:r>
      <w:r w:rsidRPr="00F27531">
        <w:rPr>
          <w:rFonts w:ascii="Times New Roman" w:hAnsi="Times New Roman" w:cs="Times New Roman"/>
          <w:sz w:val="24"/>
          <w:szCs w:val="24"/>
          <w:lang w:val="en-US"/>
        </w:rPr>
        <w:t xml:space="preserve"> the life-course of women)</w:t>
      </w:r>
      <w:r w:rsidR="000D7E15">
        <w:rPr>
          <w:rFonts w:ascii="Times New Roman" w:hAnsi="Times New Roman" w:cs="Times New Roman"/>
          <w:sz w:val="24"/>
          <w:szCs w:val="24"/>
          <w:lang w:val="en-US"/>
        </w:rPr>
        <w:t>.</w:t>
      </w:r>
      <w:r w:rsidRPr="00F27531">
        <w:rPr>
          <w:rFonts w:ascii="Times New Roman" w:hAnsi="Times New Roman" w:cs="Times New Roman"/>
          <w:sz w:val="24"/>
          <w:szCs w:val="24"/>
          <w:lang w:val="en-US"/>
        </w:rPr>
        <w:t xml:space="preserve"> </w:t>
      </w:r>
      <w:r>
        <w:rPr>
          <w:rFonts w:ascii="Times New Roman" w:hAnsi="Times New Roman" w:cs="Times New Roman"/>
          <w:sz w:val="24"/>
          <w:szCs w:val="24"/>
        </w:rPr>
        <w:t xml:space="preserve">Figure C2 </w:t>
      </w:r>
      <w:r w:rsidRPr="00F27531">
        <w:rPr>
          <w:rFonts w:ascii="Times New Roman" w:hAnsi="Times New Roman" w:cs="Times New Roman"/>
          <w:sz w:val="24"/>
          <w:szCs w:val="24"/>
          <w:lang w:val="en-US"/>
        </w:rPr>
        <w:t>illustrates th</w:t>
      </w:r>
      <w:r>
        <w:rPr>
          <w:rFonts w:ascii="Times New Roman" w:hAnsi="Times New Roman" w:cs="Times New Roman"/>
          <w:sz w:val="24"/>
          <w:szCs w:val="24"/>
          <w:lang w:val="en-US"/>
        </w:rPr>
        <w:t>is</w:t>
      </w:r>
      <w:r w:rsidRPr="00F27531">
        <w:rPr>
          <w:rFonts w:ascii="Times New Roman" w:hAnsi="Times New Roman" w:cs="Times New Roman"/>
          <w:sz w:val="24"/>
          <w:szCs w:val="24"/>
          <w:lang w:val="en-US"/>
        </w:rPr>
        <w:t xml:space="preserve"> same tendency within the study population </w:t>
      </w:r>
      <w:r>
        <w:rPr>
          <w:rFonts w:ascii="Times New Roman" w:hAnsi="Times New Roman" w:cs="Times New Roman"/>
          <w:sz w:val="24"/>
          <w:szCs w:val="24"/>
          <w:lang w:val="en-US"/>
        </w:rPr>
        <w:t xml:space="preserve">of women </w:t>
      </w:r>
      <w:r w:rsidRPr="00F27531">
        <w:rPr>
          <w:rFonts w:ascii="Times New Roman" w:hAnsi="Times New Roman" w:cs="Times New Roman"/>
          <w:sz w:val="24"/>
          <w:szCs w:val="24"/>
          <w:lang w:val="en-US"/>
        </w:rPr>
        <w:t xml:space="preserve">to consume more healthcare services than men as illustrated by a higher CMI during their life course from the ages of 15-64 years. However, from the age of 64 years, men can be seen to experience a steeper increase in healthcare utilization due to increased healthcare needs surpassing women of the same age. </w:t>
      </w:r>
    </w:p>
    <w:p w14:paraId="27477E1C" w14:textId="77777777" w:rsidR="00696E10" w:rsidRDefault="00696E10" w:rsidP="00696E10">
      <w:pPr>
        <w:keepNext/>
        <w:spacing w:after="0" w:line="480" w:lineRule="auto"/>
        <w:jc w:val="center"/>
      </w:pPr>
      <w:r w:rsidRPr="00F27531">
        <w:rPr>
          <w:noProof/>
          <w:lang w:val="en-US"/>
        </w:rPr>
        <w:drawing>
          <wp:inline distT="0" distB="0" distL="0" distR="0" wp14:anchorId="534D9BA7" wp14:editId="63594935">
            <wp:extent cx="4732184" cy="2916000"/>
            <wp:effectExtent l="0" t="0" r="0" b="0"/>
            <wp:docPr id="63" name="Chart 63">
              <a:extLst xmlns:a="http://schemas.openxmlformats.org/drawingml/2006/main">
                <a:ext uri="{FF2B5EF4-FFF2-40B4-BE49-F238E27FC236}">
                  <a16:creationId xmlns:a16="http://schemas.microsoft.com/office/drawing/2014/main" id="{9E97ADCA-868F-4435-946B-7F7C9BB71BE6}"/>
                </a:ext>
              </a:extLst>
            </wp:docPr>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7CBDB071" w14:textId="29CA7F27" w:rsidR="00696E10" w:rsidRPr="00EC3B09" w:rsidRDefault="00696E10" w:rsidP="00696E10">
      <w:pPr>
        <w:pStyle w:val="Caption"/>
        <w:jc w:val="center"/>
        <w:rPr>
          <w:rFonts w:ascii="Times New Roman" w:hAnsi="Times New Roman" w:cs="Times New Roman"/>
          <w:i w:val="0"/>
          <w:iCs w:val="0"/>
          <w:color w:val="000000" w:themeColor="text1"/>
          <w:sz w:val="24"/>
          <w:szCs w:val="24"/>
          <w:lang w:val="en-US"/>
        </w:rPr>
      </w:pPr>
      <w:bookmarkStart w:id="1" w:name="_Ref33297635"/>
      <w:r w:rsidRPr="00EC3B09">
        <w:rPr>
          <w:rFonts w:ascii="Times New Roman" w:hAnsi="Times New Roman" w:cs="Times New Roman"/>
          <w:i w:val="0"/>
          <w:iCs w:val="0"/>
          <w:color w:val="000000" w:themeColor="text1"/>
          <w:sz w:val="24"/>
          <w:szCs w:val="24"/>
        </w:rPr>
        <w:t xml:space="preserve">Figure </w:t>
      </w:r>
      <w:bookmarkEnd w:id="1"/>
      <w:r>
        <w:rPr>
          <w:rFonts w:ascii="Times New Roman" w:hAnsi="Times New Roman" w:cs="Times New Roman"/>
          <w:i w:val="0"/>
          <w:iCs w:val="0"/>
          <w:color w:val="000000" w:themeColor="text1"/>
          <w:sz w:val="24"/>
          <w:szCs w:val="24"/>
        </w:rPr>
        <w:t>C2</w:t>
      </w:r>
      <w:r w:rsidRPr="00EC3B09">
        <w:rPr>
          <w:rFonts w:ascii="Times New Roman" w:hAnsi="Times New Roman" w:cs="Times New Roman"/>
          <w:i w:val="0"/>
          <w:iCs w:val="0"/>
          <w:color w:val="000000" w:themeColor="text1"/>
          <w:sz w:val="24"/>
          <w:szCs w:val="24"/>
        </w:rPr>
        <w:t xml:space="preserve"> CMI by </w:t>
      </w:r>
      <w:r w:rsidR="001D01B3">
        <w:rPr>
          <w:rFonts w:ascii="Times New Roman" w:hAnsi="Times New Roman" w:cs="Times New Roman"/>
          <w:i w:val="0"/>
          <w:iCs w:val="0"/>
          <w:color w:val="000000" w:themeColor="text1"/>
          <w:sz w:val="24"/>
          <w:szCs w:val="24"/>
        </w:rPr>
        <w:t>sex</w:t>
      </w:r>
      <w:r w:rsidRPr="00EC3B09">
        <w:rPr>
          <w:rFonts w:ascii="Times New Roman" w:hAnsi="Times New Roman" w:cs="Times New Roman"/>
          <w:i w:val="0"/>
          <w:iCs w:val="0"/>
          <w:color w:val="000000" w:themeColor="text1"/>
          <w:sz w:val="24"/>
          <w:szCs w:val="24"/>
        </w:rPr>
        <w:t xml:space="preserve"> and age band</w:t>
      </w:r>
    </w:p>
    <w:p w14:paraId="1426DFB5" w14:textId="77777777" w:rsidR="00696E10" w:rsidRPr="00F27531" w:rsidRDefault="00696E10" w:rsidP="00696E10">
      <w:pPr>
        <w:spacing w:after="0" w:line="480" w:lineRule="auto"/>
        <w:jc w:val="both"/>
        <w:rPr>
          <w:rFonts w:ascii="Times New Roman" w:hAnsi="Times New Roman" w:cs="Times New Roman"/>
          <w:sz w:val="24"/>
          <w:szCs w:val="24"/>
          <w:lang w:val="en-US"/>
        </w:rPr>
      </w:pPr>
    </w:p>
    <w:p w14:paraId="3260D196" w14:textId="77777777" w:rsidR="00696E10" w:rsidRPr="00F27531" w:rsidRDefault="00696E10" w:rsidP="00696E10">
      <w:pPr>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Figure C3 </w:t>
      </w:r>
      <w:r w:rsidRPr="00F27531">
        <w:rPr>
          <w:rFonts w:ascii="Times New Roman" w:hAnsi="Times New Roman" w:cs="Times New Roman"/>
          <w:sz w:val="24"/>
          <w:szCs w:val="24"/>
          <w:lang w:val="en-US"/>
        </w:rPr>
        <w:t xml:space="preserve">illustrates the proportion of individuals per age band and in comparison, with the corresponding proportion of healthcare expenditure incurred by each age band. While </w:t>
      </w:r>
      <w:r w:rsidRPr="00F27531">
        <w:rPr>
          <w:rFonts w:ascii="Times New Roman" w:hAnsi="Times New Roman" w:cs="Times New Roman"/>
          <w:sz w:val="24"/>
          <w:szCs w:val="24"/>
          <w:lang w:val="en-US"/>
        </w:rPr>
        <w:lastRenderedPageBreak/>
        <w:t>individuals over 60 years of age make up only 10% of the population, they account for approximately a third of all costs. In comparison, children under 19 years of age makeup 39% of the population but account for only 14% of total healthcare expenditure.</w:t>
      </w:r>
    </w:p>
    <w:p w14:paraId="47552F20" w14:textId="77777777" w:rsidR="00696E10" w:rsidRDefault="00696E10" w:rsidP="00696E10">
      <w:pPr>
        <w:keepNext/>
        <w:spacing w:after="0" w:line="480" w:lineRule="auto"/>
        <w:jc w:val="center"/>
      </w:pPr>
      <w:r w:rsidRPr="00F27531">
        <w:rPr>
          <w:noProof/>
          <w:lang w:val="en-US"/>
        </w:rPr>
        <w:drawing>
          <wp:inline distT="0" distB="0" distL="0" distR="0" wp14:anchorId="735A5389" wp14:editId="6B43B470">
            <wp:extent cx="4860648" cy="2916000"/>
            <wp:effectExtent l="0" t="0" r="0" b="0"/>
            <wp:docPr id="64" name="Chart 64">
              <a:extLst xmlns:a="http://schemas.openxmlformats.org/drawingml/2006/main">
                <a:ext uri="{FF2B5EF4-FFF2-40B4-BE49-F238E27FC236}">
                  <a16:creationId xmlns:a16="http://schemas.microsoft.com/office/drawing/2014/main" id="{F95919CD-E5C2-4C4B-AC5D-7C406158C714}"/>
                </a:ext>
              </a:extLst>
            </wp:docPr>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29FDAAFB" w14:textId="77777777" w:rsidR="00696E10" w:rsidRPr="00EC3B09" w:rsidRDefault="00696E10" w:rsidP="00696E10">
      <w:pPr>
        <w:pStyle w:val="Caption"/>
        <w:jc w:val="center"/>
        <w:rPr>
          <w:rFonts w:ascii="Times New Roman" w:hAnsi="Times New Roman" w:cs="Times New Roman"/>
          <w:i w:val="0"/>
          <w:iCs w:val="0"/>
          <w:color w:val="000000" w:themeColor="text1"/>
          <w:sz w:val="24"/>
          <w:szCs w:val="24"/>
          <w:lang w:val="en-US"/>
        </w:rPr>
      </w:pPr>
      <w:bookmarkStart w:id="2" w:name="_Ref33297714"/>
      <w:r w:rsidRPr="00EC3B09">
        <w:rPr>
          <w:rFonts w:ascii="Times New Roman" w:hAnsi="Times New Roman" w:cs="Times New Roman"/>
          <w:i w:val="0"/>
          <w:iCs w:val="0"/>
          <w:color w:val="000000" w:themeColor="text1"/>
          <w:sz w:val="24"/>
          <w:szCs w:val="24"/>
        </w:rPr>
        <w:t xml:space="preserve">Figure </w:t>
      </w:r>
      <w:bookmarkEnd w:id="2"/>
      <w:r>
        <w:rPr>
          <w:rFonts w:ascii="Times New Roman" w:hAnsi="Times New Roman" w:cs="Times New Roman"/>
          <w:i w:val="0"/>
          <w:iCs w:val="0"/>
          <w:color w:val="000000" w:themeColor="text1"/>
          <w:sz w:val="24"/>
          <w:szCs w:val="24"/>
        </w:rPr>
        <w:t xml:space="preserve">C3 </w:t>
      </w:r>
      <w:r w:rsidRPr="00EC3B09">
        <w:rPr>
          <w:rFonts w:ascii="Times New Roman" w:hAnsi="Times New Roman" w:cs="Times New Roman"/>
          <w:i w:val="0"/>
          <w:iCs w:val="0"/>
          <w:color w:val="000000" w:themeColor="text1"/>
          <w:sz w:val="24"/>
          <w:szCs w:val="24"/>
        </w:rPr>
        <w:t>Percentage of total healthcare expenditure by age band among the SA study population</w:t>
      </w:r>
    </w:p>
    <w:p w14:paraId="0395162F" w14:textId="77777777" w:rsidR="00696E10" w:rsidRDefault="00696E10" w:rsidP="00696E10">
      <w:pPr>
        <w:spacing w:after="0" w:line="480" w:lineRule="auto"/>
        <w:jc w:val="both"/>
        <w:rPr>
          <w:rFonts w:ascii="Times New Roman" w:hAnsi="Times New Roman" w:cs="Times New Roman"/>
          <w:sz w:val="24"/>
          <w:szCs w:val="24"/>
          <w:lang w:val="en-US"/>
        </w:rPr>
      </w:pPr>
    </w:p>
    <w:p w14:paraId="0980C8FE" w14:textId="6F70389E" w:rsidR="00696E10" w:rsidRDefault="00696E10" w:rsidP="00696E10">
      <w:pPr>
        <w:spacing w:after="0" w:line="480" w:lineRule="auto"/>
        <w:jc w:val="both"/>
        <w:rPr>
          <w:rFonts w:ascii="Times New Roman" w:hAnsi="Times New Roman" w:cs="Times New Roman"/>
          <w:sz w:val="24"/>
          <w:szCs w:val="24"/>
          <w:lang w:val="en-US"/>
        </w:rPr>
        <w:sectPr w:rsidR="00696E10" w:rsidSect="0008008E">
          <w:pgSz w:w="11906" w:h="16838"/>
          <w:pgMar w:top="1440" w:right="1440" w:bottom="1440" w:left="1440" w:header="708" w:footer="708" w:gutter="0"/>
          <w:cols w:space="708"/>
          <w:docGrid w:linePitch="360"/>
        </w:sectPr>
      </w:pPr>
      <w:r w:rsidRPr="00F27531">
        <w:rPr>
          <w:rFonts w:ascii="Times New Roman" w:hAnsi="Times New Roman" w:cs="Times New Roman"/>
          <w:sz w:val="24"/>
          <w:szCs w:val="24"/>
          <w:lang w:val="en-US"/>
        </w:rPr>
        <w:t xml:space="preserve">Understanding population dynamics such as these can assist not only with adequate concurrent and future healthcare resource planning (e.g. anticipated healthcare needs based on the age, </w:t>
      </w:r>
      <w:r w:rsidR="001D01B3">
        <w:rPr>
          <w:rFonts w:ascii="Times New Roman" w:hAnsi="Times New Roman" w:cs="Times New Roman"/>
          <w:sz w:val="24"/>
          <w:szCs w:val="24"/>
          <w:lang w:val="en-US"/>
        </w:rPr>
        <w:t>sex</w:t>
      </w:r>
      <w:r w:rsidRPr="00F27531">
        <w:rPr>
          <w:rFonts w:ascii="Times New Roman" w:hAnsi="Times New Roman" w:cs="Times New Roman"/>
          <w:sz w:val="24"/>
          <w:szCs w:val="24"/>
          <w:lang w:val="en-US"/>
        </w:rPr>
        <w:t xml:space="preserve"> and life expectancy of the population) but importantly also with the prioritization of the most appropriate mix of effective multi-sectoral measures aimed at creating by default, social, living and working conditions protective of health throughout one’s life course.</w:t>
      </w:r>
      <w:r w:rsidR="000D7E15">
        <w:rPr>
          <w:rStyle w:val="FootnoteReference"/>
          <w:rFonts w:ascii="Times New Roman" w:hAnsi="Times New Roman" w:cs="Times New Roman"/>
          <w:sz w:val="24"/>
          <w:szCs w:val="24"/>
          <w:lang w:val="en-US"/>
        </w:rPr>
        <w:footnoteReference w:id="4"/>
      </w:r>
      <w:r w:rsidR="00C8600E">
        <w:rPr>
          <w:rStyle w:val="FootnoteReference"/>
          <w:rFonts w:ascii="Times New Roman" w:hAnsi="Times New Roman" w:cs="Times New Roman"/>
          <w:sz w:val="24"/>
          <w:szCs w:val="24"/>
          <w:lang w:val="en-US"/>
        </w:rPr>
        <w:footnoteReference w:id="5"/>
      </w:r>
      <w:r w:rsidRPr="00F27531">
        <w:rPr>
          <w:rFonts w:ascii="Times New Roman" w:hAnsi="Times New Roman" w:cs="Times New Roman"/>
          <w:sz w:val="24"/>
          <w:szCs w:val="24"/>
          <w:lang w:val="en-US"/>
        </w:rPr>
        <w:t xml:space="preserve"> To illustrate the extent to which the study population is representative of the national distribution at a district level, </w:t>
      </w:r>
      <w:r>
        <w:rPr>
          <w:rFonts w:ascii="Times New Roman" w:hAnsi="Times New Roman" w:cs="Times New Roman"/>
          <w:sz w:val="24"/>
          <w:szCs w:val="24"/>
          <w:lang w:val="en-US"/>
        </w:rPr>
        <w:t xml:space="preserve">Figure C4 </w:t>
      </w:r>
      <w:r w:rsidRPr="00F27531">
        <w:rPr>
          <w:rFonts w:ascii="Times New Roman" w:hAnsi="Times New Roman" w:cs="Times New Roman"/>
          <w:sz w:val="24"/>
          <w:szCs w:val="24"/>
          <w:lang w:val="en-US"/>
        </w:rPr>
        <w:t xml:space="preserve">provides a distribution of the commercially insured population across all 52 </w:t>
      </w:r>
      <w:r w:rsidRPr="00F27531">
        <w:rPr>
          <w:rFonts w:ascii="Times New Roman" w:hAnsi="Times New Roman" w:cs="Times New Roman"/>
          <w:sz w:val="24"/>
          <w:szCs w:val="24"/>
          <w:lang w:val="en-US"/>
        </w:rPr>
        <w:lastRenderedPageBreak/>
        <w:t xml:space="preserve">districts relative to the SA population. It also indicates the proportion of the SA population included in the study to highlight specific districts in which greater or poorer representation exists which should be considered when interpreting results. For example, the figure shows that the districts of Fezile Dabi in the Free State (province) and Sedibeng in Gauteng (province) have the highest percentages (15.7% and 15.5% respectively) of individuals from those areas represented in the study population. On the other hand, the City of Johannesburg, one of the most populous metropoles in Gauteng and the country, is severely under-represented in our study with only 0.6% of Census 2011 individuals reported included for analysis.    </w:t>
      </w:r>
    </w:p>
    <w:p w14:paraId="2CAB696E" w14:textId="77777777" w:rsidR="00696E10" w:rsidRDefault="00696E10" w:rsidP="00696E10">
      <w:pPr>
        <w:tabs>
          <w:tab w:val="center" w:pos="6979"/>
        </w:tabs>
        <w:rPr>
          <w:rFonts w:ascii="Times New Roman" w:hAnsi="Times New Roman" w:cs="Times New Roman"/>
          <w:sz w:val="24"/>
          <w:szCs w:val="24"/>
          <w:lang w:val="en-US"/>
        </w:rPr>
      </w:pPr>
    </w:p>
    <w:p w14:paraId="46F85A6E" w14:textId="77777777" w:rsidR="00696E10" w:rsidRDefault="00696E10" w:rsidP="00696E10">
      <w:pPr>
        <w:keepNext/>
        <w:jc w:val="center"/>
      </w:pPr>
      <w:r w:rsidRPr="00F27531">
        <w:rPr>
          <w:rFonts w:ascii="Times New Roman" w:hAnsi="Times New Roman" w:cs="Times New Roman"/>
          <w:b/>
          <w:noProof/>
          <w:sz w:val="24"/>
          <w:szCs w:val="24"/>
          <w:lang w:val="en-US"/>
        </w:rPr>
        <w:drawing>
          <wp:inline distT="0" distB="0" distL="0" distR="0" wp14:anchorId="1F6E2EB1" wp14:editId="35F99EF4">
            <wp:extent cx="8942916" cy="4778995"/>
            <wp:effectExtent l="0" t="0" r="0" b="3175"/>
            <wp:docPr id="65" name="Chart 65">
              <a:extLst xmlns:a="http://schemas.openxmlformats.org/drawingml/2006/main">
                <a:ext uri="{FF2B5EF4-FFF2-40B4-BE49-F238E27FC236}">
                  <a16:creationId xmlns:a16="http://schemas.microsoft.com/office/drawing/2014/main" id="{8E248588-A490-4EA1-8B04-C353F9AF1870}"/>
                </a:ext>
              </a:extLst>
            </wp:docPr>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391B35CD" w14:textId="77274D1F" w:rsidR="004A7977" w:rsidRPr="00696E10" w:rsidRDefault="00696E10" w:rsidP="00696E10">
      <w:pPr>
        <w:pStyle w:val="Caption"/>
        <w:jc w:val="center"/>
        <w:rPr>
          <w:rFonts w:ascii="Times New Roman" w:hAnsi="Times New Roman" w:cs="Times New Roman"/>
          <w:sz w:val="24"/>
          <w:szCs w:val="24"/>
          <w:lang w:val="en-US"/>
        </w:rPr>
      </w:pPr>
      <w:bookmarkStart w:id="3" w:name="_Ref33297878"/>
      <w:r w:rsidRPr="00EC3B09">
        <w:rPr>
          <w:rFonts w:ascii="Times New Roman" w:hAnsi="Times New Roman" w:cs="Times New Roman"/>
          <w:i w:val="0"/>
          <w:iCs w:val="0"/>
          <w:color w:val="000000" w:themeColor="text1"/>
          <w:sz w:val="24"/>
          <w:szCs w:val="24"/>
        </w:rPr>
        <w:t>Figure</w:t>
      </w:r>
      <w:bookmarkEnd w:id="3"/>
      <w:r>
        <w:rPr>
          <w:rFonts w:ascii="Times New Roman" w:hAnsi="Times New Roman" w:cs="Times New Roman"/>
          <w:i w:val="0"/>
          <w:iCs w:val="0"/>
          <w:color w:val="000000" w:themeColor="text1"/>
          <w:sz w:val="24"/>
          <w:szCs w:val="24"/>
        </w:rPr>
        <w:t xml:space="preserve"> C4 </w:t>
      </w:r>
      <w:r w:rsidRPr="00EC3B09">
        <w:rPr>
          <w:rFonts w:ascii="Times New Roman" w:hAnsi="Times New Roman" w:cs="Times New Roman"/>
          <w:i w:val="0"/>
          <w:iCs w:val="0"/>
          <w:color w:val="000000" w:themeColor="text1"/>
          <w:sz w:val="24"/>
          <w:szCs w:val="24"/>
        </w:rPr>
        <w:t>A comparison of the distribution of commercially insured individuals represented in this study with the distribution of 2011 Census populations per district</w:t>
      </w:r>
    </w:p>
    <w:sectPr w:rsidR="004A7977" w:rsidRPr="00696E10" w:rsidSect="00696E10">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37AF78B" w14:textId="77777777" w:rsidR="007D7470" w:rsidRDefault="007D7470" w:rsidP="000D7E15">
      <w:pPr>
        <w:spacing w:after="0" w:line="240" w:lineRule="auto"/>
      </w:pPr>
      <w:r>
        <w:separator/>
      </w:r>
    </w:p>
  </w:endnote>
  <w:endnote w:type="continuationSeparator" w:id="0">
    <w:p w14:paraId="04A9078E" w14:textId="77777777" w:rsidR="007D7470" w:rsidRDefault="007D7470" w:rsidP="000D7E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FB92CC6" w14:textId="77777777" w:rsidR="007D7470" w:rsidRDefault="007D7470" w:rsidP="000D7E15">
      <w:pPr>
        <w:spacing w:after="0" w:line="240" w:lineRule="auto"/>
      </w:pPr>
      <w:r>
        <w:separator/>
      </w:r>
    </w:p>
  </w:footnote>
  <w:footnote w:type="continuationSeparator" w:id="0">
    <w:p w14:paraId="4BDB2CFF" w14:textId="77777777" w:rsidR="007D7470" w:rsidRDefault="007D7470" w:rsidP="000D7E15">
      <w:pPr>
        <w:spacing w:after="0" w:line="240" w:lineRule="auto"/>
      </w:pPr>
      <w:r>
        <w:continuationSeparator/>
      </w:r>
    </w:p>
  </w:footnote>
  <w:footnote w:id="1">
    <w:p w14:paraId="5B0B449B" w14:textId="6DAF85CC" w:rsidR="000D7E15" w:rsidRDefault="000D7E15">
      <w:pPr>
        <w:pStyle w:val="FootnoteText"/>
      </w:pPr>
      <w:r>
        <w:rPr>
          <w:rStyle w:val="FootnoteReference"/>
        </w:rPr>
        <w:footnoteRef/>
      </w:r>
      <w:r>
        <w:t xml:space="preserve"> </w:t>
      </w:r>
      <w:r w:rsidRPr="006D7CD6">
        <w:rPr>
          <w:rFonts w:ascii="Times New Roman" w:hAnsi="Times New Roman" w:cs="Times New Roman"/>
          <w:noProof/>
          <w:sz w:val="24"/>
          <w:szCs w:val="24"/>
        </w:rPr>
        <w:t xml:space="preserve">Council for Medical Schemes. </w:t>
      </w:r>
      <w:r w:rsidRPr="006D7CD6">
        <w:rPr>
          <w:rFonts w:ascii="Times New Roman" w:hAnsi="Times New Roman" w:cs="Times New Roman"/>
          <w:i/>
          <w:iCs/>
          <w:noProof/>
          <w:sz w:val="24"/>
          <w:szCs w:val="24"/>
        </w:rPr>
        <w:t>Annual Report 2017|2018 A Healthy Industry for All</w:t>
      </w:r>
      <w:r w:rsidRPr="006D7CD6">
        <w:rPr>
          <w:rFonts w:ascii="Times New Roman" w:hAnsi="Times New Roman" w:cs="Times New Roman"/>
          <w:noProof/>
          <w:sz w:val="24"/>
          <w:szCs w:val="24"/>
        </w:rPr>
        <w:t>.; 2018.</w:t>
      </w:r>
    </w:p>
  </w:footnote>
  <w:footnote w:id="2">
    <w:p w14:paraId="0188E77C" w14:textId="2434AAF4" w:rsidR="000D7E15" w:rsidRDefault="000D7E15">
      <w:pPr>
        <w:pStyle w:val="FootnoteText"/>
      </w:pPr>
      <w:r>
        <w:rPr>
          <w:rStyle w:val="FootnoteReference"/>
        </w:rPr>
        <w:footnoteRef/>
      </w:r>
      <w:r>
        <w:t xml:space="preserve"> </w:t>
      </w:r>
      <w:r w:rsidRPr="006D7CD6">
        <w:rPr>
          <w:rFonts w:ascii="Times New Roman" w:hAnsi="Times New Roman" w:cs="Times New Roman"/>
          <w:noProof/>
          <w:sz w:val="24"/>
          <w:szCs w:val="24"/>
        </w:rPr>
        <w:t xml:space="preserve">Carretero MT, Calderón-larrañaga A, Poblador-plou B, Prados-torres A. Primary health care use from the perspective of gender and morbidity burden. </w:t>
      </w:r>
      <w:r w:rsidRPr="006D7CD6">
        <w:rPr>
          <w:rFonts w:ascii="Times New Roman" w:hAnsi="Times New Roman" w:cs="Times New Roman"/>
          <w:i/>
          <w:iCs/>
          <w:noProof/>
          <w:sz w:val="24"/>
          <w:szCs w:val="24"/>
        </w:rPr>
        <w:t>BMC Women’s Health</w:t>
      </w:r>
      <w:r w:rsidRPr="006D7CD6">
        <w:rPr>
          <w:rFonts w:ascii="Times New Roman" w:hAnsi="Times New Roman" w:cs="Times New Roman"/>
          <w:noProof/>
          <w:sz w:val="24"/>
          <w:szCs w:val="24"/>
        </w:rPr>
        <w:t>. 2014;14:145.</w:t>
      </w:r>
    </w:p>
  </w:footnote>
  <w:footnote w:id="3">
    <w:p w14:paraId="4C4BD7FE" w14:textId="27ECE193" w:rsidR="000D7E15" w:rsidRDefault="000D7E15">
      <w:pPr>
        <w:pStyle w:val="FootnoteText"/>
      </w:pPr>
      <w:r>
        <w:rPr>
          <w:rStyle w:val="FootnoteReference"/>
        </w:rPr>
        <w:footnoteRef/>
      </w:r>
      <w:r>
        <w:t xml:space="preserve"> </w:t>
      </w:r>
      <w:r w:rsidRPr="006D7CD6">
        <w:rPr>
          <w:rFonts w:ascii="Times New Roman" w:hAnsi="Times New Roman" w:cs="Times New Roman"/>
          <w:noProof/>
          <w:sz w:val="24"/>
          <w:szCs w:val="24"/>
        </w:rPr>
        <w:t xml:space="preserve">Redondo-sendino Á, Guallar-castillón P, Banegas JR, </w:t>
      </w:r>
      <w:r>
        <w:rPr>
          <w:rFonts w:ascii="Times New Roman" w:hAnsi="Times New Roman" w:cs="Times New Roman"/>
          <w:noProof/>
          <w:sz w:val="24"/>
          <w:szCs w:val="24"/>
        </w:rPr>
        <w:t>et al</w:t>
      </w:r>
      <w:r w:rsidRPr="006D7CD6">
        <w:rPr>
          <w:rFonts w:ascii="Times New Roman" w:hAnsi="Times New Roman" w:cs="Times New Roman"/>
          <w:noProof/>
          <w:sz w:val="24"/>
          <w:szCs w:val="24"/>
        </w:rPr>
        <w:t xml:space="preserve">. Gender differences in the utilization of health-care services among the older adult population of Spain. </w:t>
      </w:r>
      <w:r w:rsidRPr="006D7CD6">
        <w:rPr>
          <w:rFonts w:ascii="Times New Roman" w:hAnsi="Times New Roman" w:cs="Times New Roman"/>
          <w:i/>
          <w:iCs/>
          <w:noProof/>
          <w:sz w:val="24"/>
          <w:szCs w:val="24"/>
        </w:rPr>
        <w:t>BMC Public Health</w:t>
      </w:r>
      <w:r w:rsidRPr="006D7CD6">
        <w:rPr>
          <w:rFonts w:ascii="Times New Roman" w:hAnsi="Times New Roman" w:cs="Times New Roman"/>
          <w:noProof/>
          <w:sz w:val="24"/>
          <w:szCs w:val="24"/>
        </w:rPr>
        <w:t>. 2006;6(1):1-9. doi:10.1186/1471-2458-6-155</w:t>
      </w:r>
    </w:p>
  </w:footnote>
  <w:footnote w:id="4">
    <w:p w14:paraId="44F71E2D" w14:textId="54B40559" w:rsidR="000D7E15" w:rsidRPr="00C8600E" w:rsidRDefault="000D7E15" w:rsidP="00C8600E">
      <w:pPr>
        <w:widowControl w:val="0"/>
        <w:autoSpaceDE w:val="0"/>
        <w:autoSpaceDN w:val="0"/>
        <w:adjustRightInd w:val="0"/>
        <w:spacing w:line="240" w:lineRule="auto"/>
        <w:ind w:left="142" w:hanging="142"/>
        <w:rPr>
          <w:rFonts w:ascii="Times New Roman" w:hAnsi="Times New Roman" w:cs="Times New Roman"/>
          <w:noProof/>
          <w:sz w:val="24"/>
          <w:szCs w:val="24"/>
        </w:rPr>
      </w:pPr>
      <w:r>
        <w:rPr>
          <w:rStyle w:val="FootnoteReference"/>
        </w:rPr>
        <w:footnoteRef/>
      </w:r>
      <w:r>
        <w:t xml:space="preserve"> </w:t>
      </w:r>
      <w:r w:rsidR="00C8600E" w:rsidRPr="006D7CD6">
        <w:rPr>
          <w:rFonts w:ascii="Times New Roman" w:hAnsi="Times New Roman" w:cs="Times New Roman"/>
          <w:noProof/>
          <w:sz w:val="24"/>
          <w:szCs w:val="24"/>
        </w:rPr>
        <w:t>Morrow RH, Bryant JH. Public Health Policy Forum Health Policy Approaches to</w:t>
      </w:r>
      <w:r w:rsidR="00C8600E">
        <w:rPr>
          <w:rFonts w:ascii="Times New Roman" w:hAnsi="Times New Roman" w:cs="Times New Roman"/>
          <w:noProof/>
          <w:sz w:val="24"/>
          <w:szCs w:val="24"/>
        </w:rPr>
        <w:t xml:space="preserve"> </w:t>
      </w:r>
      <w:r w:rsidR="00C8600E" w:rsidRPr="006D7CD6">
        <w:rPr>
          <w:rFonts w:ascii="Times New Roman" w:hAnsi="Times New Roman" w:cs="Times New Roman"/>
          <w:noProof/>
          <w:sz w:val="24"/>
          <w:szCs w:val="24"/>
        </w:rPr>
        <w:t xml:space="preserve">Measuring and Valuing Human Life: Conceptual and Ethical Issues. </w:t>
      </w:r>
      <w:r w:rsidR="00C8600E" w:rsidRPr="006D7CD6">
        <w:rPr>
          <w:rFonts w:ascii="Times New Roman" w:hAnsi="Times New Roman" w:cs="Times New Roman"/>
          <w:i/>
          <w:iCs/>
          <w:noProof/>
          <w:sz w:val="24"/>
          <w:szCs w:val="24"/>
        </w:rPr>
        <w:t>American Journal of Public Health</w:t>
      </w:r>
      <w:r w:rsidR="00C8600E" w:rsidRPr="006D7CD6">
        <w:rPr>
          <w:rFonts w:ascii="Times New Roman" w:hAnsi="Times New Roman" w:cs="Times New Roman"/>
          <w:noProof/>
          <w:sz w:val="24"/>
          <w:szCs w:val="24"/>
        </w:rPr>
        <w:t>. 1995;85(10)</w:t>
      </w:r>
    </w:p>
  </w:footnote>
  <w:footnote w:id="5">
    <w:p w14:paraId="730BD466" w14:textId="40B45403" w:rsidR="00C8600E" w:rsidRDefault="00C8600E" w:rsidP="00C8600E">
      <w:pPr>
        <w:pStyle w:val="FootnoteText"/>
        <w:ind w:left="142" w:hanging="142"/>
      </w:pPr>
      <w:r>
        <w:rPr>
          <w:rStyle w:val="FootnoteReference"/>
        </w:rPr>
        <w:footnoteRef/>
      </w:r>
      <w:r>
        <w:t xml:space="preserve"> </w:t>
      </w:r>
      <w:r w:rsidRPr="006D7CD6">
        <w:rPr>
          <w:rFonts w:ascii="Times New Roman" w:hAnsi="Times New Roman" w:cs="Times New Roman"/>
          <w:noProof/>
          <w:sz w:val="24"/>
          <w:szCs w:val="24"/>
        </w:rPr>
        <w:t xml:space="preserve">Redondo-sendino Á, Guallar-castillón P, Banegas JR, </w:t>
      </w:r>
      <w:r>
        <w:rPr>
          <w:rFonts w:ascii="Times New Roman" w:hAnsi="Times New Roman" w:cs="Times New Roman"/>
          <w:noProof/>
          <w:sz w:val="24"/>
          <w:szCs w:val="24"/>
        </w:rPr>
        <w:t>et al</w:t>
      </w:r>
      <w:r w:rsidRPr="006D7CD6">
        <w:rPr>
          <w:rFonts w:ascii="Times New Roman" w:hAnsi="Times New Roman" w:cs="Times New Roman"/>
          <w:noProof/>
          <w:sz w:val="24"/>
          <w:szCs w:val="24"/>
        </w:rPr>
        <w:t xml:space="preserve">. Gender differences in the utilization of health-care services among the older adult population of Spain. </w:t>
      </w:r>
      <w:r w:rsidRPr="006D7CD6">
        <w:rPr>
          <w:rFonts w:ascii="Times New Roman" w:hAnsi="Times New Roman" w:cs="Times New Roman"/>
          <w:i/>
          <w:iCs/>
          <w:noProof/>
          <w:sz w:val="24"/>
          <w:szCs w:val="24"/>
        </w:rPr>
        <w:t>BMC Public Health</w:t>
      </w:r>
      <w:r w:rsidRPr="006D7CD6">
        <w:rPr>
          <w:rFonts w:ascii="Times New Roman" w:hAnsi="Times New Roman" w:cs="Times New Roman"/>
          <w:noProof/>
          <w:sz w:val="24"/>
          <w:szCs w:val="24"/>
        </w:rPr>
        <w:t>. 2006;6(1):1-9. doi:10.1186/1471-2458-6-155</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69"/>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jQ2NTEytzQxMTUwN7JQ0lEKTi0uzszPAykwqQUAbhzQnCwAAAA="/>
  </w:docVars>
  <w:rsids>
    <w:rsidRoot w:val="00696E10"/>
    <w:rsid w:val="00000100"/>
    <w:rsid w:val="0002274E"/>
    <w:rsid w:val="000260EC"/>
    <w:rsid w:val="00036EA3"/>
    <w:rsid w:val="00051FE5"/>
    <w:rsid w:val="00073D23"/>
    <w:rsid w:val="000A4E7C"/>
    <w:rsid w:val="000B25BC"/>
    <w:rsid w:val="000D7E15"/>
    <w:rsid w:val="000E4CAF"/>
    <w:rsid w:val="00104E3D"/>
    <w:rsid w:val="00123B8E"/>
    <w:rsid w:val="001310B0"/>
    <w:rsid w:val="00134271"/>
    <w:rsid w:val="00141FE9"/>
    <w:rsid w:val="00151054"/>
    <w:rsid w:val="00161FE0"/>
    <w:rsid w:val="00166334"/>
    <w:rsid w:val="001D01B3"/>
    <w:rsid w:val="001D14CE"/>
    <w:rsid w:val="001F0BE8"/>
    <w:rsid w:val="001F583A"/>
    <w:rsid w:val="0026200D"/>
    <w:rsid w:val="00280736"/>
    <w:rsid w:val="002D3232"/>
    <w:rsid w:val="003373E0"/>
    <w:rsid w:val="0034100C"/>
    <w:rsid w:val="00357BEB"/>
    <w:rsid w:val="00361F89"/>
    <w:rsid w:val="00373F9F"/>
    <w:rsid w:val="00380D81"/>
    <w:rsid w:val="003E4BF8"/>
    <w:rsid w:val="003E799B"/>
    <w:rsid w:val="00415620"/>
    <w:rsid w:val="0041757C"/>
    <w:rsid w:val="00480058"/>
    <w:rsid w:val="004A7977"/>
    <w:rsid w:val="004B2A3E"/>
    <w:rsid w:val="004B4B90"/>
    <w:rsid w:val="004E4FC4"/>
    <w:rsid w:val="00507A4A"/>
    <w:rsid w:val="00513DF2"/>
    <w:rsid w:val="005218BB"/>
    <w:rsid w:val="00536C1D"/>
    <w:rsid w:val="00557ACC"/>
    <w:rsid w:val="00562E9E"/>
    <w:rsid w:val="005767AA"/>
    <w:rsid w:val="005775FA"/>
    <w:rsid w:val="005827F1"/>
    <w:rsid w:val="005B71DD"/>
    <w:rsid w:val="005D01DA"/>
    <w:rsid w:val="005E55F6"/>
    <w:rsid w:val="005F0048"/>
    <w:rsid w:val="005F1669"/>
    <w:rsid w:val="005F4403"/>
    <w:rsid w:val="00621CDB"/>
    <w:rsid w:val="0062201C"/>
    <w:rsid w:val="006327A3"/>
    <w:rsid w:val="00643ED5"/>
    <w:rsid w:val="00662ACE"/>
    <w:rsid w:val="006647AB"/>
    <w:rsid w:val="00696E10"/>
    <w:rsid w:val="006F6407"/>
    <w:rsid w:val="00702805"/>
    <w:rsid w:val="00717EB3"/>
    <w:rsid w:val="007245BC"/>
    <w:rsid w:val="00725028"/>
    <w:rsid w:val="007755E6"/>
    <w:rsid w:val="00787EB7"/>
    <w:rsid w:val="007A0A41"/>
    <w:rsid w:val="007D7470"/>
    <w:rsid w:val="00804ABE"/>
    <w:rsid w:val="00897F2E"/>
    <w:rsid w:val="008B35F5"/>
    <w:rsid w:val="008C5523"/>
    <w:rsid w:val="008E764E"/>
    <w:rsid w:val="009070CB"/>
    <w:rsid w:val="00926BAD"/>
    <w:rsid w:val="0093572E"/>
    <w:rsid w:val="00966FA2"/>
    <w:rsid w:val="00984186"/>
    <w:rsid w:val="009A1580"/>
    <w:rsid w:val="009A2F9C"/>
    <w:rsid w:val="009E0DB5"/>
    <w:rsid w:val="00A03C0E"/>
    <w:rsid w:val="00A438BE"/>
    <w:rsid w:val="00A4789A"/>
    <w:rsid w:val="00A51EE3"/>
    <w:rsid w:val="00AB5C5C"/>
    <w:rsid w:val="00AD4F5E"/>
    <w:rsid w:val="00AF4F2D"/>
    <w:rsid w:val="00AF65EE"/>
    <w:rsid w:val="00B24F70"/>
    <w:rsid w:val="00B33AB3"/>
    <w:rsid w:val="00B360AC"/>
    <w:rsid w:val="00B80F76"/>
    <w:rsid w:val="00BA508D"/>
    <w:rsid w:val="00BB02A3"/>
    <w:rsid w:val="00BD5C0D"/>
    <w:rsid w:val="00C1186A"/>
    <w:rsid w:val="00C35C0B"/>
    <w:rsid w:val="00C84365"/>
    <w:rsid w:val="00C8600E"/>
    <w:rsid w:val="00CA3E6E"/>
    <w:rsid w:val="00CA60C0"/>
    <w:rsid w:val="00CE08F7"/>
    <w:rsid w:val="00CF7260"/>
    <w:rsid w:val="00D20C54"/>
    <w:rsid w:val="00D34897"/>
    <w:rsid w:val="00D5465E"/>
    <w:rsid w:val="00D579DC"/>
    <w:rsid w:val="00D71235"/>
    <w:rsid w:val="00D77452"/>
    <w:rsid w:val="00D9109F"/>
    <w:rsid w:val="00D96E67"/>
    <w:rsid w:val="00D97A5E"/>
    <w:rsid w:val="00DA6C9D"/>
    <w:rsid w:val="00DD51CA"/>
    <w:rsid w:val="00DE2E06"/>
    <w:rsid w:val="00DF6525"/>
    <w:rsid w:val="00E13770"/>
    <w:rsid w:val="00E23876"/>
    <w:rsid w:val="00E87254"/>
    <w:rsid w:val="00EF5AD1"/>
    <w:rsid w:val="00F27F4F"/>
    <w:rsid w:val="00F30A1E"/>
    <w:rsid w:val="00F5393F"/>
    <w:rsid w:val="00F72BF7"/>
    <w:rsid w:val="00F73B87"/>
    <w:rsid w:val="00F81994"/>
    <w:rsid w:val="00FB3B90"/>
    <w:rsid w:val="00FB4C8D"/>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F3F749"/>
  <w15:chartTrackingRefBased/>
  <w15:docId w15:val="{0177DD03-0C2A-4355-B237-3972544C1F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E1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696E10"/>
    <w:pPr>
      <w:spacing w:after="200" w:line="240" w:lineRule="auto"/>
    </w:pPr>
    <w:rPr>
      <w:i/>
      <w:iCs/>
      <w:color w:val="44546A" w:themeColor="text2"/>
      <w:sz w:val="18"/>
      <w:szCs w:val="18"/>
    </w:rPr>
  </w:style>
  <w:style w:type="paragraph" w:styleId="NormalWeb">
    <w:name w:val="Normal (Web)"/>
    <w:basedOn w:val="Normal"/>
    <w:uiPriority w:val="99"/>
    <w:unhideWhenUsed/>
    <w:rsid w:val="00696E10"/>
    <w:pPr>
      <w:spacing w:before="100" w:beforeAutospacing="1" w:after="100" w:afterAutospacing="1" w:line="240" w:lineRule="auto"/>
    </w:pPr>
    <w:rPr>
      <w:rFonts w:ascii="Times New Roman" w:eastAsiaTheme="minorEastAsia" w:hAnsi="Times New Roman" w:cs="Times New Roman"/>
      <w:sz w:val="24"/>
      <w:szCs w:val="24"/>
      <w:lang w:eastAsia="en-ZA"/>
    </w:rPr>
  </w:style>
  <w:style w:type="paragraph" w:styleId="BalloonText">
    <w:name w:val="Balloon Text"/>
    <w:basedOn w:val="Normal"/>
    <w:link w:val="BalloonTextChar"/>
    <w:uiPriority w:val="99"/>
    <w:semiHidden/>
    <w:unhideWhenUsed/>
    <w:rsid w:val="00696E1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96E10"/>
    <w:rPr>
      <w:rFonts w:ascii="Segoe UI" w:hAnsi="Segoe UI" w:cs="Segoe UI"/>
      <w:sz w:val="18"/>
      <w:szCs w:val="18"/>
    </w:rPr>
  </w:style>
  <w:style w:type="character" w:styleId="CommentReference">
    <w:name w:val="annotation reference"/>
    <w:basedOn w:val="DefaultParagraphFont"/>
    <w:uiPriority w:val="99"/>
    <w:semiHidden/>
    <w:unhideWhenUsed/>
    <w:rsid w:val="00696E10"/>
    <w:rPr>
      <w:sz w:val="16"/>
      <w:szCs w:val="16"/>
    </w:rPr>
  </w:style>
  <w:style w:type="paragraph" w:styleId="CommentText">
    <w:name w:val="annotation text"/>
    <w:basedOn w:val="Normal"/>
    <w:link w:val="CommentTextChar"/>
    <w:uiPriority w:val="99"/>
    <w:semiHidden/>
    <w:unhideWhenUsed/>
    <w:rsid w:val="00696E10"/>
    <w:pPr>
      <w:spacing w:line="240" w:lineRule="auto"/>
    </w:pPr>
    <w:rPr>
      <w:sz w:val="20"/>
      <w:szCs w:val="20"/>
    </w:rPr>
  </w:style>
  <w:style w:type="character" w:customStyle="1" w:styleId="CommentTextChar">
    <w:name w:val="Comment Text Char"/>
    <w:basedOn w:val="DefaultParagraphFont"/>
    <w:link w:val="CommentText"/>
    <w:uiPriority w:val="99"/>
    <w:semiHidden/>
    <w:rsid w:val="00696E10"/>
    <w:rPr>
      <w:sz w:val="20"/>
      <w:szCs w:val="20"/>
    </w:rPr>
  </w:style>
  <w:style w:type="paragraph" w:styleId="CommentSubject">
    <w:name w:val="annotation subject"/>
    <w:basedOn w:val="CommentText"/>
    <w:next w:val="CommentText"/>
    <w:link w:val="CommentSubjectChar"/>
    <w:uiPriority w:val="99"/>
    <w:semiHidden/>
    <w:unhideWhenUsed/>
    <w:rsid w:val="00696E10"/>
    <w:rPr>
      <w:b/>
      <w:bCs/>
    </w:rPr>
  </w:style>
  <w:style w:type="character" w:customStyle="1" w:styleId="CommentSubjectChar">
    <w:name w:val="Comment Subject Char"/>
    <w:basedOn w:val="CommentTextChar"/>
    <w:link w:val="CommentSubject"/>
    <w:uiPriority w:val="99"/>
    <w:semiHidden/>
    <w:rsid w:val="00696E10"/>
    <w:rPr>
      <w:b/>
      <w:bCs/>
      <w:sz w:val="20"/>
      <w:szCs w:val="20"/>
    </w:rPr>
  </w:style>
  <w:style w:type="paragraph" w:styleId="FootnoteText">
    <w:name w:val="footnote text"/>
    <w:basedOn w:val="Normal"/>
    <w:link w:val="FootnoteTextChar"/>
    <w:uiPriority w:val="99"/>
    <w:semiHidden/>
    <w:unhideWhenUsed/>
    <w:rsid w:val="000D7E1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D7E15"/>
    <w:rPr>
      <w:sz w:val="20"/>
      <w:szCs w:val="20"/>
    </w:rPr>
  </w:style>
  <w:style w:type="character" w:styleId="FootnoteReference">
    <w:name w:val="footnote reference"/>
    <w:basedOn w:val="DefaultParagraphFont"/>
    <w:uiPriority w:val="99"/>
    <w:semiHidden/>
    <w:unhideWhenUsed/>
    <w:rsid w:val="000D7E1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chart" Target="charts/chart4.xml"/><Relationship Id="rId4" Type="http://schemas.openxmlformats.org/officeDocument/2006/relationships/webSettings" Target="webSettings.xml"/><Relationship Id="rId9" Type="http://schemas.openxmlformats.org/officeDocument/2006/relationships/chart" Target="charts/chart3.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crist\Documents\data%20extract\Capstone\Copy%20of%201.Capstone%20Inclusion%20Exclusion%20Criteria_19022019.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xlsx"/></Relationships>
</file>

<file path=word/charts/_rels/chart3.xml.rels><?xml version="1.0" encoding="UTF-8" standalone="yes"?>
<Relationships xmlns="http://schemas.openxmlformats.org/package/2006/relationships"><Relationship Id="rId3" Type="http://schemas.openxmlformats.org/officeDocument/2006/relationships/oleObject" Target="file:///C:\Users\crist\Documents\data%20extract\Capstone\Capstone%20Final%20Paper\11042019%20(version%201).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oleObject" Target="../embeddings/oleObject1.bin"/></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Sheet7!$C$2</c:f>
              <c:strCache>
                <c:ptCount val="1"/>
                <c:pt idx="0">
                  <c:v>Commercially Insured (Study Population)</c:v>
                </c:pt>
              </c:strCache>
            </c:strRef>
          </c:tx>
          <c:spPr>
            <a:ln w="28575" cap="rnd">
              <a:solidFill>
                <a:schemeClr val="accent1"/>
              </a:solidFill>
              <a:round/>
            </a:ln>
            <a:effectLst/>
          </c:spPr>
          <c:marker>
            <c:symbol val="none"/>
          </c:marker>
          <c:cat>
            <c:strRef>
              <c:f>Sheet7!$B$3:$B$20</c:f>
              <c:strCache>
                <c:ptCount val="18"/>
                <c:pt idx="0">
                  <c:v>00-04</c:v>
                </c:pt>
                <c:pt idx="1">
                  <c:v>05-09</c:v>
                </c:pt>
                <c:pt idx="2">
                  <c:v>10-14</c:v>
                </c:pt>
                <c:pt idx="3">
                  <c:v>15-19</c:v>
                </c:pt>
                <c:pt idx="4">
                  <c:v>20-24</c:v>
                </c:pt>
                <c:pt idx="5">
                  <c:v>25-29</c:v>
                </c:pt>
                <c:pt idx="6">
                  <c:v>30-34</c:v>
                </c:pt>
                <c:pt idx="7">
                  <c:v>35-39</c:v>
                </c:pt>
                <c:pt idx="8">
                  <c:v>40-44</c:v>
                </c:pt>
                <c:pt idx="9">
                  <c:v>45-49</c:v>
                </c:pt>
                <c:pt idx="10">
                  <c:v>50-54</c:v>
                </c:pt>
                <c:pt idx="11">
                  <c:v>55-59</c:v>
                </c:pt>
                <c:pt idx="12">
                  <c:v>60-64</c:v>
                </c:pt>
                <c:pt idx="13">
                  <c:v>65-69</c:v>
                </c:pt>
                <c:pt idx="14">
                  <c:v>70-74</c:v>
                </c:pt>
                <c:pt idx="15">
                  <c:v>75-79</c:v>
                </c:pt>
                <c:pt idx="16">
                  <c:v>80-84</c:v>
                </c:pt>
                <c:pt idx="17">
                  <c:v>85+</c:v>
                </c:pt>
              </c:strCache>
            </c:strRef>
          </c:cat>
          <c:val>
            <c:numRef>
              <c:f>Sheet7!$C$3:$C$20</c:f>
              <c:numCache>
                <c:formatCode>0%</c:formatCode>
                <c:ptCount val="18"/>
                <c:pt idx="0">
                  <c:v>9.5430956571824835E-2</c:v>
                </c:pt>
                <c:pt idx="1">
                  <c:v>0.10505559965971378</c:v>
                </c:pt>
                <c:pt idx="2">
                  <c:v>9.7693215685754398E-2</c:v>
                </c:pt>
                <c:pt idx="3">
                  <c:v>9.3101246516139907E-2</c:v>
                </c:pt>
                <c:pt idx="4">
                  <c:v>3.5644033338954245E-2</c:v>
                </c:pt>
                <c:pt idx="5">
                  <c:v>4.2684320119138065E-2</c:v>
                </c:pt>
                <c:pt idx="6">
                  <c:v>6.8519925500813775E-2</c:v>
                </c:pt>
                <c:pt idx="7">
                  <c:v>7.0734059504614519E-2</c:v>
                </c:pt>
                <c:pt idx="8">
                  <c:v>7.7819439891926911E-2</c:v>
                </c:pt>
                <c:pt idx="9">
                  <c:v>7.9296539728794163E-2</c:v>
                </c:pt>
                <c:pt idx="10">
                  <c:v>7.2902342025536623E-2</c:v>
                </c:pt>
                <c:pt idx="11">
                  <c:v>5.7860024138342639E-2</c:v>
                </c:pt>
                <c:pt idx="12">
                  <c:v>3.7517123255227922E-2</c:v>
                </c:pt>
                <c:pt idx="13">
                  <c:v>2.5141770132495626E-2</c:v>
                </c:pt>
                <c:pt idx="14">
                  <c:v>1.7435310568008927E-2</c:v>
                </c:pt>
                <c:pt idx="15">
                  <c:v>1.1692128134053063E-2</c:v>
                </c:pt>
                <c:pt idx="16">
                  <c:v>6.6598331536536241E-3</c:v>
                </c:pt>
                <c:pt idx="17">
                  <c:v>4.8121320750069627E-3</c:v>
                </c:pt>
              </c:numCache>
            </c:numRef>
          </c:val>
          <c:smooth val="0"/>
          <c:extLst>
            <c:ext xmlns:c16="http://schemas.microsoft.com/office/drawing/2014/chart" uri="{C3380CC4-5D6E-409C-BE32-E72D297353CC}">
              <c16:uniqueId val="{00000000-D939-4E8F-B5B1-6BB53B1A0CAC}"/>
            </c:ext>
          </c:extLst>
        </c:ser>
        <c:ser>
          <c:idx val="1"/>
          <c:order val="1"/>
          <c:tx>
            <c:strRef>
              <c:f>Sheet7!$D$2</c:f>
              <c:strCache>
                <c:ptCount val="1"/>
                <c:pt idx="0">
                  <c:v>South Africa (Census 2011)</c:v>
                </c:pt>
              </c:strCache>
            </c:strRef>
          </c:tx>
          <c:spPr>
            <a:ln w="28575" cap="rnd">
              <a:solidFill>
                <a:schemeClr val="bg1">
                  <a:lumMod val="65000"/>
                </a:schemeClr>
              </a:solidFill>
              <a:round/>
            </a:ln>
            <a:effectLst/>
          </c:spPr>
          <c:marker>
            <c:symbol val="none"/>
          </c:marker>
          <c:cat>
            <c:strRef>
              <c:f>Sheet7!$B$3:$B$20</c:f>
              <c:strCache>
                <c:ptCount val="18"/>
                <c:pt idx="0">
                  <c:v>00-04</c:v>
                </c:pt>
                <c:pt idx="1">
                  <c:v>05-09</c:v>
                </c:pt>
                <c:pt idx="2">
                  <c:v>10-14</c:v>
                </c:pt>
                <c:pt idx="3">
                  <c:v>15-19</c:v>
                </c:pt>
                <c:pt idx="4">
                  <c:v>20-24</c:v>
                </c:pt>
                <c:pt idx="5">
                  <c:v>25-29</c:v>
                </c:pt>
                <c:pt idx="6">
                  <c:v>30-34</c:v>
                </c:pt>
                <c:pt idx="7">
                  <c:v>35-39</c:v>
                </c:pt>
                <c:pt idx="8">
                  <c:v>40-44</c:v>
                </c:pt>
                <c:pt idx="9">
                  <c:v>45-49</c:v>
                </c:pt>
                <c:pt idx="10">
                  <c:v>50-54</c:v>
                </c:pt>
                <c:pt idx="11">
                  <c:v>55-59</c:v>
                </c:pt>
                <c:pt idx="12">
                  <c:v>60-64</c:v>
                </c:pt>
                <c:pt idx="13">
                  <c:v>65-69</c:v>
                </c:pt>
                <c:pt idx="14">
                  <c:v>70-74</c:v>
                </c:pt>
                <c:pt idx="15">
                  <c:v>75-79</c:v>
                </c:pt>
                <c:pt idx="16">
                  <c:v>80-84</c:v>
                </c:pt>
                <c:pt idx="17">
                  <c:v>85+</c:v>
                </c:pt>
              </c:strCache>
            </c:strRef>
          </c:cat>
          <c:val>
            <c:numRef>
              <c:f>Sheet7!$D$3:$D$20</c:f>
              <c:numCache>
                <c:formatCode>0%</c:formatCode>
                <c:ptCount val="18"/>
                <c:pt idx="0">
                  <c:v>0.10982293233103768</c:v>
                </c:pt>
                <c:pt idx="1">
                  <c:v>9.3100790170574849E-2</c:v>
                </c:pt>
                <c:pt idx="2">
                  <c:v>8.8756900694426155E-2</c:v>
                </c:pt>
                <c:pt idx="3">
                  <c:v>9.6650183747098592E-2</c:v>
                </c:pt>
                <c:pt idx="4">
                  <c:v>0.10381673882914366</c:v>
                </c:pt>
                <c:pt idx="5">
                  <c:v>9.7725255872710193E-2</c:v>
                </c:pt>
                <c:pt idx="6">
                  <c:v>7.7823623301187167E-2</c:v>
                </c:pt>
                <c:pt idx="7">
                  <c:v>6.6982512609558065E-2</c:v>
                </c:pt>
                <c:pt idx="8">
                  <c:v>5.6953998886388246E-2</c:v>
                </c:pt>
                <c:pt idx="9">
                  <c:v>5.0611670274871005E-2</c:v>
                </c:pt>
                <c:pt idx="10">
                  <c:v>4.2846021973306662E-2</c:v>
                </c:pt>
                <c:pt idx="11">
                  <c:v>3.4717173890361497E-2</c:v>
                </c:pt>
                <c:pt idx="12">
                  <c:v>2.6765917190333936E-2</c:v>
                </c:pt>
                <c:pt idx="13">
                  <c:v>1.8500335526589168E-2</c:v>
                </c:pt>
                <c:pt idx="14">
                  <c:v>1.4453886986237528E-2</c:v>
                </c:pt>
                <c:pt idx="15">
                  <c:v>9.2961835007154166E-3</c:v>
                </c:pt>
                <c:pt idx="16">
                  <c:v>6.2372380944856086E-3</c:v>
                </c:pt>
                <c:pt idx="17">
                  <c:v>4.9386361209745626E-3</c:v>
                </c:pt>
              </c:numCache>
            </c:numRef>
          </c:val>
          <c:smooth val="0"/>
          <c:extLst>
            <c:ext xmlns:c16="http://schemas.microsoft.com/office/drawing/2014/chart" uri="{C3380CC4-5D6E-409C-BE32-E72D297353CC}">
              <c16:uniqueId val="{00000001-D939-4E8F-B5B1-6BB53B1A0CAC}"/>
            </c:ext>
          </c:extLst>
        </c:ser>
        <c:dLbls>
          <c:showLegendKey val="0"/>
          <c:showVal val="0"/>
          <c:showCatName val="0"/>
          <c:showSerName val="0"/>
          <c:showPercent val="0"/>
          <c:showBubbleSize val="0"/>
        </c:dLbls>
        <c:smooth val="0"/>
        <c:axId val="132978304"/>
        <c:axId val="57437120"/>
      </c:lineChart>
      <c:catAx>
        <c:axId val="132978304"/>
        <c:scaling>
          <c:orientation val="minMax"/>
        </c:scaling>
        <c:delete val="0"/>
        <c:axPos val="b"/>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900"/>
                  <a:t>Age Band</a:t>
                </a:r>
              </a:p>
            </c:rich>
          </c:tx>
          <c:layout>
            <c:manualLayout>
              <c:xMode val="edge"/>
              <c:yMode val="edge"/>
              <c:x val="0.47212685829811812"/>
              <c:y val="0.83248836405341931"/>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57437120"/>
        <c:crosses val="autoZero"/>
        <c:auto val="1"/>
        <c:lblAlgn val="ctr"/>
        <c:lblOffset val="100"/>
        <c:noMultiLvlLbl val="0"/>
      </c:catAx>
      <c:valAx>
        <c:axId val="5743712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900"/>
                  <a:t>% Population</a:t>
                </a:r>
              </a:p>
            </c:rich>
          </c:tx>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3297830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200">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Sheet2!$G$4</c:f>
              <c:strCache>
                <c:ptCount val="1"/>
                <c:pt idx="0">
                  <c:v>Female</c:v>
                </c:pt>
              </c:strCache>
            </c:strRef>
          </c:tx>
          <c:spPr>
            <a:ln w="28575" cap="rnd">
              <a:solidFill>
                <a:srgbClr val="ED7D31"/>
              </a:solidFill>
              <a:round/>
            </a:ln>
            <a:effectLst/>
          </c:spPr>
          <c:marker>
            <c:symbol val="none"/>
          </c:marker>
          <c:cat>
            <c:strRef>
              <c:f>Sheet2!$F$5:$F$22</c:f>
              <c:strCache>
                <c:ptCount val="18"/>
                <c:pt idx="0">
                  <c:v>00-04</c:v>
                </c:pt>
                <c:pt idx="1">
                  <c:v>05-09</c:v>
                </c:pt>
                <c:pt idx="2">
                  <c:v>10-14</c:v>
                </c:pt>
                <c:pt idx="3">
                  <c:v>15-19</c:v>
                </c:pt>
                <c:pt idx="4">
                  <c:v>20-24</c:v>
                </c:pt>
                <c:pt idx="5">
                  <c:v>25-29</c:v>
                </c:pt>
                <c:pt idx="6">
                  <c:v>30-34</c:v>
                </c:pt>
                <c:pt idx="7">
                  <c:v>35-39</c:v>
                </c:pt>
                <c:pt idx="8">
                  <c:v>40-44</c:v>
                </c:pt>
                <c:pt idx="9">
                  <c:v>45-49</c:v>
                </c:pt>
                <c:pt idx="10">
                  <c:v>50-54</c:v>
                </c:pt>
                <c:pt idx="11">
                  <c:v>55-59</c:v>
                </c:pt>
                <c:pt idx="12">
                  <c:v>60-64</c:v>
                </c:pt>
                <c:pt idx="13">
                  <c:v>65-69</c:v>
                </c:pt>
                <c:pt idx="14">
                  <c:v>70-74</c:v>
                </c:pt>
                <c:pt idx="15">
                  <c:v>75-79</c:v>
                </c:pt>
                <c:pt idx="16">
                  <c:v>80-84</c:v>
                </c:pt>
                <c:pt idx="17">
                  <c:v>85+</c:v>
                </c:pt>
              </c:strCache>
            </c:strRef>
          </c:cat>
          <c:val>
            <c:numRef>
              <c:f>Sheet2!$G$5:$G$22</c:f>
              <c:numCache>
                <c:formatCode>0.0</c:formatCode>
                <c:ptCount val="18"/>
                <c:pt idx="0">
                  <c:v>0.44958173523876926</c:v>
                </c:pt>
                <c:pt idx="1">
                  <c:v>0.26724299441193483</c:v>
                </c:pt>
                <c:pt idx="2">
                  <c:v>0.31385560768175585</c:v>
                </c:pt>
                <c:pt idx="3">
                  <c:v>0.52607165969964387</c:v>
                </c:pt>
                <c:pt idx="4">
                  <c:v>0.79962187769083892</c:v>
                </c:pt>
                <c:pt idx="5">
                  <c:v>1.0944047591767452</c:v>
                </c:pt>
                <c:pt idx="6">
                  <c:v>1.1814373368590481</c:v>
                </c:pt>
                <c:pt idx="7">
                  <c:v>1.2967581085240441</c:v>
                </c:pt>
                <c:pt idx="8">
                  <c:v>1.350395778746418</c:v>
                </c:pt>
                <c:pt idx="9">
                  <c:v>1.49923178245342</c:v>
                </c:pt>
                <c:pt idx="10">
                  <c:v>1.6294936806164353</c:v>
                </c:pt>
                <c:pt idx="11">
                  <c:v>1.7404129268461566</c:v>
                </c:pt>
                <c:pt idx="12">
                  <c:v>1.8712312159980344</c:v>
                </c:pt>
                <c:pt idx="13">
                  <c:v>2.0267844331019811</c:v>
                </c:pt>
                <c:pt idx="14">
                  <c:v>2.2183489423490608</c:v>
                </c:pt>
                <c:pt idx="15">
                  <c:v>2.4311335259221045</c:v>
                </c:pt>
                <c:pt idx="16">
                  <c:v>2.6143957544757033</c:v>
                </c:pt>
                <c:pt idx="17">
                  <c:v>2.7953495309261482</c:v>
                </c:pt>
              </c:numCache>
            </c:numRef>
          </c:val>
          <c:smooth val="0"/>
          <c:extLst>
            <c:ext xmlns:c16="http://schemas.microsoft.com/office/drawing/2014/chart" uri="{C3380CC4-5D6E-409C-BE32-E72D297353CC}">
              <c16:uniqueId val="{00000000-4DF8-4812-AE35-8854D9AD3B8B}"/>
            </c:ext>
          </c:extLst>
        </c:ser>
        <c:ser>
          <c:idx val="1"/>
          <c:order val="1"/>
          <c:tx>
            <c:strRef>
              <c:f>Sheet2!$H$4</c:f>
              <c:strCache>
                <c:ptCount val="1"/>
                <c:pt idx="0">
                  <c:v>Male</c:v>
                </c:pt>
              </c:strCache>
            </c:strRef>
          </c:tx>
          <c:spPr>
            <a:ln w="28575" cap="rnd">
              <a:solidFill>
                <a:srgbClr val="4472C4">
                  <a:lumMod val="75000"/>
                </a:srgbClr>
              </a:solidFill>
              <a:round/>
            </a:ln>
            <a:effectLst/>
          </c:spPr>
          <c:marker>
            <c:symbol val="none"/>
          </c:marker>
          <c:cat>
            <c:strRef>
              <c:f>Sheet2!$F$5:$F$22</c:f>
              <c:strCache>
                <c:ptCount val="18"/>
                <c:pt idx="0">
                  <c:v>00-04</c:v>
                </c:pt>
                <c:pt idx="1">
                  <c:v>05-09</c:v>
                </c:pt>
                <c:pt idx="2">
                  <c:v>10-14</c:v>
                </c:pt>
                <c:pt idx="3">
                  <c:v>15-19</c:v>
                </c:pt>
                <c:pt idx="4">
                  <c:v>20-24</c:v>
                </c:pt>
                <c:pt idx="5">
                  <c:v>25-29</c:v>
                </c:pt>
                <c:pt idx="6">
                  <c:v>30-34</c:v>
                </c:pt>
                <c:pt idx="7">
                  <c:v>35-39</c:v>
                </c:pt>
                <c:pt idx="8">
                  <c:v>40-44</c:v>
                </c:pt>
                <c:pt idx="9">
                  <c:v>45-49</c:v>
                </c:pt>
                <c:pt idx="10">
                  <c:v>50-54</c:v>
                </c:pt>
                <c:pt idx="11">
                  <c:v>55-59</c:v>
                </c:pt>
                <c:pt idx="12">
                  <c:v>60-64</c:v>
                </c:pt>
                <c:pt idx="13">
                  <c:v>65-69</c:v>
                </c:pt>
                <c:pt idx="14">
                  <c:v>70-74</c:v>
                </c:pt>
                <c:pt idx="15">
                  <c:v>75-79</c:v>
                </c:pt>
                <c:pt idx="16">
                  <c:v>80-84</c:v>
                </c:pt>
                <c:pt idx="17">
                  <c:v>85+</c:v>
                </c:pt>
              </c:strCache>
            </c:strRef>
          </c:cat>
          <c:val>
            <c:numRef>
              <c:f>Sheet2!$H$5:$H$22</c:f>
              <c:numCache>
                <c:formatCode>0.0</c:formatCode>
                <c:ptCount val="18"/>
                <c:pt idx="0">
                  <c:v>0.4879617619144731</c:v>
                </c:pt>
                <c:pt idx="1">
                  <c:v>0.28913172265025305</c:v>
                </c:pt>
                <c:pt idx="2">
                  <c:v>0.29792801133353297</c:v>
                </c:pt>
                <c:pt idx="3">
                  <c:v>0.35060645203262614</c:v>
                </c:pt>
                <c:pt idx="4">
                  <c:v>0.46662783519106327</c:v>
                </c:pt>
                <c:pt idx="5">
                  <c:v>0.59889136767826068</c:v>
                </c:pt>
                <c:pt idx="6">
                  <c:v>0.71679971080226357</c:v>
                </c:pt>
                <c:pt idx="7">
                  <c:v>0.87065272506561675</c:v>
                </c:pt>
                <c:pt idx="8">
                  <c:v>1.0298893147759491</c:v>
                </c:pt>
                <c:pt idx="9">
                  <c:v>1.2827584818841815</c:v>
                </c:pt>
                <c:pt idx="10">
                  <c:v>1.450862942597684</c:v>
                </c:pt>
                <c:pt idx="11">
                  <c:v>1.6078539053863743</c:v>
                </c:pt>
                <c:pt idx="12">
                  <c:v>1.8362653567009328</c:v>
                </c:pt>
                <c:pt idx="13">
                  <c:v>2.1862503349460365</c:v>
                </c:pt>
                <c:pt idx="14">
                  <c:v>2.5238247254263482</c:v>
                </c:pt>
                <c:pt idx="15">
                  <c:v>2.8200482955536179</c:v>
                </c:pt>
                <c:pt idx="16">
                  <c:v>3.1824818819503848</c:v>
                </c:pt>
                <c:pt idx="17">
                  <c:v>3.5554068941109853</c:v>
                </c:pt>
              </c:numCache>
            </c:numRef>
          </c:val>
          <c:smooth val="0"/>
          <c:extLst>
            <c:ext xmlns:c16="http://schemas.microsoft.com/office/drawing/2014/chart" uri="{C3380CC4-5D6E-409C-BE32-E72D297353CC}">
              <c16:uniqueId val="{00000001-4DF8-4812-AE35-8854D9AD3B8B}"/>
            </c:ext>
          </c:extLst>
        </c:ser>
        <c:dLbls>
          <c:showLegendKey val="0"/>
          <c:showVal val="0"/>
          <c:showCatName val="0"/>
          <c:showSerName val="0"/>
          <c:showPercent val="0"/>
          <c:showBubbleSize val="0"/>
        </c:dLbls>
        <c:smooth val="0"/>
        <c:axId val="1709652671"/>
        <c:axId val="1540203311"/>
      </c:lineChart>
      <c:catAx>
        <c:axId val="1709652671"/>
        <c:scaling>
          <c:orientation val="minMax"/>
        </c:scaling>
        <c:delete val="0"/>
        <c:axPos val="b"/>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900">
                    <a:latin typeface="Times New Roman" panose="02020603050405020304" pitchFamily="18" charset="0"/>
                    <a:cs typeface="Times New Roman" panose="02020603050405020304" pitchFamily="18" charset="0"/>
                  </a:rPr>
                  <a:t>Age Band</a:t>
                </a:r>
              </a:p>
            </c:rich>
          </c:tx>
          <c:layout>
            <c:manualLayout>
              <c:xMode val="edge"/>
              <c:yMode val="edge"/>
              <c:x val="0.49621497124931019"/>
              <c:y val="0.84144711182458976"/>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540203311"/>
        <c:crossesAt val="0"/>
        <c:auto val="1"/>
        <c:lblAlgn val="ctr"/>
        <c:lblOffset val="100"/>
        <c:noMultiLvlLbl val="0"/>
      </c:catAx>
      <c:valAx>
        <c:axId val="1540203311"/>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900">
                    <a:latin typeface="Times New Roman" panose="02020603050405020304" pitchFamily="18" charset="0"/>
                    <a:cs typeface="Times New Roman" panose="02020603050405020304" pitchFamily="18" charset="0"/>
                  </a:rPr>
                  <a:t>Comorbidity Index (CMI)</a:t>
                </a:r>
              </a:p>
            </c:rich>
          </c:tx>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709652671"/>
        <c:crosses val="autoZero"/>
        <c:crossBetween val="between"/>
      </c:valAx>
      <c:spPr>
        <a:noFill/>
        <a:ln>
          <a:noFill/>
        </a:ln>
        <a:effectLst/>
      </c:spPr>
    </c:plotArea>
    <c:legend>
      <c:legendPos val="b"/>
      <c:layout>
        <c:manualLayout>
          <c:xMode val="edge"/>
          <c:yMode val="edge"/>
          <c:x val="0.36929577643374295"/>
          <c:y val="0.90278025460232103"/>
          <c:w val="0.33993199521557388"/>
          <c:h val="5.963298000642233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Sheet2!$K$1</c:f>
              <c:strCache>
                <c:ptCount val="1"/>
                <c:pt idx="0">
                  <c:v>% Population</c:v>
                </c:pt>
              </c:strCache>
            </c:strRef>
          </c:tx>
          <c:spPr>
            <a:solidFill>
              <a:schemeClr val="accent1"/>
            </a:solidFill>
            <a:ln>
              <a:noFill/>
            </a:ln>
            <a:effectLst/>
          </c:spPr>
          <c:invertIfNegative val="0"/>
          <c:cat>
            <c:strRef>
              <c:f>Sheet2!$J$2:$J$19</c:f>
              <c:strCache>
                <c:ptCount val="18"/>
                <c:pt idx="0">
                  <c:v>00-04</c:v>
                </c:pt>
                <c:pt idx="1">
                  <c:v>05-09</c:v>
                </c:pt>
                <c:pt idx="2">
                  <c:v>10-14</c:v>
                </c:pt>
                <c:pt idx="3">
                  <c:v>15-19</c:v>
                </c:pt>
                <c:pt idx="4">
                  <c:v>20-24</c:v>
                </c:pt>
                <c:pt idx="5">
                  <c:v>25-29</c:v>
                </c:pt>
                <c:pt idx="6">
                  <c:v>30-34</c:v>
                </c:pt>
                <c:pt idx="7">
                  <c:v>35-39</c:v>
                </c:pt>
                <c:pt idx="8">
                  <c:v>40-44</c:v>
                </c:pt>
                <c:pt idx="9">
                  <c:v>45-49</c:v>
                </c:pt>
                <c:pt idx="10">
                  <c:v>50-54</c:v>
                </c:pt>
                <c:pt idx="11">
                  <c:v>55-59</c:v>
                </c:pt>
                <c:pt idx="12">
                  <c:v>60-64</c:v>
                </c:pt>
                <c:pt idx="13">
                  <c:v>65-69</c:v>
                </c:pt>
                <c:pt idx="14">
                  <c:v>70-74</c:v>
                </c:pt>
                <c:pt idx="15">
                  <c:v>75-79</c:v>
                </c:pt>
                <c:pt idx="16">
                  <c:v>80-84</c:v>
                </c:pt>
                <c:pt idx="17">
                  <c:v>85+</c:v>
                </c:pt>
              </c:strCache>
            </c:strRef>
          </c:cat>
          <c:val>
            <c:numRef>
              <c:f>Sheet2!$K$2:$K$19</c:f>
              <c:numCache>
                <c:formatCode>0.0%</c:formatCode>
                <c:ptCount val="18"/>
                <c:pt idx="0">
                  <c:v>9.5430956571824835E-2</c:v>
                </c:pt>
                <c:pt idx="1">
                  <c:v>0.10505559965971378</c:v>
                </c:pt>
                <c:pt idx="2">
                  <c:v>9.7693215685754398E-2</c:v>
                </c:pt>
                <c:pt idx="3">
                  <c:v>9.3101246516139907E-2</c:v>
                </c:pt>
                <c:pt idx="4">
                  <c:v>3.5644033338954245E-2</c:v>
                </c:pt>
                <c:pt idx="5">
                  <c:v>4.2684320119138065E-2</c:v>
                </c:pt>
                <c:pt idx="6">
                  <c:v>6.8519925500813775E-2</c:v>
                </c:pt>
                <c:pt idx="7">
                  <c:v>7.0734059504614519E-2</c:v>
                </c:pt>
                <c:pt idx="8">
                  <c:v>7.7819439891926911E-2</c:v>
                </c:pt>
                <c:pt idx="9">
                  <c:v>7.9296539728794163E-2</c:v>
                </c:pt>
                <c:pt idx="10">
                  <c:v>7.2902342025536623E-2</c:v>
                </c:pt>
                <c:pt idx="11">
                  <c:v>5.7860024138342639E-2</c:v>
                </c:pt>
                <c:pt idx="12">
                  <c:v>3.7517123255227922E-2</c:v>
                </c:pt>
                <c:pt idx="13">
                  <c:v>2.5141770132495626E-2</c:v>
                </c:pt>
                <c:pt idx="14">
                  <c:v>1.7435310568008927E-2</c:v>
                </c:pt>
                <c:pt idx="15">
                  <c:v>1.1692128134053063E-2</c:v>
                </c:pt>
                <c:pt idx="16">
                  <c:v>6.6598331536536241E-3</c:v>
                </c:pt>
                <c:pt idx="17">
                  <c:v>4.8121320750069627E-3</c:v>
                </c:pt>
              </c:numCache>
            </c:numRef>
          </c:val>
          <c:extLst>
            <c:ext xmlns:c16="http://schemas.microsoft.com/office/drawing/2014/chart" uri="{C3380CC4-5D6E-409C-BE32-E72D297353CC}">
              <c16:uniqueId val="{00000000-8CD9-43FE-B442-73B59ED4143A}"/>
            </c:ext>
          </c:extLst>
        </c:ser>
        <c:ser>
          <c:idx val="1"/>
          <c:order val="1"/>
          <c:tx>
            <c:strRef>
              <c:f>Sheet2!$L$1</c:f>
              <c:strCache>
                <c:ptCount val="1"/>
                <c:pt idx="0">
                  <c:v>% Total cost</c:v>
                </c:pt>
              </c:strCache>
            </c:strRef>
          </c:tx>
          <c:spPr>
            <a:solidFill>
              <a:schemeClr val="accent3"/>
            </a:solidFill>
            <a:ln>
              <a:noFill/>
            </a:ln>
            <a:effectLst/>
          </c:spPr>
          <c:invertIfNegative val="0"/>
          <c:cat>
            <c:strRef>
              <c:f>Sheet2!$J$2:$J$19</c:f>
              <c:strCache>
                <c:ptCount val="18"/>
                <c:pt idx="0">
                  <c:v>00-04</c:v>
                </c:pt>
                <c:pt idx="1">
                  <c:v>05-09</c:v>
                </c:pt>
                <c:pt idx="2">
                  <c:v>10-14</c:v>
                </c:pt>
                <c:pt idx="3">
                  <c:v>15-19</c:v>
                </c:pt>
                <c:pt idx="4">
                  <c:v>20-24</c:v>
                </c:pt>
                <c:pt idx="5">
                  <c:v>25-29</c:v>
                </c:pt>
                <c:pt idx="6">
                  <c:v>30-34</c:v>
                </c:pt>
                <c:pt idx="7">
                  <c:v>35-39</c:v>
                </c:pt>
                <c:pt idx="8">
                  <c:v>40-44</c:v>
                </c:pt>
                <c:pt idx="9">
                  <c:v>45-49</c:v>
                </c:pt>
                <c:pt idx="10">
                  <c:v>50-54</c:v>
                </c:pt>
                <c:pt idx="11">
                  <c:v>55-59</c:v>
                </c:pt>
                <c:pt idx="12">
                  <c:v>60-64</c:v>
                </c:pt>
                <c:pt idx="13">
                  <c:v>65-69</c:v>
                </c:pt>
                <c:pt idx="14">
                  <c:v>70-74</c:v>
                </c:pt>
                <c:pt idx="15">
                  <c:v>75-79</c:v>
                </c:pt>
                <c:pt idx="16">
                  <c:v>80-84</c:v>
                </c:pt>
                <c:pt idx="17">
                  <c:v>85+</c:v>
                </c:pt>
              </c:strCache>
            </c:strRef>
          </c:cat>
          <c:val>
            <c:numRef>
              <c:f>Sheet2!$L$2:$L$19</c:f>
              <c:numCache>
                <c:formatCode>0.0%</c:formatCode>
                <c:ptCount val="18"/>
                <c:pt idx="0">
                  <c:v>4.7723463123242396E-2</c:v>
                </c:pt>
                <c:pt idx="1">
                  <c:v>2.6903935120683075E-2</c:v>
                </c:pt>
                <c:pt idx="2">
                  <c:v>2.6318254549286314E-2</c:v>
                </c:pt>
                <c:pt idx="3">
                  <c:v>3.7786675699326609E-2</c:v>
                </c:pt>
                <c:pt idx="4">
                  <c:v>2.4220599958752739E-2</c:v>
                </c:pt>
                <c:pt idx="5">
                  <c:v>3.8971124740968768E-2</c:v>
                </c:pt>
                <c:pt idx="6">
                  <c:v>6.8750724861816576E-2</c:v>
                </c:pt>
                <c:pt idx="7">
                  <c:v>7.3858266259781952E-2</c:v>
                </c:pt>
                <c:pt idx="8">
                  <c:v>8.6879244572286976E-2</c:v>
                </c:pt>
                <c:pt idx="9">
                  <c:v>9.8478771636573106E-2</c:v>
                </c:pt>
                <c:pt idx="10">
                  <c:v>0.10381697865624752</c:v>
                </c:pt>
                <c:pt idx="11">
                  <c:v>9.7514130580611938E-2</c:v>
                </c:pt>
                <c:pt idx="12">
                  <c:v>7.8302887818247777E-2</c:v>
                </c:pt>
                <c:pt idx="13">
                  <c:v>6.5375962277444064E-2</c:v>
                </c:pt>
                <c:pt idx="14">
                  <c:v>5.1527855192672369E-2</c:v>
                </c:pt>
                <c:pt idx="15">
                  <c:v>3.7083036936079672E-2</c:v>
                </c:pt>
                <c:pt idx="16">
                  <c:v>2.1510780313923786E-2</c:v>
                </c:pt>
                <c:pt idx="17">
                  <c:v>1.4977307702054448E-2</c:v>
                </c:pt>
              </c:numCache>
            </c:numRef>
          </c:val>
          <c:extLst>
            <c:ext xmlns:c16="http://schemas.microsoft.com/office/drawing/2014/chart" uri="{C3380CC4-5D6E-409C-BE32-E72D297353CC}">
              <c16:uniqueId val="{00000001-8CD9-43FE-B442-73B59ED4143A}"/>
            </c:ext>
          </c:extLst>
        </c:ser>
        <c:dLbls>
          <c:showLegendKey val="0"/>
          <c:showVal val="0"/>
          <c:showCatName val="0"/>
          <c:showSerName val="0"/>
          <c:showPercent val="0"/>
          <c:showBubbleSize val="0"/>
        </c:dLbls>
        <c:gapWidth val="219"/>
        <c:overlap val="-27"/>
        <c:axId val="1772076863"/>
        <c:axId val="1870196511"/>
      </c:barChart>
      <c:catAx>
        <c:axId val="1772076863"/>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latin typeface="Times New Roman" panose="02020603050405020304" pitchFamily="18" charset="0"/>
                    <a:cs typeface="Times New Roman" panose="02020603050405020304" pitchFamily="18" charset="0"/>
                  </a:rPr>
                  <a:t>Age Band</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870196511"/>
        <c:crosses val="autoZero"/>
        <c:auto val="1"/>
        <c:lblAlgn val="ctr"/>
        <c:lblOffset val="100"/>
        <c:noMultiLvlLbl val="0"/>
      </c:catAx>
      <c:valAx>
        <c:axId val="1870196511"/>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latin typeface="Times New Roman" panose="02020603050405020304" pitchFamily="18" charset="0"/>
                    <a:cs typeface="Times New Roman" panose="02020603050405020304" pitchFamily="18" charset="0"/>
                  </a:rPr>
                  <a:t>% Population</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77207686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8.296441630854319E-2"/>
          <c:y val="5.3626491486794478E-2"/>
          <c:w val="0.9012740132658944"/>
          <c:h val="0.43593270508702164"/>
        </c:manualLayout>
      </c:layout>
      <c:barChart>
        <c:barDir val="col"/>
        <c:grouping val="clustered"/>
        <c:varyColors val="0"/>
        <c:ser>
          <c:idx val="0"/>
          <c:order val="0"/>
          <c:tx>
            <c:strRef>
              <c:f>Sheet3!$N$2</c:f>
              <c:strCache>
                <c:ptCount val="1"/>
                <c:pt idx="0">
                  <c:v>SA Census 2011</c:v>
                </c:pt>
              </c:strCache>
            </c:strRef>
          </c:tx>
          <c:spPr>
            <a:solidFill>
              <a:schemeClr val="bg1">
                <a:lumMod val="65000"/>
              </a:schemeClr>
            </a:solidFill>
            <a:ln>
              <a:solidFill>
                <a:schemeClr val="bg1">
                  <a:lumMod val="65000"/>
                </a:schemeClr>
              </a:solidFill>
            </a:ln>
            <a:effectLst/>
          </c:spPr>
          <c:invertIfNegative val="0"/>
          <c:cat>
            <c:multiLvlStrRef>
              <c:f>Sheet3!$L$3:$M$54</c:f>
              <c:multiLvlStrCache>
                <c:ptCount val="52"/>
                <c:lvl>
                  <c:pt idx="0">
                    <c:v>BUF: Buffalo City</c:v>
                  </c:pt>
                  <c:pt idx="1">
                    <c:v>DC10: Cacadu</c:v>
                  </c:pt>
                  <c:pt idx="2">
                    <c:v>DC12: Amathole</c:v>
                  </c:pt>
                  <c:pt idx="3">
                    <c:v>DC13: Chris Hani</c:v>
                  </c:pt>
                  <c:pt idx="4">
                    <c:v>DC14: Joe Gqabi</c:v>
                  </c:pt>
                  <c:pt idx="5">
                    <c:v>DC15: O.R.Tambo</c:v>
                  </c:pt>
                  <c:pt idx="6">
                    <c:v>DC44: Alfred Nzo</c:v>
                  </c:pt>
                  <c:pt idx="7">
                    <c:v>NMA: Nelson Mandela Bay</c:v>
                  </c:pt>
                  <c:pt idx="8">
                    <c:v>DC16: Xhariep</c:v>
                  </c:pt>
                  <c:pt idx="9">
                    <c:v>DC18: Lejweleputswa</c:v>
                  </c:pt>
                  <c:pt idx="10">
                    <c:v>DC19: Thabo Mofutsanyane</c:v>
                  </c:pt>
                  <c:pt idx="11">
                    <c:v>DC20: Fezile Dabi</c:v>
                  </c:pt>
                  <c:pt idx="12">
                    <c:v>MAN: Mangaung</c:v>
                  </c:pt>
                  <c:pt idx="13">
                    <c:v>DC42: Sedibeng</c:v>
                  </c:pt>
                  <c:pt idx="14">
                    <c:v>DC48: West Rand</c:v>
                  </c:pt>
                  <c:pt idx="15">
                    <c:v>EKU: Ekurhuleni</c:v>
                  </c:pt>
                  <c:pt idx="16">
                    <c:v>JHB: City of Johannesburg</c:v>
                  </c:pt>
                  <c:pt idx="17">
                    <c:v>TSH: City of Tshwane</c:v>
                  </c:pt>
                  <c:pt idx="18">
                    <c:v>DC21: Ugu</c:v>
                  </c:pt>
                  <c:pt idx="19">
                    <c:v>DC22: UMgungundlovu</c:v>
                  </c:pt>
                  <c:pt idx="20">
                    <c:v>DC23: Uthukela</c:v>
                  </c:pt>
                  <c:pt idx="21">
                    <c:v>DC24: Umzinyathi</c:v>
                  </c:pt>
                  <c:pt idx="22">
                    <c:v>DC25: Amajuba</c:v>
                  </c:pt>
                  <c:pt idx="23">
                    <c:v>DC26: Zululand</c:v>
                  </c:pt>
                  <c:pt idx="24">
                    <c:v>DC27: Umkhanyakude</c:v>
                  </c:pt>
                  <c:pt idx="25">
                    <c:v>DC28: Uthungulu</c:v>
                  </c:pt>
                  <c:pt idx="26">
                    <c:v>DC29: iLembe</c:v>
                  </c:pt>
                  <c:pt idx="27">
                    <c:v>DC43: Sisonke</c:v>
                  </c:pt>
                  <c:pt idx="28">
                    <c:v>ETH: eThekwini</c:v>
                  </c:pt>
                  <c:pt idx="29">
                    <c:v>DC33: Mopani</c:v>
                  </c:pt>
                  <c:pt idx="30">
                    <c:v>DC34: Vhembe</c:v>
                  </c:pt>
                  <c:pt idx="31">
                    <c:v>DC35: Capricorn</c:v>
                  </c:pt>
                  <c:pt idx="32">
                    <c:v>DC36: Waterberg</c:v>
                  </c:pt>
                  <c:pt idx="33">
                    <c:v>DC47: Greater Sekhukhune</c:v>
                  </c:pt>
                  <c:pt idx="34">
                    <c:v>DC30: Gert Sibande</c:v>
                  </c:pt>
                  <c:pt idx="35">
                    <c:v>DC31: Nkangala</c:v>
                  </c:pt>
                  <c:pt idx="36">
                    <c:v>DC32: Ehlanzeni</c:v>
                  </c:pt>
                  <c:pt idx="37">
                    <c:v>DC37: Bojanala</c:v>
                  </c:pt>
                  <c:pt idx="38">
                    <c:v>DC38: Ngaka Modiri Molema</c:v>
                  </c:pt>
                  <c:pt idx="39">
                    <c:v>DC39: Dr Ruth Segomotsi Mompati</c:v>
                  </c:pt>
                  <c:pt idx="40">
                    <c:v>DC40: Dr Kenneth Kaunda</c:v>
                  </c:pt>
                  <c:pt idx="41">
                    <c:v>DC45: John Taolo Gaetsewe</c:v>
                  </c:pt>
                  <c:pt idx="42">
                    <c:v>DC6: Namakwa</c:v>
                  </c:pt>
                  <c:pt idx="43">
                    <c:v>DC7: Pixley ka Seme</c:v>
                  </c:pt>
                  <c:pt idx="44">
                    <c:v>DC8: Siyanda</c:v>
                  </c:pt>
                  <c:pt idx="45">
                    <c:v>DC9: Frances Baard</c:v>
                  </c:pt>
                  <c:pt idx="46">
                    <c:v>CPT: City of Cape Town</c:v>
                  </c:pt>
                  <c:pt idx="47">
                    <c:v>DC1: West Coast</c:v>
                  </c:pt>
                  <c:pt idx="48">
                    <c:v>DC2: Cape Winelands</c:v>
                  </c:pt>
                  <c:pt idx="49">
                    <c:v>DC3: Overberg</c:v>
                  </c:pt>
                  <c:pt idx="50">
                    <c:v>DC4: Eden</c:v>
                  </c:pt>
                  <c:pt idx="51">
                    <c:v>DC5: Central Karoo</c:v>
                  </c:pt>
                </c:lvl>
                <c:lvl>
                  <c:pt idx="0">
                    <c:v>Eastern Cape</c:v>
                  </c:pt>
                  <c:pt idx="8">
                    <c:v>Free State</c:v>
                  </c:pt>
                  <c:pt idx="13">
                    <c:v>Gauteng</c:v>
                  </c:pt>
                  <c:pt idx="18">
                    <c:v>KwaZulu-Natal</c:v>
                  </c:pt>
                  <c:pt idx="29">
                    <c:v>Limpopo</c:v>
                  </c:pt>
                  <c:pt idx="34">
                    <c:v>Mpumalanga</c:v>
                  </c:pt>
                  <c:pt idx="37">
                    <c:v>North West</c:v>
                  </c:pt>
                  <c:pt idx="41">
                    <c:v>Northern Cape</c:v>
                  </c:pt>
                  <c:pt idx="46">
                    <c:v>Western Cape</c:v>
                  </c:pt>
                </c:lvl>
              </c:multiLvlStrCache>
            </c:multiLvlStrRef>
          </c:cat>
          <c:val>
            <c:numRef>
              <c:f>Sheet3!$N$3:$N$54</c:f>
              <c:numCache>
                <c:formatCode>0.0%</c:formatCode>
                <c:ptCount val="52"/>
                <c:pt idx="0">
                  <c:v>1.4587442094132423E-2</c:v>
                </c:pt>
                <c:pt idx="1">
                  <c:v>8.7034837562016409E-3</c:v>
                </c:pt>
                <c:pt idx="2">
                  <c:v>1.7242167154379984E-2</c:v>
                </c:pt>
                <c:pt idx="3">
                  <c:v>1.5365128605843194E-2</c:v>
                </c:pt>
                <c:pt idx="4">
                  <c:v>6.7561181885203983E-3</c:v>
                </c:pt>
                <c:pt idx="5">
                  <c:v>2.6365240518381235E-2</c:v>
                </c:pt>
                <c:pt idx="6">
                  <c:v>1.5478760048009042E-2</c:v>
                </c:pt>
                <c:pt idx="7">
                  <c:v>2.2254258502565915E-2</c:v>
                </c:pt>
                <c:pt idx="8">
                  <c:v>2.8251316307349155E-3</c:v>
                </c:pt>
                <c:pt idx="9">
                  <c:v>1.2123228282503873E-2</c:v>
                </c:pt>
                <c:pt idx="10">
                  <c:v>1.4221167497181686E-2</c:v>
                </c:pt>
                <c:pt idx="11">
                  <c:v>9.4269004087909735E-3</c:v>
                </c:pt>
                <c:pt idx="12">
                  <c:v>1.443737698287288E-2</c:v>
                </c:pt>
                <c:pt idx="13">
                  <c:v>1.7702793702494765E-2</c:v>
                </c:pt>
                <c:pt idx="14">
                  <c:v>1.585833156577772E-2</c:v>
                </c:pt>
                <c:pt idx="15">
                  <c:v>6.1395320964476627E-2</c:v>
                </c:pt>
                <c:pt idx="16">
                  <c:v>8.5663105652363847E-2</c:v>
                </c:pt>
                <c:pt idx="17">
                  <c:v>5.6431445542469483E-2</c:v>
                </c:pt>
                <c:pt idx="18">
                  <c:v>1.3955497759584476E-2</c:v>
                </c:pt>
                <c:pt idx="19">
                  <c:v>1.9659099230415884E-2</c:v>
                </c:pt>
                <c:pt idx="20">
                  <c:v>1.291945736601305E-2</c:v>
                </c:pt>
                <c:pt idx="21">
                  <c:v>9.8673439104894674E-3</c:v>
                </c:pt>
                <c:pt idx="22">
                  <c:v>9.6548933729177725E-3</c:v>
                </c:pt>
                <c:pt idx="23">
                  <c:v>1.5521844379921707E-2</c:v>
                </c:pt>
                <c:pt idx="24">
                  <c:v>1.2088838675702377E-2</c:v>
                </c:pt>
                <c:pt idx="25">
                  <c:v>1.7529638006068177E-2</c:v>
                </c:pt>
                <c:pt idx="26">
                  <c:v>1.1721127368395827E-2</c:v>
                </c:pt>
                <c:pt idx="27">
                  <c:v>8.9127750513527029E-3</c:v>
                </c:pt>
                <c:pt idx="28">
                  <c:v>6.6492631754385828E-2</c:v>
                </c:pt>
                <c:pt idx="29">
                  <c:v>2.1102868715166225E-2</c:v>
                </c:pt>
                <c:pt idx="30">
                  <c:v>2.5008848204563894E-2</c:v>
                </c:pt>
                <c:pt idx="31">
                  <c:v>2.436640679682131E-2</c:v>
                </c:pt>
                <c:pt idx="32">
                  <c:v>1.3122053030317169E-2</c:v>
                </c:pt>
                <c:pt idx="33">
                  <c:v>2.0800233179599763E-2</c:v>
                </c:pt>
                <c:pt idx="34">
                  <c:v>2.0150334266117828E-2</c:v>
                </c:pt>
                <c:pt idx="35">
                  <c:v>2.5267822055377195E-2</c:v>
                </c:pt>
                <c:pt idx="36">
                  <c:v>3.2617289131895426E-2</c:v>
                </c:pt>
                <c:pt idx="37">
                  <c:v>2.9118969385962777E-2</c:v>
                </c:pt>
                <c:pt idx="38">
                  <c:v>1.6277566224743082E-2</c:v>
                </c:pt>
                <c:pt idx="39">
                  <c:v>8.9590537614850311E-3</c:v>
                </c:pt>
                <c:pt idx="40">
                  <c:v>1.3442643811992169E-2</c:v>
                </c:pt>
                <c:pt idx="41">
                  <c:v>4.3422083285726059E-3</c:v>
                </c:pt>
                <c:pt idx="42">
                  <c:v>2.2376040697363632E-3</c:v>
                </c:pt>
                <c:pt idx="43">
                  <c:v>3.5995583301262923E-3</c:v>
                </c:pt>
                <c:pt idx="44">
                  <c:v>4.5737075244112954E-3</c:v>
                </c:pt>
                <c:pt idx="45">
                  <c:v>7.3803647661139157E-3</c:v>
                </c:pt>
                <c:pt idx="46">
                  <c:v>7.2242332650444038E-2</c:v>
                </c:pt>
                <c:pt idx="47">
                  <c:v>7.5673579936952487E-3</c:v>
                </c:pt>
                <c:pt idx="48">
                  <c:v>1.5211160157646104E-2</c:v>
                </c:pt>
                <c:pt idx="49">
                  <c:v>4.9869236885283948E-3</c:v>
                </c:pt>
                <c:pt idx="50">
                  <c:v>1.1092498271876142E-2</c:v>
                </c:pt>
                <c:pt idx="51">
                  <c:v>1.3716476818601163E-3</c:v>
                </c:pt>
              </c:numCache>
            </c:numRef>
          </c:val>
          <c:extLst>
            <c:ext xmlns:c16="http://schemas.microsoft.com/office/drawing/2014/chart" uri="{C3380CC4-5D6E-409C-BE32-E72D297353CC}">
              <c16:uniqueId val="{00000000-0CBE-48DD-9DF1-DBBA79037E74}"/>
            </c:ext>
          </c:extLst>
        </c:ser>
        <c:ser>
          <c:idx val="1"/>
          <c:order val="1"/>
          <c:tx>
            <c:strRef>
              <c:f>Sheet3!$O$2</c:f>
              <c:strCache>
                <c:ptCount val="1"/>
                <c:pt idx="0">
                  <c:v>Study Population</c:v>
                </c:pt>
              </c:strCache>
            </c:strRef>
          </c:tx>
          <c:spPr>
            <a:solidFill>
              <a:schemeClr val="accent1">
                <a:lumMod val="75000"/>
              </a:schemeClr>
            </a:solidFill>
            <a:ln>
              <a:solidFill>
                <a:schemeClr val="accent1">
                  <a:lumMod val="75000"/>
                </a:schemeClr>
              </a:solidFill>
            </a:ln>
            <a:effectLst/>
          </c:spPr>
          <c:invertIfNegative val="0"/>
          <c:cat>
            <c:multiLvlStrRef>
              <c:f>Sheet3!$L$3:$M$54</c:f>
              <c:multiLvlStrCache>
                <c:ptCount val="52"/>
                <c:lvl>
                  <c:pt idx="0">
                    <c:v>BUF: Buffalo City</c:v>
                  </c:pt>
                  <c:pt idx="1">
                    <c:v>DC10: Cacadu</c:v>
                  </c:pt>
                  <c:pt idx="2">
                    <c:v>DC12: Amathole</c:v>
                  </c:pt>
                  <c:pt idx="3">
                    <c:v>DC13: Chris Hani</c:v>
                  </c:pt>
                  <c:pt idx="4">
                    <c:v>DC14: Joe Gqabi</c:v>
                  </c:pt>
                  <c:pt idx="5">
                    <c:v>DC15: O.R.Tambo</c:v>
                  </c:pt>
                  <c:pt idx="6">
                    <c:v>DC44: Alfred Nzo</c:v>
                  </c:pt>
                  <c:pt idx="7">
                    <c:v>NMA: Nelson Mandela Bay</c:v>
                  </c:pt>
                  <c:pt idx="8">
                    <c:v>DC16: Xhariep</c:v>
                  </c:pt>
                  <c:pt idx="9">
                    <c:v>DC18: Lejweleputswa</c:v>
                  </c:pt>
                  <c:pt idx="10">
                    <c:v>DC19: Thabo Mofutsanyane</c:v>
                  </c:pt>
                  <c:pt idx="11">
                    <c:v>DC20: Fezile Dabi</c:v>
                  </c:pt>
                  <c:pt idx="12">
                    <c:v>MAN: Mangaung</c:v>
                  </c:pt>
                  <c:pt idx="13">
                    <c:v>DC42: Sedibeng</c:v>
                  </c:pt>
                  <c:pt idx="14">
                    <c:v>DC48: West Rand</c:v>
                  </c:pt>
                  <c:pt idx="15">
                    <c:v>EKU: Ekurhuleni</c:v>
                  </c:pt>
                  <c:pt idx="16">
                    <c:v>JHB: City of Johannesburg</c:v>
                  </c:pt>
                  <c:pt idx="17">
                    <c:v>TSH: City of Tshwane</c:v>
                  </c:pt>
                  <c:pt idx="18">
                    <c:v>DC21: Ugu</c:v>
                  </c:pt>
                  <c:pt idx="19">
                    <c:v>DC22: UMgungundlovu</c:v>
                  </c:pt>
                  <c:pt idx="20">
                    <c:v>DC23: Uthukela</c:v>
                  </c:pt>
                  <c:pt idx="21">
                    <c:v>DC24: Umzinyathi</c:v>
                  </c:pt>
                  <c:pt idx="22">
                    <c:v>DC25: Amajuba</c:v>
                  </c:pt>
                  <c:pt idx="23">
                    <c:v>DC26: Zululand</c:v>
                  </c:pt>
                  <c:pt idx="24">
                    <c:v>DC27: Umkhanyakude</c:v>
                  </c:pt>
                  <c:pt idx="25">
                    <c:v>DC28: Uthungulu</c:v>
                  </c:pt>
                  <c:pt idx="26">
                    <c:v>DC29: iLembe</c:v>
                  </c:pt>
                  <c:pt idx="27">
                    <c:v>DC43: Sisonke</c:v>
                  </c:pt>
                  <c:pt idx="28">
                    <c:v>ETH: eThekwini</c:v>
                  </c:pt>
                  <c:pt idx="29">
                    <c:v>DC33: Mopani</c:v>
                  </c:pt>
                  <c:pt idx="30">
                    <c:v>DC34: Vhembe</c:v>
                  </c:pt>
                  <c:pt idx="31">
                    <c:v>DC35: Capricorn</c:v>
                  </c:pt>
                  <c:pt idx="32">
                    <c:v>DC36: Waterberg</c:v>
                  </c:pt>
                  <c:pt idx="33">
                    <c:v>DC47: Greater Sekhukhune</c:v>
                  </c:pt>
                  <c:pt idx="34">
                    <c:v>DC30: Gert Sibande</c:v>
                  </c:pt>
                  <c:pt idx="35">
                    <c:v>DC31: Nkangala</c:v>
                  </c:pt>
                  <c:pt idx="36">
                    <c:v>DC32: Ehlanzeni</c:v>
                  </c:pt>
                  <c:pt idx="37">
                    <c:v>DC37: Bojanala</c:v>
                  </c:pt>
                  <c:pt idx="38">
                    <c:v>DC38: Ngaka Modiri Molema</c:v>
                  </c:pt>
                  <c:pt idx="39">
                    <c:v>DC39: Dr Ruth Segomotsi Mompati</c:v>
                  </c:pt>
                  <c:pt idx="40">
                    <c:v>DC40: Dr Kenneth Kaunda</c:v>
                  </c:pt>
                  <c:pt idx="41">
                    <c:v>DC45: John Taolo Gaetsewe</c:v>
                  </c:pt>
                  <c:pt idx="42">
                    <c:v>DC6: Namakwa</c:v>
                  </c:pt>
                  <c:pt idx="43">
                    <c:v>DC7: Pixley ka Seme</c:v>
                  </c:pt>
                  <c:pt idx="44">
                    <c:v>DC8: Siyanda</c:v>
                  </c:pt>
                  <c:pt idx="45">
                    <c:v>DC9: Frances Baard</c:v>
                  </c:pt>
                  <c:pt idx="46">
                    <c:v>CPT: City of Cape Town</c:v>
                  </c:pt>
                  <c:pt idx="47">
                    <c:v>DC1: West Coast</c:v>
                  </c:pt>
                  <c:pt idx="48">
                    <c:v>DC2: Cape Winelands</c:v>
                  </c:pt>
                  <c:pt idx="49">
                    <c:v>DC3: Overberg</c:v>
                  </c:pt>
                  <c:pt idx="50">
                    <c:v>DC4: Eden</c:v>
                  </c:pt>
                  <c:pt idx="51">
                    <c:v>DC5: Central Karoo</c:v>
                  </c:pt>
                </c:lvl>
                <c:lvl>
                  <c:pt idx="0">
                    <c:v>Eastern Cape</c:v>
                  </c:pt>
                  <c:pt idx="8">
                    <c:v>Free State</c:v>
                  </c:pt>
                  <c:pt idx="13">
                    <c:v>Gauteng</c:v>
                  </c:pt>
                  <c:pt idx="18">
                    <c:v>KwaZulu-Natal</c:v>
                  </c:pt>
                  <c:pt idx="29">
                    <c:v>Limpopo</c:v>
                  </c:pt>
                  <c:pt idx="34">
                    <c:v>Mpumalanga</c:v>
                  </c:pt>
                  <c:pt idx="37">
                    <c:v>North West</c:v>
                  </c:pt>
                  <c:pt idx="41">
                    <c:v>Northern Cape</c:v>
                  </c:pt>
                  <c:pt idx="46">
                    <c:v>Western Cape</c:v>
                  </c:pt>
                </c:lvl>
              </c:multiLvlStrCache>
            </c:multiLvlStrRef>
          </c:cat>
          <c:val>
            <c:numRef>
              <c:f>Sheet3!$O$3:$O$54</c:f>
              <c:numCache>
                <c:formatCode>0.0%</c:formatCode>
                <c:ptCount val="52"/>
                <c:pt idx="0">
                  <c:v>2.8201314535488478E-2</c:v>
                </c:pt>
                <c:pt idx="1">
                  <c:v>1.7386427582130048E-2</c:v>
                </c:pt>
                <c:pt idx="2">
                  <c:v>7.1543470805678763E-3</c:v>
                </c:pt>
                <c:pt idx="3">
                  <c:v>1.0093010301426134E-2</c:v>
                </c:pt>
                <c:pt idx="4">
                  <c:v>2.5483572095772759E-3</c:v>
                </c:pt>
                <c:pt idx="5">
                  <c:v>1.7421668804507844E-2</c:v>
                </c:pt>
                <c:pt idx="6">
                  <c:v>8.7746854341964903E-3</c:v>
                </c:pt>
                <c:pt idx="7">
                  <c:v>1.9128404993643319E-2</c:v>
                </c:pt>
                <c:pt idx="8">
                  <c:v>5.4889151198106827E-3</c:v>
                </c:pt>
                <c:pt idx="9">
                  <c:v>1.3466315264943889E-2</c:v>
                </c:pt>
                <c:pt idx="10">
                  <c:v>1.1173362183136885E-2</c:v>
                </c:pt>
                <c:pt idx="11">
                  <c:v>2.9103944553810126E-2</c:v>
                </c:pt>
                <c:pt idx="12">
                  <c:v>2.4716601836711882E-2</c:v>
                </c:pt>
                <c:pt idx="13">
                  <c:v>5.3762947833517434E-2</c:v>
                </c:pt>
                <c:pt idx="14">
                  <c:v>2.6445316422599098E-2</c:v>
                </c:pt>
                <c:pt idx="15">
                  <c:v>5.8312475961128554E-2</c:v>
                </c:pt>
                <c:pt idx="16">
                  <c:v>9.5128564147550828E-3</c:v>
                </c:pt>
                <c:pt idx="17">
                  <c:v>6.3292477514773834E-2</c:v>
                </c:pt>
                <c:pt idx="18">
                  <c:v>4.9030771650141816E-3</c:v>
                </c:pt>
                <c:pt idx="19">
                  <c:v>1.1925553865071591E-2</c:v>
                </c:pt>
                <c:pt idx="20">
                  <c:v>8.7492965965694763E-3</c:v>
                </c:pt>
                <c:pt idx="21">
                  <c:v>4.5662013941124421E-3</c:v>
                </c:pt>
                <c:pt idx="22">
                  <c:v>1.4130214421996586E-2</c:v>
                </c:pt>
                <c:pt idx="23">
                  <c:v>3.2956984867115964E-2</c:v>
                </c:pt>
                <c:pt idx="24">
                  <c:v>8.0296935718873561E-3</c:v>
                </c:pt>
                <c:pt idx="25">
                  <c:v>1.7713829906156036E-2</c:v>
                </c:pt>
                <c:pt idx="26">
                  <c:v>7.9910419086342884E-3</c:v>
                </c:pt>
                <c:pt idx="27">
                  <c:v>2.2713536229302888E-3</c:v>
                </c:pt>
                <c:pt idx="28">
                  <c:v>6.0550483051056196E-2</c:v>
                </c:pt>
                <c:pt idx="29">
                  <c:v>1.9009418500883873E-2</c:v>
                </c:pt>
                <c:pt idx="30">
                  <c:v>2.3375919634855465E-2</c:v>
                </c:pt>
                <c:pt idx="31">
                  <c:v>3.3938812901318893E-2</c:v>
                </c:pt>
                <c:pt idx="32">
                  <c:v>1.250040262149222E-2</c:v>
                </c:pt>
                <c:pt idx="33">
                  <c:v>1.0072168718299478E-2</c:v>
                </c:pt>
                <c:pt idx="34">
                  <c:v>3.5245769632297634E-2</c:v>
                </c:pt>
                <c:pt idx="35">
                  <c:v>2.9204742028568126E-2</c:v>
                </c:pt>
                <c:pt idx="36">
                  <c:v>3.1177871543849742E-2</c:v>
                </c:pt>
                <c:pt idx="37">
                  <c:v>4.3365271480567118E-2</c:v>
                </c:pt>
                <c:pt idx="38">
                  <c:v>1.1766778895433988E-2</c:v>
                </c:pt>
                <c:pt idx="39">
                  <c:v>5.0084218942725439E-3</c:v>
                </c:pt>
                <c:pt idx="40">
                  <c:v>1.3721719392714162E-2</c:v>
                </c:pt>
                <c:pt idx="41">
                  <c:v>4.0985920563253253E-3</c:v>
                </c:pt>
                <c:pt idx="42">
                  <c:v>3.1144903948722128E-3</c:v>
                </c:pt>
                <c:pt idx="43">
                  <c:v>4.3710483884719523E-3</c:v>
                </c:pt>
                <c:pt idx="44">
                  <c:v>5.130439890032229E-3</c:v>
                </c:pt>
                <c:pt idx="45">
                  <c:v>1.4797524019924553E-2</c:v>
                </c:pt>
                <c:pt idx="46">
                  <c:v>7.4453334748034727E-2</c:v>
                </c:pt>
                <c:pt idx="47">
                  <c:v>7.0577179224352062E-3</c:v>
                </c:pt>
                <c:pt idx="48">
                  <c:v>2.0325848678738365E-2</c:v>
                </c:pt>
                <c:pt idx="49">
                  <c:v>4.9311185677664076E-3</c:v>
                </c:pt>
                <c:pt idx="50">
                  <c:v>1.2237040798346316E-2</c:v>
                </c:pt>
                <c:pt idx="51">
                  <c:v>1.3243878732301232E-3</c:v>
                </c:pt>
              </c:numCache>
            </c:numRef>
          </c:val>
          <c:extLst>
            <c:ext xmlns:c16="http://schemas.microsoft.com/office/drawing/2014/chart" uri="{C3380CC4-5D6E-409C-BE32-E72D297353CC}">
              <c16:uniqueId val="{00000001-0CBE-48DD-9DF1-DBBA79037E74}"/>
            </c:ext>
          </c:extLst>
        </c:ser>
        <c:ser>
          <c:idx val="2"/>
          <c:order val="2"/>
          <c:tx>
            <c:strRef>
              <c:f>Sheet3!$P$2</c:f>
              <c:strCache>
                <c:ptCount val="1"/>
                <c:pt idx="0">
                  <c:v>% Study lives of Census lives</c:v>
                </c:pt>
              </c:strCache>
            </c:strRef>
          </c:tx>
          <c:spPr>
            <a:solidFill>
              <a:schemeClr val="accent2">
                <a:lumMod val="20000"/>
                <a:lumOff val="80000"/>
              </a:schemeClr>
            </a:solidFill>
            <a:ln>
              <a:solidFill>
                <a:schemeClr val="accent2"/>
              </a:solidFill>
            </a:ln>
            <a:effectLst/>
          </c:spPr>
          <c:invertIfNegative val="0"/>
          <c:cat>
            <c:multiLvlStrRef>
              <c:f>Sheet3!$L$3:$M$54</c:f>
              <c:multiLvlStrCache>
                <c:ptCount val="52"/>
                <c:lvl>
                  <c:pt idx="0">
                    <c:v>BUF: Buffalo City</c:v>
                  </c:pt>
                  <c:pt idx="1">
                    <c:v>DC10: Cacadu</c:v>
                  </c:pt>
                  <c:pt idx="2">
                    <c:v>DC12: Amathole</c:v>
                  </c:pt>
                  <c:pt idx="3">
                    <c:v>DC13: Chris Hani</c:v>
                  </c:pt>
                  <c:pt idx="4">
                    <c:v>DC14: Joe Gqabi</c:v>
                  </c:pt>
                  <c:pt idx="5">
                    <c:v>DC15: O.R.Tambo</c:v>
                  </c:pt>
                  <c:pt idx="6">
                    <c:v>DC44: Alfred Nzo</c:v>
                  </c:pt>
                  <c:pt idx="7">
                    <c:v>NMA: Nelson Mandela Bay</c:v>
                  </c:pt>
                  <c:pt idx="8">
                    <c:v>DC16: Xhariep</c:v>
                  </c:pt>
                  <c:pt idx="9">
                    <c:v>DC18: Lejweleputswa</c:v>
                  </c:pt>
                  <c:pt idx="10">
                    <c:v>DC19: Thabo Mofutsanyane</c:v>
                  </c:pt>
                  <c:pt idx="11">
                    <c:v>DC20: Fezile Dabi</c:v>
                  </c:pt>
                  <c:pt idx="12">
                    <c:v>MAN: Mangaung</c:v>
                  </c:pt>
                  <c:pt idx="13">
                    <c:v>DC42: Sedibeng</c:v>
                  </c:pt>
                  <c:pt idx="14">
                    <c:v>DC48: West Rand</c:v>
                  </c:pt>
                  <c:pt idx="15">
                    <c:v>EKU: Ekurhuleni</c:v>
                  </c:pt>
                  <c:pt idx="16">
                    <c:v>JHB: City of Johannesburg</c:v>
                  </c:pt>
                  <c:pt idx="17">
                    <c:v>TSH: City of Tshwane</c:v>
                  </c:pt>
                  <c:pt idx="18">
                    <c:v>DC21: Ugu</c:v>
                  </c:pt>
                  <c:pt idx="19">
                    <c:v>DC22: UMgungundlovu</c:v>
                  </c:pt>
                  <c:pt idx="20">
                    <c:v>DC23: Uthukela</c:v>
                  </c:pt>
                  <c:pt idx="21">
                    <c:v>DC24: Umzinyathi</c:v>
                  </c:pt>
                  <c:pt idx="22">
                    <c:v>DC25: Amajuba</c:v>
                  </c:pt>
                  <c:pt idx="23">
                    <c:v>DC26: Zululand</c:v>
                  </c:pt>
                  <c:pt idx="24">
                    <c:v>DC27: Umkhanyakude</c:v>
                  </c:pt>
                  <c:pt idx="25">
                    <c:v>DC28: Uthungulu</c:v>
                  </c:pt>
                  <c:pt idx="26">
                    <c:v>DC29: iLembe</c:v>
                  </c:pt>
                  <c:pt idx="27">
                    <c:v>DC43: Sisonke</c:v>
                  </c:pt>
                  <c:pt idx="28">
                    <c:v>ETH: eThekwini</c:v>
                  </c:pt>
                  <c:pt idx="29">
                    <c:v>DC33: Mopani</c:v>
                  </c:pt>
                  <c:pt idx="30">
                    <c:v>DC34: Vhembe</c:v>
                  </c:pt>
                  <c:pt idx="31">
                    <c:v>DC35: Capricorn</c:v>
                  </c:pt>
                  <c:pt idx="32">
                    <c:v>DC36: Waterberg</c:v>
                  </c:pt>
                  <c:pt idx="33">
                    <c:v>DC47: Greater Sekhukhune</c:v>
                  </c:pt>
                  <c:pt idx="34">
                    <c:v>DC30: Gert Sibande</c:v>
                  </c:pt>
                  <c:pt idx="35">
                    <c:v>DC31: Nkangala</c:v>
                  </c:pt>
                  <c:pt idx="36">
                    <c:v>DC32: Ehlanzeni</c:v>
                  </c:pt>
                  <c:pt idx="37">
                    <c:v>DC37: Bojanala</c:v>
                  </c:pt>
                  <c:pt idx="38">
                    <c:v>DC38: Ngaka Modiri Molema</c:v>
                  </c:pt>
                  <c:pt idx="39">
                    <c:v>DC39: Dr Ruth Segomotsi Mompati</c:v>
                  </c:pt>
                  <c:pt idx="40">
                    <c:v>DC40: Dr Kenneth Kaunda</c:v>
                  </c:pt>
                  <c:pt idx="41">
                    <c:v>DC45: John Taolo Gaetsewe</c:v>
                  </c:pt>
                  <c:pt idx="42">
                    <c:v>DC6: Namakwa</c:v>
                  </c:pt>
                  <c:pt idx="43">
                    <c:v>DC7: Pixley ka Seme</c:v>
                  </c:pt>
                  <c:pt idx="44">
                    <c:v>DC8: Siyanda</c:v>
                  </c:pt>
                  <c:pt idx="45">
                    <c:v>DC9: Frances Baard</c:v>
                  </c:pt>
                  <c:pt idx="46">
                    <c:v>CPT: City of Cape Town</c:v>
                  </c:pt>
                  <c:pt idx="47">
                    <c:v>DC1: West Coast</c:v>
                  </c:pt>
                  <c:pt idx="48">
                    <c:v>DC2: Cape Winelands</c:v>
                  </c:pt>
                  <c:pt idx="49">
                    <c:v>DC3: Overberg</c:v>
                  </c:pt>
                  <c:pt idx="50">
                    <c:v>DC4: Eden</c:v>
                  </c:pt>
                  <c:pt idx="51">
                    <c:v>DC5: Central Karoo</c:v>
                  </c:pt>
                </c:lvl>
                <c:lvl>
                  <c:pt idx="0">
                    <c:v>Eastern Cape</c:v>
                  </c:pt>
                  <c:pt idx="8">
                    <c:v>Free State</c:v>
                  </c:pt>
                  <c:pt idx="13">
                    <c:v>Gauteng</c:v>
                  </c:pt>
                  <c:pt idx="18">
                    <c:v>KwaZulu-Natal</c:v>
                  </c:pt>
                  <c:pt idx="29">
                    <c:v>Limpopo</c:v>
                  </c:pt>
                  <c:pt idx="34">
                    <c:v>Mpumalanga</c:v>
                  </c:pt>
                  <c:pt idx="37">
                    <c:v>North West</c:v>
                  </c:pt>
                  <c:pt idx="41">
                    <c:v>Northern Cape</c:v>
                  </c:pt>
                  <c:pt idx="46">
                    <c:v>Western Cape</c:v>
                  </c:pt>
                </c:lvl>
              </c:multiLvlStrCache>
            </c:multiLvlStrRef>
          </c:cat>
          <c:val>
            <c:numRef>
              <c:f>Sheet3!$P$3:$P$54</c:f>
              <c:numCache>
                <c:formatCode>0.0%</c:formatCode>
                <c:ptCount val="52"/>
                <c:pt idx="0">
                  <c:v>9.8546074055742408E-2</c:v>
                </c:pt>
                <c:pt idx="1">
                  <c:v>0.10182779811018489</c:v>
                </c:pt>
                <c:pt idx="2">
                  <c:v>2.1150823165594287E-2</c:v>
                </c:pt>
                <c:pt idx="3">
                  <c:v>3.3483715008659688E-2</c:v>
                </c:pt>
                <c:pt idx="4">
                  <c:v>1.9227029193668917E-2</c:v>
                </c:pt>
                <c:pt idx="5">
                  <c:v>3.3682718498579012E-2</c:v>
                </c:pt>
                <c:pt idx="6">
                  <c:v>2.88964510992374E-2</c:v>
                </c:pt>
                <c:pt idx="7">
                  <c:v>4.3814186220741159E-2</c:v>
                </c:pt>
                <c:pt idx="8">
                  <c:v>9.9036879352654733E-2</c:v>
                </c:pt>
                <c:pt idx="9">
                  <c:v>5.6621271085469937E-2</c:v>
                </c:pt>
                <c:pt idx="10">
                  <c:v>4.0049559618896488E-2</c:v>
                </c:pt>
                <c:pt idx="11">
                  <c:v>0.15737366367082417</c:v>
                </c:pt>
                <c:pt idx="12">
                  <c:v>8.7266907242499456E-2</c:v>
                </c:pt>
                <c:pt idx="13">
                  <c:v>0.15480692521482706</c:v>
                </c:pt>
                <c:pt idx="14">
                  <c:v>8.5004201857406134E-2</c:v>
                </c:pt>
                <c:pt idx="15">
                  <c:v>4.8414486272487366E-2</c:v>
                </c:pt>
                <c:pt idx="16">
                  <c:v>5.6606492584521965E-3</c:v>
                </c:pt>
                <c:pt idx="17">
                  <c:v>5.717155974208131E-2</c:v>
                </c:pt>
                <c:pt idx="18">
                  <c:v>1.7909048676967344E-2</c:v>
                </c:pt>
                <c:pt idx="19">
                  <c:v>3.0921749922847089E-2</c:v>
                </c:pt>
                <c:pt idx="20">
                  <c:v>3.4520572215379873E-2</c:v>
                </c:pt>
                <c:pt idx="21">
                  <c:v>2.3588695116471645E-2</c:v>
                </c:pt>
                <c:pt idx="22">
                  <c:v>7.4601986206665874E-2</c:v>
                </c:pt>
                <c:pt idx="23">
                  <c:v>0.10823139786240035</c:v>
                </c:pt>
                <c:pt idx="24">
                  <c:v>3.3858172248776686E-2</c:v>
                </c:pt>
                <c:pt idx="25">
                  <c:v>5.1509655140125017E-2</c:v>
                </c:pt>
                <c:pt idx="26">
                  <c:v>3.4752267221862386E-2</c:v>
                </c:pt>
                <c:pt idx="27">
                  <c:v>1.2990352272380722E-2</c:v>
                </c:pt>
                <c:pt idx="28">
                  <c:v>4.6418725240300732E-2</c:v>
                </c:pt>
                <c:pt idx="29">
                  <c:v>4.5917311820098262E-2</c:v>
                </c:pt>
                <c:pt idx="30">
                  <c:v>4.7645746413367322E-2</c:v>
                </c:pt>
                <c:pt idx="31">
                  <c:v>7.0999334370304534E-2</c:v>
                </c:pt>
                <c:pt idx="32">
                  <c:v>4.8559178697043757E-2</c:v>
                </c:pt>
                <c:pt idx="33">
                  <c:v>2.4683339029252162E-2</c:v>
                </c:pt>
                <c:pt idx="34">
                  <c:v>8.9160780879875903E-2</c:v>
                </c:pt>
                <c:pt idx="35">
                  <c:v>5.8916194138254649E-2</c:v>
                </c:pt>
                <c:pt idx="36">
                  <c:v>4.8724536886812379E-2</c:v>
                </c:pt>
                <c:pt idx="37">
                  <c:v>7.5912831336193892E-2</c:v>
                </c:pt>
                <c:pt idx="38">
                  <c:v>3.6848281799223989E-2</c:v>
                </c:pt>
                <c:pt idx="39">
                  <c:v>2.849626118179353E-2</c:v>
                </c:pt>
                <c:pt idx="40">
                  <c:v>5.2032292676777628E-2</c:v>
                </c:pt>
                <c:pt idx="41">
                  <c:v>4.811418768346868E-2</c:v>
                </c:pt>
                <c:pt idx="42">
                  <c:v>7.0950077235037781E-2</c:v>
                </c:pt>
                <c:pt idx="43">
                  <c:v>6.1899268767120347E-2</c:v>
                </c:pt>
                <c:pt idx="44">
                  <c:v>5.7178839192146821E-2</c:v>
                </c:pt>
                <c:pt idx="45">
                  <c:v>0.10220222405408276</c:v>
                </c:pt>
                <c:pt idx="46">
                  <c:v>5.2534126301619737E-2</c:v>
                </c:pt>
                <c:pt idx="47">
                  <c:v>4.7541090228528052E-2</c:v>
                </c:pt>
                <c:pt idx="48">
                  <c:v>6.8113856331402794E-2</c:v>
                </c:pt>
                <c:pt idx="49">
                  <c:v>5.0403633218603604E-2</c:v>
                </c:pt>
                <c:pt idx="50">
                  <c:v>5.623363507294947E-2</c:v>
                </c:pt>
                <c:pt idx="51">
                  <c:v>4.9217748372612967E-2</c:v>
                </c:pt>
              </c:numCache>
            </c:numRef>
          </c:val>
          <c:extLst>
            <c:ext xmlns:c16="http://schemas.microsoft.com/office/drawing/2014/chart" uri="{C3380CC4-5D6E-409C-BE32-E72D297353CC}">
              <c16:uniqueId val="{00000002-0CBE-48DD-9DF1-DBBA79037E74}"/>
            </c:ext>
          </c:extLst>
        </c:ser>
        <c:dLbls>
          <c:showLegendKey val="0"/>
          <c:showVal val="0"/>
          <c:showCatName val="0"/>
          <c:showSerName val="0"/>
          <c:showPercent val="0"/>
          <c:showBubbleSize val="0"/>
        </c:dLbls>
        <c:gapWidth val="150"/>
        <c:axId val="1058899632"/>
        <c:axId val="1064829728"/>
      </c:barChart>
      <c:catAx>
        <c:axId val="10588996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064829728"/>
        <c:crosses val="autoZero"/>
        <c:auto val="1"/>
        <c:lblAlgn val="ctr"/>
        <c:lblOffset val="100"/>
        <c:noMultiLvlLbl val="0"/>
      </c:catAx>
      <c:valAx>
        <c:axId val="106482972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ZA"/>
                  <a:t>% Lives</a:t>
                </a:r>
              </a:p>
            </c:rich>
          </c:tx>
          <c:layout>
            <c:manualLayout>
              <c:xMode val="edge"/>
              <c:yMode val="edge"/>
              <c:x val="1.2895830348187419E-2"/>
              <c:y val="0.19510795498330508"/>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0588996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solidFill>
            <a:schemeClr val="tx1"/>
          </a:solidFill>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2C1026-11F9-439D-AF4E-45B08EF455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5</Pages>
  <Words>594</Words>
  <Characters>3386</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Cristina Mannie</dc:creator>
  <cp:keywords/>
  <dc:description/>
  <cp:lastModifiedBy>Cristina Mannie</cp:lastModifiedBy>
  <cp:revision>7</cp:revision>
  <dcterms:created xsi:type="dcterms:W3CDTF">2020-03-21T20:48:00Z</dcterms:created>
  <dcterms:modified xsi:type="dcterms:W3CDTF">2020-04-25T19:08:00Z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15d012f5-3080-39ad-9f9d-8a87ec8225da</vt:lpwstr>
  </property>
</Properties>
</file>