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eschriftung"/>
        <w:keepNext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Supplementary Material</w:t>
      </w:r>
    </w:p>
    <w:p/>
    <w:p>
      <w:pPr>
        <w:pStyle w:val="Beschriftung"/>
        <w:keepNext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Table S1</w:t>
      </w:r>
    </w:p>
    <w:p>
      <w:pPr>
        <w:pStyle w:val="Beschriftung"/>
        <w:keepNext/>
        <w:spacing w:line="480" w:lineRule="auto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Predicting Health-Related Quality of Life Domains (Social Support &amp; Peers, School Environment) by Children’s and Adolescent’s Weight Status Separately for Girls (n=936) and Boys (n=834), While Controlling for Relevant Health Determinants </w:t>
      </w:r>
    </w:p>
    <w:bookmarkEnd w:id="0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0"/>
        <w:gridCol w:w="1334"/>
        <w:gridCol w:w="1284"/>
        <w:gridCol w:w="1370"/>
        <w:gridCol w:w="1045"/>
        <w:gridCol w:w="1045"/>
        <w:gridCol w:w="1045"/>
      </w:tblGrid>
      <w:tr>
        <w:trPr>
          <w:trHeight w:val="340"/>
        </w:trPr>
        <w:tc>
          <w:tcPr>
            <w:tcW w:w="1880" w:type="dxa"/>
            <w:tcBorders>
              <w:top w:val="single" w:sz="4" w:space="0" w:color="auto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Girls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Boys </w:t>
            </w:r>
          </w:p>
        </w:tc>
      </w:tr>
      <w:tr>
        <w:trPr>
          <w:trHeight w:val="340"/>
        </w:trPr>
        <w:tc>
          <w:tcPr>
            <w:tcW w:w="1880" w:type="dxa"/>
            <w:tcBorders>
              <w:bottom w:val="single" w:sz="4" w:space="0" w:color="auto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 (SE)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 (SE)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</w:tr>
      <w:tr>
        <w:trPr>
          <w:trHeight w:val="340"/>
        </w:trPr>
        <w:tc>
          <w:tcPr>
            <w:tcW w:w="9003" w:type="dxa"/>
            <w:gridSpan w:val="7"/>
            <w:tcBorders>
              <w:top w:val="single" w:sz="4" w:space="0" w:color="auto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Social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Support &amp; Peers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-0.39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(0.22)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-.08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.077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 (0.23)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.910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Low SES 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spellEnd"/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spellEnd"/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165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 SES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-0.60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(0.96)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.531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(1.38)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.23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.747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SES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-1.87 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(1.04)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-.08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.072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 (1.44)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045" w:type="dxa"/>
          </w:tcPr>
          <w:p>
            <w:pPr>
              <w:spacing w:line="480" w:lineRule="auto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.799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Weight status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Normal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  <w:proofErr w:type="spellEnd"/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spellEnd"/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spellEnd"/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Underweight</w:t>
            </w:r>
            <w:proofErr w:type="spellEnd"/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(1.28)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.387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 (1.49)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.398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Overweight</w:t>
            </w:r>
            <w:proofErr w:type="spellEnd"/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-0.70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(1.11)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-.02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.532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(1.28)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.795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Obesity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-2.01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(1.94)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-.05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.300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-3.17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(1.91)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-.09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.099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Determinants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 consumption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-0.06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.650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-0.49 (0.15)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.742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Physical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activity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0.18 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(0.19)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.340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 (0.22)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0.482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support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0.21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(0.04)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.33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&lt;.001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0.18 (0.03) 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.32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&lt;.001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Self-efficacy 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0.08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(0.03)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.15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0.002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0.11 (0.03)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.18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.001</w:t>
            </w:r>
          </w:p>
        </w:tc>
      </w:tr>
      <w:tr>
        <w:trPr>
          <w:trHeight w:val="340"/>
        </w:trPr>
        <w:tc>
          <w:tcPr>
            <w:tcW w:w="1880" w:type="dxa"/>
            <w:tcBorders>
              <w:bottom w:val="single" w:sz="4" w:space="0" w:color="auto"/>
            </w:tcBorders>
          </w:tcPr>
          <w:p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3988" w:type="dxa"/>
            <w:gridSpan w:val="3"/>
            <w:tcBorders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.21</w:t>
            </w:r>
          </w:p>
        </w:tc>
        <w:tc>
          <w:tcPr>
            <w:tcW w:w="3135" w:type="dxa"/>
            <w:gridSpan w:val="3"/>
            <w:tcBorders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.21</w:t>
            </w:r>
          </w:p>
        </w:tc>
      </w:tr>
      <w:tr>
        <w:trPr>
          <w:trHeight w:val="340"/>
        </w:trPr>
        <w:tc>
          <w:tcPr>
            <w:tcW w:w="9003" w:type="dxa"/>
            <w:gridSpan w:val="7"/>
            <w:tcBorders>
              <w:top w:val="single" w:sz="4" w:space="0" w:color="auto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School Environment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-0.46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(0.17)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-.11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.006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 (0.20)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.869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Low SES 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spellEnd"/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spellEnd"/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 SES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-1.22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(0.94)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.195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-0.72 (0.96)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.453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SES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-0.80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(1.07)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.457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-0.09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(1.17)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&lt;-.01</w:t>
            </w:r>
          </w:p>
        </w:tc>
        <w:tc>
          <w:tcPr>
            <w:tcW w:w="1045" w:type="dxa"/>
          </w:tcPr>
          <w:p>
            <w:pPr>
              <w:spacing w:line="480" w:lineRule="auto"/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.941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Weight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status</w:t>
            </w:r>
            <w:proofErr w:type="spellEnd"/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Normal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  <w:proofErr w:type="spellEnd"/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Underweight</w:t>
            </w:r>
            <w:proofErr w:type="spellEnd"/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(1.08)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.924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1.76 (1.04)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.092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Overweight</w:t>
            </w:r>
            <w:proofErr w:type="spellEnd"/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-0.29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(1.04)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.783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 (1.55)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.931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Obesity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2.09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(1.78)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.242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-2.38 (1.41)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.091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Determinants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 consumption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-0.57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(0.12)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-.25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&lt;.001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-0.40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(0.12)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-.16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.001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Physical activity 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-0.13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.503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(0.20)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.449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support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0.07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(0.03)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.021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 (0.03)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.056</w:t>
            </w:r>
          </w:p>
        </w:tc>
      </w:tr>
      <w:tr>
        <w:trPr>
          <w:trHeight w:val="340"/>
        </w:trPr>
        <w:tc>
          <w:tcPr>
            <w:tcW w:w="1880" w:type="dxa"/>
          </w:tcPr>
          <w:p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Self-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efficacy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0.17</w:t>
            </w:r>
          </w:p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(0.02)</w:t>
            </w:r>
          </w:p>
        </w:tc>
        <w:tc>
          <w:tcPr>
            <w:tcW w:w="1284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.32</w:t>
            </w:r>
          </w:p>
        </w:tc>
        <w:tc>
          <w:tcPr>
            <w:tcW w:w="1370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&lt;.001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0.18 (0.03)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.33</w:t>
            </w:r>
          </w:p>
        </w:tc>
        <w:tc>
          <w:tcPr>
            <w:tcW w:w="1045" w:type="dxa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&lt;.001</w:t>
            </w:r>
          </w:p>
        </w:tc>
      </w:tr>
      <w:tr>
        <w:trPr>
          <w:trHeight w:val="340"/>
        </w:trPr>
        <w:tc>
          <w:tcPr>
            <w:tcW w:w="1880" w:type="dxa"/>
            <w:tcBorders>
              <w:bottom w:val="single" w:sz="4" w:space="0" w:color="auto"/>
            </w:tcBorders>
          </w:tcPr>
          <w:p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988" w:type="dxa"/>
            <w:gridSpan w:val="3"/>
            <w:tcBorders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3135" w:type="dxa"/>
            <w:gridSpan w:val="3"/>
            <w:tcBorders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</w:tr>
    </w:tbl>
    <w:p>
      <w:pPr>
        <w:spacing w:after="0" w:line="480" w:lineRule="auto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i/>
          <w:sz w:val="24"/>
          <w:szCs w:val="24"/>
        </w:rPr>
        <w:t>Notes</w:t>
      </w:r>
      <w:r>
        <w:rPr>
          <w:rFonts w:ascii="Times New Roman" w:hAnsi="Times New Roman" w:cs="Times New Roman"/>
          <w:sz w:val="24"/>
          <w:szCs w:val="24"/>
        </w:rPr>
        <w:t xml:space="preserve">. B=Unstandardized beta, SE=Standard error, β=Standardized beta, SES=Socioeconomic status, SES=Socioeconomic status. Determinants were entered as continuous variables. </w:t>
      </w:r>
      <w:r>
        <w:rPr>
          <w:rFonts w:ascii="Times New Roman" w:hAnsi="Times New Roman" w:cs="Times New Roman"/>
          <w:sz w:val="24"/>
          <w:szCs w:val="18"/>
        </w:rPr>
        <w:t xml:space="preserve">Significant results with </w:t>
      </w:r>
      <w:r>
        <w:rPr>
          <w:rFonts w:ascii="Times New Roman" w:hAnsi="Times New Roman" w:cs="Times New Roman"/>
          <w:i/>
          <w:sz w:val="24"/>
          <w:szCs w:val="18"/>
        </w:rPr>
        <w:t>p</w:t>
      </w:r>
      <w:r>
        <w:rPr>
          <w:rFonts w:ascii="Times New Roman" w:hAnsi="Times New Roman" w:cs="Times New Roman"/>
          <w:sz w:val="24"/>
          <w:szCs w:val="18"/>
        </w:rPr>
        <w:t xml:space="preserve">&lt;.05 are highlighted in </w:t>
      </w:r>
      <w:r>
        <w:rPr>
          <w:rFonts w:ascii="Times New Roman" w:hAnsi="Times New Roman" w:cs="Times New Roman"/>
          <w:b/>
          <w:sz w:val="24"/>
          <w:szCs w:val="18"/>
        </w:rPr>
        <w:t>boldface</w:t>
      </w:r>
      <w:r>
        <w:rPr>
          <w:rFonts w:ascii="Times New Roman" w:hAnsi="Times New Roman" w:cs="Times New Roman"/>
          <w:sz w:val="24"/>
          <w:szCs w:val="18"/>
        </w:rPr>
        <w:t>.</w:t>
      </w:r>
    </w:p>
    <w:p/>
    <w:sectPr>
      <w:headerReference w:type="default" r:id="rId6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  <w:proofErr w:type="spellStart"/>
    <w:r>
      <w:rPr>
        <w:rFonts w:ascii="Times New Roman" w:hAnsi="Times New Roman" w:cs="Times New Roman"/>
        <w:sz w:val="24"/>
        <w:szCs w:val="24"/>
      </w:rPr>
      <w:t>Meixner</w:t>
    </w:r>
    <w:proofErr w:type="spellEnd"/>
    <w:r>
      <w:rPr>
        <w:rFonts w:ascii="Times New Roman" w:hAnsi="Times New Roman" w:cs="Times New Roman"/>
        <w:sz w:val="24"/>
        <w:szCs w:val="24"/>
      </w:rPr>
      <w:t xml:space="preserve"> et al. (2020) - </w:t>
    </w:r>
    <w:proofErr w:type="spellStart"/>
    <w:r>
      <w:rPr>
        <w:rFonts w:ascii="Times New Roman" w:hAnsi="Times New Roman" w:cs="Times New Roman"/>
        <w:sz w:val="24"/>
        <w:szCs w:val="24"/>
      </w:rPr>
      <w:t>HRQoL</w:t>
    </w:r>
    <w:proofErr w:type="spellEnd"/>
    <w:r>
      <w:rPr>
        <w:rFonts w:ascii="Times New Roman" w:hAnsi="Times New Roman" w:cs="Times New Roman"/>
        <w:sz w:val="24"/>
        <w:szCs w:val="24"/>
      </w:rPr>
      <w:t xml:space="preserve"> in Children and Adolescents with Overweight and Obesity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>PAGE   \* MERGEFORMAT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  <w:lang w:val="en-GB"/>
      </w:rPr>
      <w:t>1</w:t>
    </w:r>
    <w:r>
      <w:rPr>
        <w:rFonts w:ascii="Times New Roman" w:hAnsi="Times New Roman" w:cs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9CE400-7918-4B0F-9044-1A4BE746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268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Robert Koch-Institut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</dc:creator>
  <cp:lastModifiedBy>Cohrdes, Caroline</cp:lastModifiedBy>
  <cp:revision>2</cp:revision>
  <dcterms:created xsi:type="dcterms:W3CDTF">2020-11-13T14:16:00Z</dcterms:created>
  <dcterms:modified xsi:type="dcterms:W3CDTF">2020-11-13T14:16:00Z</dcterms:modified>
</cp:coreProperties>
</file>