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drawings/drawing7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413" w:rsidRPr="0073761F" w:rsidRDefault="00314413" w:rsidP="00314413">
      <w:pPr>
        <w:spacing w:line="480" w:lineRule="auto"/>
      </w:pPr>
      <w:r w:rsidRPr="0073761F">
        <w:t xml:space="preserve">Table 1S </w:t>
      </w:r>
      <w:proofErr w:type="gramStart"/>
      <w:r w:rsidRPr="0073761F">
        <w:t>The</w:t>
      </w:r>
      <w:proofErr w:type="gramEnd"/>
      <w:r w:rsidRPr="0073761F">
        <w:t xml:space="preserve"> results of quality control in maize, the associated soil and the irrigation water.</w:t>
      </w:r>
    </w:p>
    <w:tbl>
      <w:tblPr>
        <w:tblW w:w="9534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52"/>
        <w:gridCol w:w="534"/>
        <w:gridCol w:w="1542"/>
        <w:gridCol w:w="1516"/>
        <w:gridCol w:w="883"/>
        <w:gridCol w:w="1811"/>
        <w:gridCol w:w="2196"/>
      </w:tblGrid>
      <w:tr w:rsidR="00314413" w:rsidRPr="0073761F" w:rsidTr="00314413">
        <w:tc>
          <w:tcPr>
            <w:tcW w:w="105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</w:p>
        </w:tc>
        <w:tc>
          <w:tcPr>
            <w:tcW w:w="15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Correlation coefficients(R</w:t>
            </w:r>
            <w:r w:rsidRPr="0073761F">
              <w:rPr>
                <w:sz w:val="18"/>
                <w:szCs w:val="18"/>
                <w:vertAlign w:val="superscript"/>
              </w:rPr>
              <w:t>2</w:t>
            </w:r>
            <w:r w:rsidRPr="0073761F">
              <w:rPr>
                <w:sz w:val="18"/>
                <w:szCs w:val="18"/>
              </w:rPr>
              <w:t>)</w:t>
            </w:r>
          </w:p>
        </w:tc>
        <w:tc>
          <w:tcPr>
            <w:tcW w:w="15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Recovery (%)</w:t>
            </w:r>
          </w:p>
        </w:tc>
        <w:tc>
          <w:tcPr>
            <w:tcW w:w="8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RSD (%)</w:t>
            </w:r>
          </w:p>
        </w:tc>
        <w:tc>
          <w:tcPr>
            <w:tcW w:w="18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color w:val="131413"/>
                <w:kern w:val="0"/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Certified reference</w:t>
            </w:r>
          </w:p>
          <w:p w:rsidR="00314413" w:rsidRPr="0073761F" w:rsidRDefault="00314413">
            <w:pPr>
              <w:spacing w:line="240" w:lineRule="atLeast"/>
              <w:jc w:val="center"/>
              <w:rPr>
                <w:color w:val="131413"/>
                <w:kern w:val="0"/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(mg/kg)</w:t>
            </w:r>
          </w:p>
        </w:tc>
        <w:tc>
          <w:tcPr>
            <w:tcW w:w="219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color w:val="131413"/>
                <w:kern w:val="0"/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Certified value</w:t>
            </w:r>
          </w:p>
          <w:p w:rsidR="00314413" w:rsidRPr="0073761F" w:rsidRDefault="00314413">
            <w:pPr>
              <w:spacing w:line="240" w:lineRule="atLeast"/>
              <w:jc w:val="center"/>
              <w:rPr>
                <w:color w:val="131413"/>
                <w:kern w:val="0"/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(mg/kg)</w:t>
            </w:r>
          </w:p>
        </w:tc>
      </w:tr>
      <w:tr w:rsidR="00314413" w:rsidRPr="0073761F" w:rsidTr="00314413">
        <w:tc>
          <w:tcPr>
            <w:tcW w:w="105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proofErr w:type="spellStart"/>
            <w:r w:rsidRPr="0073761F">
              <w:rPr>
                <w:sz w:val="18"/>
                <w:szCs w:val="18"/>
              </w:rPr>
              <w:t>Miaze</w:t>
            </w:r>
            <w:proofErr w:type="spellEnd"/>
          </w:p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Cd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0.9999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110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3.9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0.033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0.035±0.006</w:t>
            </w:r>
          </w:p>
        </w:tc>
      </w:tr>
      <w:tr w:rsidR="00314413" w:rsidRPr="0073761F" w:rsidTr="00314413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proofErr w:type="spellStart"/>
            <w:r w:rsidRPr="0073761F">
              <w:rPr>
                <w:sz w:val="18"/>
                <w:szCs w:val="18"/>
              </w:rPr>
              <w:t>Pb</w:t>
            </w:r>
            <w:proofErr w:type="spellEnd"/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101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4.5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0.16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0.19 ± 0.03</w:t>
            </w:r>
          </w:p>
        </w:tc>
      </w:tr>
      <w:tr w:rsidR="00314413" w:rsidRPr="0073761F" w:rsidTr="00314413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Cr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0.9999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98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1.9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2.0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1.8 ± 0.3</w:t>
            </w:r>
          </w:p>
        </w:tc>
      </w:tr>
      <w:tr w:rsidR="00314413" w:rsidRPr="0073761F" w:rsidTr="00314413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Zn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97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2.9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24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26 ± 2</w:t>
            </w:r>
          </w:p>
        </w:tc>
      </w:tr>
      <w:tr w:rsidR="00314413" w:rsidRPr="0073761F" w:rsidTr="00314413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Cu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0.9999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91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1.7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2.4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2.7 ± 0.2</w:t>
            </w:r>
          </w:p>
        </w:tc>
      </w:tr>
      <w:tr w:rsidR="00314413" w:rsidRPr="0073761F" w:rsidTr="00314413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As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85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4.2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0.059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0.062 ±0.014</w:t>
            </w:r>
          </w:p>
        </w:tc>
      </w:tr>
      <w:tr w:rsidR="00314413" w:rsidRPr="0073761F" w:rsidTr="00314413">
        <w:tc>
          <w:tcPr>
            <w:tcW w:w="10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Soil</w:t>
            </w:r>
          </w:p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Cd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0.9999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98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4.5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0.21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0.22</w:t>
            </w:r>
          </w:p>
        </w:tc>
      </w:tr>
      <w:tr w:rsidR="00314413" w:rsidRPr="0073761F" w:rsidTr="00314413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proofErr w:type="spellStart"/>
            <w:r w:rsidRPr="0073761F">
              <w:rPr>
                <w:sz w:val="18"/>
                <w:szCs w:val="18"/>
              </w:rPr>
              <w:t>Pb</w:t>
            </w:r>
            <w:proofErr w:type="spellEnd"/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95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3.7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18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21 ± 5</w:t>
            </w:r>
          </w:p>
        </w:tc>
      </w:tr>
      <w:tr w:rsidR="00314413" w:rsidRPr="0073761F" w:rsidTr="00314413">
        <w:trPr>
          <w:trHeight w:val="39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Cr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0.9999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105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3.8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61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61 ± 5</w:t>
            </w:r>
          </w:p>
        </w:tc>
      </w:tr>
      <w:tr w:rsidR="00314413" w:rsidRPr="0073761F" w:rsidTr="00314413">
        <w:trPr>
          <w:trHeight w:val="418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Zn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93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4.5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55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51 ± 6</w:t>
            </w:r>
          </w:p>
        </w:tc>
      </w:tr>
      <w:tr w:rsidR="00314413" w:rsidRPr="0073761F" w:rsidTr="00314413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Cu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0.9999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92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2.9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18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17 ± 1</w:t>
            </w:r>
          </w:p>
        </w:tc>
      </w:tr>
      <w:tr w:rsidR="00314413" w:rsidRPr="0073761F" w:rsidTr="00314413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As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87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4.8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10.2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9.8 ± 0.9</w:t>
            </w:r>
          </w:p>
        </w:tc>
      </w:tr>
      <w:tr w:rsidR="00314413" w:rsidRPr="0073761F" w:rsidTr="00314413">
        <w:tc>
          <w:tcPr>
            <w:tcW w:w="10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 xml:space="preserve">Irrigation 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Cd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0.9999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91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1.2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 xml:space="preserve">100 </w:t>
            </w:r>
            <w:proofErr w:type="spellStart"/>
            <w:r w:rsidRPr="0073761F">
              <w:rPr>
                <w:sz w:val="18"/>
                <w:szCs w:val="18"/>
              </w:rPr>
              <w:t>μg</w:t>
            </w:r>
            <w:proofErr w:type="spellEnd"/>
            <w:r w:rsidRPr="0073761F">
              <w:rPr>
                <w:sz w:val="18"/>
                <w:szCs w:val="18"/>
              </w:rPr>
              <w:t>/L</w:t>
            </w:r>
          </w:p>
        </w:tc>
        <w:tc>
          <w:tcPr>
            <w:tcW w:w="2196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 xml:space="preserve">100 </w:t>
            </w:r>
            <w:proofErr w:type="spellStart"/>
            <w:r w:rsidRPr="0073761F">
              <w:rPr>
                <w:sz w:val="18"/>
                <w:szCs w:val="18"/>
              </w:rPr>
              <w:t>μg</w:t>
            </w:r>
            <w:proofErr w:type="spellEnd"/>
            <w:r w:rsidRPr="0073761F">
              <w:rPr>
                <w:sz w:val="18"/>
                <w:szCs w:val="18"/>
              </w:rPr>
              <w:t>/L</w:t>
            </w:r>
          </w:p>
        </w:tc>
      </w:tr>
      <w:tr w:rsidR="00314413" w:rsidRPr="0073761F" w:rsidTr="00314413"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water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proofErr w:type="spellStart"/>
            <w:r w:rsidRPr="0073761F">
              <w:rPr>
                <w:sz w:val="18"/>
                <w:szCs w:val="18"/>
              </w:rPr>
              <w:t>Pb</w:t>
            </w:r>
            <w:proofErr w:type="spellEnd"/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0.9991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94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1.5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 xml:space="preserve">99 </w:t>
            </w:r>
            <w:proofErr w:type="spellStart"/>
            <w:r w:rsidRPr="0073761F">
              <w:rPr>
                <w:sz w:val="18"/>
                <w:szCs w:val="18"/>
              </w:rPr>
              <w:t>μg</w:t>
            </w:r>
            <w:proofErr w:type="spellEnd"/>
            <w:r w:rsidRPr="0073761F">
              <w:rPr>
                <w:sz w:val="18"/>
                <w:szCs w:val="18"/>
              </w:rPr>
              <w:t>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314413" w:rsidRPr="0073761F" w:rsidTr="00314413"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Cr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0.9999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99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1.6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 xml:space="preserve">101 </w:t>
            </w:r>
            <w:proofErr w:type="spellStart"/>
            <w:r w:rsidRPr="0073761F">
              <w:rPr>
                <w:sz w:val="18"/>
                <w:szCs w:val="18"/>
              </w:rPr>
              <w:t>μg</w:t>
            </w:r>
            <w:proofErr w:type="spellEnd"/>
            <w:r w:rsidRPr="0073761F">
              <w:rPr>
                <w:sz w:val="18"/>
                <w:szCs w:val="18"/>
              </w:rPr>
              <w:t>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314413" w:rsidRPr="0073761F" w:rsidTr="00314413"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Zn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0.9992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95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1.2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 xml:space="preserve">100 </w:t>
            </w:r>
            <w:proofErr w:type="spellStart"/>
            <w:r w:rsidRPr="0073761F">
              <w:rPr>
                <w:sz w:val="18"/>
                <w:szCs w:val="18"/>
              </w:rPr>
              <w:t>μg</w:t>
            </w:r>
            <w:proofErr w:type="spellEnd"/>
            <w:r w:rsidRPr="0073761F">
              <w:rPr>
                <w:sz w:val="18"/>
                <w:szCs w:val="18"/>
              </w:rPr>
              <w:t>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314413" w:rsidRPr="0073761F" w:rsidTr="00314413"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Cu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0.9999</w:t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102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1.9</w:t>
            </w:r>
          </w:p>
        </w:tc>
        <w:tc>
          <w:tcPr>
            <w:tcW w:w="18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 xml:space="preserve">100 </w:t>
            </w:r>
            <w:proofErr w:type="spellStart"/>
            <w:r w:rsidRPr="0073761F">
              <w:rPr>
                <w:sz w:val="18"/>
                <w:szCs w:val="18"/>
              </w:rPr>
              <w:t>μg</w:t>
            </w:r>
            <w:proofErr w:type="spellEnd"/>
            <w:r w:rsidRPr="0073761F">
              <w:rPr>
                <w:sz w:val="18"/>
                <w:szCs w:val="18"/>
              </w:rPr>
              <w:t>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314413" w:rsidRPr="0073761F" w:rsidTr="00314413">
        <w:tc>
          <w:tcPr>
            <w:tcW w:w="105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left"/>
              <w:rPr>
                <w:sz w:val="18"/>
                <w:szCs w:val="18"/>
              </w:rPr>
            </w:pPr>
            <w:r w:rsidRPr="0073761F">
              <w:rPr>
                <w:color w:val="131413"/>
                <w:kern w:val="0"/>
                <w:sz w:val="18"/>
                <w:szCs w:val="18"/>
              </w:rPr>
              <w:t>As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0.9992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98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2.4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314413" w:rsidRPr="0073761F" w:rsidRDefault="00314413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99</w:t>
            </w:r>
            <w:r w:rsidRPr="0073761F">
              <w:rPr>
                <w:rFonts w:hint="eastAsia"/>
                <w:sz w:val="18"/>
                <w:szCs w:val="18"/>
              </w:rPr>
              <w:t xml:space="preserve"> </w:t>
            </w:r>
            <w:proofErr w:type="spellStart"/>
            <w:r w:rsidRPr="0073761F">
              <w:rPr>
                <w:sz w:val="18"/>
                <w:szCs w:val="18"/>
              </w:rPr>
              <w:t>μg</w:t>
            </w:r>
            <w:proofErr w:type="spellEnd"/>
            <w:r w:rsidRPr="0073761F">
              <w:rPr>
                <w:sz w:val="18"/>
                <w:szCs w:val="18"/>
              </w:rPr>
              <w:t>/L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314413" w:rsidRPr="0073761F" w:rsidRDefault="00314413">
            <w:pPr>
              <w:widowControl/>
              <w:jc w:val="left"/>
              <w:rPr>
                <w:sz w:val="18"/>
                <w:szCs w:val="18"/>
              </w:rPr>
            </w:pPr>
          </w:p>
        </w:tc>
      </w:tr>
    </w:tbl>
    <w:p w:rsidR="00314413" w:rsidRPr="0073761F" w:rsidRDefault="00314413" w:rsidP="00314413">
      <w:pPr>
        <w:spacing w:line="240" w:lineRule="atLeast"/>
        <w:rPr>
          <w:sz w:val="18"/>
        </w:rPr>
      </w:pPr>
    </w:p>
    <w:p w:rsidR="00314413" w:rsidRPr="0073761F" w:rsidRDefault="00314413" w:rsidP="00314413"/>
    <w:p w:rsidR="00E810A9" w:rsidRPr="0073761F" w:rsidRDefault="00E810A9" w:rsidP="00106D09">
      <w:pPr>
        <w:rPr>
          <w:sz w:val="20"/>
          <w:szCs w:val="20"/>
        </w:rPr>
      </w:pPr>
      <w:proofErr w:type="gramStart"/>
      <w:r w:rsidRPr="0073761F">
        <w:t xml:space="preserve">Table </w:t>
      </w:r>
      <w:r w:rsidRPr="0073761F">
        <w:rPr>
          <w:rFonts w:hint="eastAsia"/>
        </w:rPr>
        <w:t>2</w:t>
      </w:r>
      <w:r w:rsidRPr="0073761F">
        <w:t>S</w:t>
      </w:r>
      <w:r w:rsidRPr="0073761F">
        <w:rPr>
          <w:rFonts w:hint="eastAsia"/>
        </w:rPr>
        <w:t xml:space="preserve"> </w:t>
      </w:r>
      <w:r w:rsidRPr="0073761F">
        <w:rPr>
          <w:rFonts w:hint="eastAsia"/>
          <w:sz w:val="20"/>
          <w:szCs w:val="20"/>
        </w:rPr>
        <w:t>C</w:t>
      </w:r>
      <w:r w:rsidRPr="0073761F">
        <w:rPr>
          <w:sz w:val="20"/>
          <w:szCs w:val="20"/>
        </w:rPr>
        <w:t>orrelation</w:t>
      </w:r>
      <w:r w:rsidR="000A2F0D" w:rsidRPr="0073761F">
        <w:rPr>
          <w:rFonts w:hint="eastAsia"/>
          <w:sz w:val="20"/>
          <w:szCs w:val="20"/>
        </w:rPr>
        <w:t>s</w:t>
      </w:r>
      <w:r w:rsidRPr="0073761F">
        <w:rPr>
          <w:rFonts w:hint="eastAsia"/>
          <w:sz w:val="20"/>
          <w:szCs w:val="20"/>
        </w:rPr>
        <w:t xml:space="preserve"> </w:t>
      </w:r>
      <w:r w:rsidR="000A2F0D" w:rsidRPr="0073761F">
        <w:rPr>
          <w:rFonts w:hint="eastAsia"/>
          <w:sz w:val="20"/>
          <w:szCs w:val="20"/>
        </w:rPr>
        <w:t>between BF and levels of PTEs in soil and maize.</w:t>
      </w:r>
      <w:proofErr w:type="gramEnd"/>
    </w:p>
    <w:tbl>
      <w:tblPr>
        <w:tblStyle w:val="a5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:rsidR="00D702F0" w:rsidRPr="0073761F" w:rsidTr="00845D8E">
        <w:tc>
          <w:tcPr>
            <w:tcW w:w="1217" w:type="dxa"/>
            <w:tcBorders>
              <w:top w:val="single" w:sz="12" w:space="0" w:color="auto"/>
              <w:bottom w:val="single" w:sz="4" w:space="0" w:color="auto"/>
            </w:tcBorders>
          </w:tcPr>
          <w:p w:rsidR="00D702F0" w:rsidRPr="0073761F" w:rsidRDefault="00D702F0" w:rsidP="00E810A9">
            <w:pPr>
              <w:autoSpaceDE w:val="0"/>
              <w:autoSpaceDN w:val="0"/>
              <w:adjustRightInd w:val="0"/>
              <w:jc w:val="left"/>
              <w:rPr>
                <w:rFonts w:eastAsiaTheme="minorEastAsia"/>
                <w:kern w:val="0"/>
                <w:sz w:val="24"/>
              </w:rPr>
            </w:pPr>
          </w:p>
        </w:tc>
        <w:tc>
          <w:tcPr>
            <w:tcW w:w="1217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rFonts w:hint="eastAsia"/>
                <w:sz w:val="18"/>
                <w:szCs w:val="18"/>
              </w:rPr>
              <w:t>BF-</w:t>
            </w:r>
            <w:r w:rsidRPr="0073761F">
              <w:rPr>
                <w:sz w:val="18"/>
                <w:szCs w:val="18"/>
              </w:rPr>
              <w:t>Cd</w:t>
            </w:r>
          </w:p>
        </w:tc>
        <w:tc>
          <w:tcPr>
            <w:tcW w:w="1217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rFonts w:hint="eastAsia"/>
                <w:sz w:val="18"/>
                <w:szCs w:val="18"/>
              </w:rPr>
              <w:t>BF-</w:t>
            </w:r>
            <w:proofErr w:type="spellStart"/>
            <w:r w:rsidRPr="0073761F">
              <w:rPr>
                <w:sz w:val="18"/>
                <w:szCs w:val="18"/>
              </w:rPr>
              <w:t>Pb</w:t>
            </w:r>
            <w:proofErr w:type="spellEnd"/>
          </w:p>
        </w:tc>
        <w:tc>
          <w:tcPr>
            <w:tcW w:w="1217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rFonts w:hint="eastAsia"/>
                <w:sz w:val="18"/>
                <w:szCs w:val="18"/>
              </w:rPr>
              <w:t>BF-</w:t>
            </w:r>
            <w:r w:rsidRPr="0073761F">
              <w:rPr>
                <w:sz w:val="18"/>
                <w:szCs w:val="18"/>
              </w:rPr>
              <w:t>Cu</w:t>
            </w:r>
          </w:p>
        </w:tc>
        <w:tc>
          <w:tcPr>
            <w:tcW w:w="1218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rFonts w:hint="eastAsia"/>
                <w:sz w:val="18"/>
                <w:szCs w:val="18"/>
              </w:rPr>
              <w:t>BF-</w:t>
            </w:r>
            <w:r w:rsidRPr="0073761F">
              <w:rPr>
                <w:sz w:val="18"/>
                <w:szCs w:val="18"/>
              </w:rPr>
              <w:t>Zn</w:t>
            </w:r>
          </w:p>
        </w:tc>
        <w:tc>
          <w:tcPr>
            <w:tcW w:w="1218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rFonts w:hint="eastAsia"/>
                <w:sz w:val="18"/>
                <w:szCs w:val="18"/>
              </w:rPr>
              <w:t>BF-</w:t>
            </w:r>
            <w:r w:rsidRPr="0073761F">
              <w:rPr>
                <w:sz w:val="18"/>
                <w:szCs w:val="18"/>
              </w:rPr>
              <w:t>Cr</w:t>
            </w:r>
          </w:p>
        </w:tc>
        <w:tc>
          <w:tcPr>
            <w:tcW w:w="1218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rFonts w:hint="eastAsia"/>
                <w:sz w:val="18"/>
                <w:szCs w:val="18"/>
              </w:rPr>
              <w:t>BF-</w:t>
            </w:r>
            <w:r w:rsidRPr="0073761F">
              <w:rPr>
                <w:sz w:val="18"/>
                <w:szCs w:val="18"/>
              </w:rPr>
              <w:t>As</w:t>
            </w:r>
          </w:p>
        </w:tc>
      </w:tr>
      <w:tr w:rsidR="00D702F0" w:rsidRPr="0073761F" w:rsidTr="00845D8E">
        <w:tc>
          <w:tcPr>
            <w:tcW w:w="1217" w:type="dxa"/>
            <w:tcBorders>
              <w:top w:val="single" w:sz="4" w:space="0" w:color="auto"/>
            </w:tcBorders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spacing w:line="320" w:lineRule="atLeast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Cd</w:t>
            </w:r>
            <w:r w:rsidRPr="0073761F">
              <w:rPr>
                <w:rFonts w:hint="eastAsia"/>
                <w:sz w:val="18"/>
                <w:szCs w:val="18"/>
              </w:rPr>
              <w:t>-soil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color w:val="0000FF"/>
                <w:sz w:val="18"/>
                <w:szCs w:val="18"/>
              </w:rPr>
            </w:pPr>
            <w:r w:rsidRPr="0073761F">
              <w:rPr>
                <w:b/>
                <w:color w:val="0000FF"/>
                <w:sz w:val="18"/>
                <w:szCs w:val="18"/>
              </w:rPr>
              <w:t>.402**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-.267</w:t>
            </w:r>
          </w:p>
        </w:tc>
        <w:tc>
          <w:tcPr>
            <w:tcW w:w="1217" w:type="dxa"/>
            <w:tcBorders>
              <w:top w:val="single" w:sz="4" w:space="0" w:color="auto"/>
            </w:tcBorders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-.087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.065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.100</w:t>
            </w:r>
          </w:p>
        </w:tc>
        <w:tc>
          <w:tcPr>
            <w:tcW w:w="1218" w:type="dxa"/>
            <w:tcBorders>
              <w:top w:val="single" w:sz="4" w:space="0" w:color="auto"/>
            </w:tcBorders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.131</w:t>
            </w:r>
          </w:p>
        </w:tc>
      </w:tr>
      <w:tr w:rsidR="00D702F0" w:rsidRPr="0073761F" w:rsidTr="00845D8E">
        <w:tc>
          <w:tcPr>
            <w:tcW w:w="1217" w:type="dxa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spacing w:line="320" w:lineRule="atLeast"/>
              <w:jc w:val="left"/>
              <w:rPr>
                <w:sz w:val="18"/>
                <w:szCs w:val="18"/>
              </w:rPr>
            </w:pPr>
            <w:proofErr w:type="spellStart"/>
            <w:r w:rsidRPr="0073761F">
              <w:rPr>
                <w:sz w:val="18"/>
                <w:szCs w:val="18"/>
              </w:rPr>
              <w:t>Pb</w:t>
            </w:r>
            <w:proofErr w:type="spellEnd"/>
            <w:r w:rsidR="00845D8E" w:rsidRPr="0073761F">
              <w:rPr>
                <w:rFonts w:hint="eastAsia"/>
                <w:sz w:val="18"/>
                <w:szCs w:val="18"/>
              </w:rPr>
              <w:t>-soil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.157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color w:val="0000FF"/>
                <w:sz w:val="18"/>
                <w:szCs w:val="18"/>
              </w:rPr>
              <w:t>-</w:t>
            </w:r>
            <w:r w:rsidRPr="0073761F">
              <w:rPr>
                <w:b/>
                <w:color w:val="0000FF"/>
                <w:sz w:val="18"/>
                <w:szCs w:val="18"/>
              </w:rPr>
              <w:t>.509**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.018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.201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.241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.046</w:t>
            </w:r>
          </w:p>
        </w:tc>
      </w:tr>
      <w:tr w:rsidR="00D702F0" w:rsidRPr="0073761F" w:rsidTr="00845D8E">
        <w:tc>
          <w:tcPr>
            <w:tcW w:w="1217" w:type="dxa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spacing w:line="320" w:lineRule="atLeast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Cu</w:t>
            </w:r>
            <w:r w:rsidR="00845D8E" w:rsidRPr="0073761F">
              <w:rPr>
                <w:rFonts w:hint="eastAsia"/>
                <w:sz w:val="18"/>
                <w:szCs w:val="18"/>
              </w:rPr>
              <w:t>-soil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sz w:val="18"/>
                <w:szCs w:val="18"/>
              </w:rPr>
              <w:t>.306*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.034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.103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.124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.065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-.030</w:t>
            </w:r>
          </w:p>
        </w:tc>
      </w:tr>
      <w:tr w:rsidR="00D702F0" w:rsidRPr="0073761F" w:rsidTr="00845D8E">
        <w:tc>
          <w:tcPr>
            <w:tcW w:w="1217" w:type="dxa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Zn</w:t>
            </w:r>
            <w:r w:rsidR="00845D8E" w:rsidRPr="0073761F">
              <w:rPr>
                <w:rFonts w:hint="eastAsia"/>
                <w:sz w:val="18"/>
                <w:szCs w:val="18"/>
              </w:rPr>
              <w:t>-soil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-.150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.137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-.028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color w:val="0000FF"/>
                <w:sz w:val="18"/>
                <w:szCs w:val="18"/>
              </w:rPr>
              <w:t>-.724**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sz w:val="18"/>
                <w:szCs w:val="18"/>
              </w:rPr>
              <w:t>-.425**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.152</w:t>
            </w:r>
          </w:p>
        </w:tc>
      </w:tr>
      <w:tr w:rsidR="00D702F0" w:rsidRPr="0073761F" w:rsidTr="00845D8E">
        <w:tc>
          <w:tcPr>
            <w:tcW w:w="1217" w:type="dxa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spacing w:line="320" w:lineRule="atLeast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Cr</w:t>
            </w:r>
            <w:r w:rsidR="00845D8E" w:rsidRPr="0073761F">
              <w:rPr>
                <w:rFonts w:hint="eastAsia"/>
                <w:sz w:val="18"/>
                <w:szCs w:val="18"/>
              </w:rPr>
              <w:t>-soil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-.129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.202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-.037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sz w:val="18"/>
                <w:szCs w:val="18"/>
              </w:rPr>
              <w:t>-.576**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color w:val="0000FF"/>
                <w:sz w:val="18"/>
                <w:szCs w:val="18"/>
              </w:rPr>
              <w:t>-.537**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.104</w:t>
            </w:r>
          </w:p>
        </w:tc>
      </w:tr>
      <w:tr w:rsidR="00D702F0" w:rsidRPr="0073761F" w:rsidTr="00845D8E">
        <w:tc>
          <w:tcPr>
            <w:tcW w:w="1217" w:type="dxa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As</w:t>
            </w:r>
            <w:r w:rsidR="00845D8E" w:rsidRPr="0073761F">
              <w:rPr>
                <w:rFonts w:hint="eastAsia"/>
                <w:sz w:val="18"/>
                <w:szCs w:val="18"/>
              </w:rPr>
              <w:t>-soil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-.024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-.053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sz w:val="18"/>
                <w:szCs w:val="18"/>
              </w:rPr>
              <w:t>-.373*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sz w:val="18"/>
                <w:szCs w:val="18"/>
              </w:rPr>
              <w:t>-.364*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-.220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-.079</w:t>
            </w:r>
          </w:p>
        </w:tc>
      </w:tr>
      <w:tr w:rsidR="00D702F0" w:rsidRPr="0073761F" w:rsidTr="00845D8E">
        <w:tc>
          <w:tcPr>
            <w:tcW w:w="1217" w:type="dxa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spacing w:line="320" w:lineRule="atLeast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Cd</w:t>
            </w:r>
            <w:r w:rsidR="00845D8E" w:rsidRPr="0073761F">
              <w:rPr>
                <w:rFonts w:hint="eastAsia"/>
                <w:sz w:val="18"/>
                <w:szCs w:val="18"/>
              </w:rPr>
              <w:t>-maize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color w:val="0000FF"/>
                <w:sz w:val="18"/>
                <w:szCs w:val="18"/>
              </w:rPr>
              <w:t>.492**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sz w:val="18"/>
                <w:szCs w:val="18"/>
              </w:rPr>
              <w:t>.301*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.097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.272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.159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.063</w:t>
            </w:r>
          </w:p>
        </w:tc>
      </w:tr>
      <w:tr w:rsidR="00D702F0" w:rsidRPr="0073761F" w:rsidTr="00845D8E">
        <w:tc>
          <w:tcPr>
            <w:tcW w:w="1217" w:type="dxa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proofErr w:type="spellStart"/>
            <w:r w:rsidRPr="0073761F">
              <w:rPr>
                <w:sz w:val="18"/>
                <w:szCs w:val="18"/>
              </w:rPr>
              <w:t>Pb</w:t>
            </w:r>
            <w:proofErr w:type="spellEnd"/>
            <w:r w:rsidR="00845D8E" w:rsidRPr="0073761F">
              <w:rPr>
                <w:rFonts w:hint="eastAsia"/>
                <w:sz w:val="18"/>
                <w:szCs w:val="18"/>
              </w:rPr>
              <w:t>-maize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.079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color w:val="0000FF"/>
                <w:sz w:val="18"/>
                <w:szCs w:val="18"/>
              </w:rPr>
              <w:t>.623**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.030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.159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.091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-.144</w:t>
            </w:r>
          </w:p>
        </w:tc>
      </w:tr>
      <w:tr w:rsidR="00D702F0" w:rsidRPr="0073761F" w:rsidTr="00845D8E">
        <w:tc>
          <w:tcPr>
            <w:tcW w:w="1217" w:type="dxa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spacing w:line="320" w:lineRule="atLeast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Cu</w:t>
            </w:r>
            <w:r w:rsidR="00845D8E" w:rsidRPr="0073761F">
              <w:rPr>
                <w:rFonts w:hint="eastAsia"/>
                <w:sz w:val="18"/>
                <w:szCs w:val="18"/>
              </w:rPr>
              <w:t>-maize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-.021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-.014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color w:val="0000FF"/>
                <w:sz w:val="18"/>
                <w:szCs w:val="18"/>
              </w:rPr>
              <w:t>.983**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.082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.076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.098</w:t>
            </w:r>
          </w:p>
        </w:tc>
      </w:tr>
      <w:tr w:rsidR="00D702F0" w:rsidRPr="0073761F" w:rsidTr="00845D8E">
        <w:tc>
          <w:tcPr>
            <w:tcW w:w="1217" w:type="dxa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Zn</w:t>
            </w:r>
            <w:r w:rsidR="00845D8E" w:rsidRPr="0073761F">
              <w:rPr>
                <w:rFonts w:hint="eastAsia"/>
                <w:sz w:val="18"/>
                <w:szCs w:val="18"/>
              </w:rPr>
              <w:t>-maize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.238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.021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.258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color w:val="0000FF"/>
                <w:sz w:val="18"/>
                <w:szCs w:val="18"/>
              </w:rPr>
              <w:t>.740**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sz w:val="18"/>
                <w:szCs w:val="18"/>
              </w:rPr>
              <w:t>.467**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.102</w:t>
            </w:r>
          </w:p>
        </w:tc>
      </w:tr>
      <w:tr w:rsidR="00D702F0" w:rsidRPr="0073761F" w:rsidTr="00845D8E">
        <w:tc>
          <w:tcPr>
            <w:tcW w:w="1217" w:type="dxa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spacing w:line="320" w:lineRule="atLeast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Cr</w:t>
            </w:r>
            <w:r w:rsidR="00845D8E" w:rsidRPr="0073761F">
              <w:rPr>
                <w:rFonts w:hint="eastAsia"/>
                <w:sz w:val="18"/>
                <w:szCs w:val="18"/>
              </w:rPr>
              <w:t>-maize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.260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.153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sz w:val="18"/>
                <w:szCs w:val="18"/>
              </w:rPr>
              <w:t>.501**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sz w:val="18"/>
                <w:szCs w:val="18"/>
              </w:rPr>
              <w:t>.455**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color w:val="0000FF"/>
                <w:sz w:val="18"/>
                <w:szCs w:val="18"/>
              </w:rPr>
              <w:t>.437**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-.106</w:t>
            </w:r>
          </w:p>
        </w:tc>
      </w:tr>
      <w:tr w:rsidR="00D702F0" w:rsidRPr="0073761F" w:rsidTr="00845D8E">
        <w:tc>
          <w:tcPr>
            <w:tcW w:w="1217" w:type="dxa"/>
          </w:tcPr>
          <w:p w:rsidR="00D702F0" w:rsidRPr="0073761F" w:rsidRDefault="00D702F0" w:rsidP="00CC3DDB">
            <w:pPr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As</w:t>
            </w:r>
            <w:r w:rsidR="00845D8E" w:rsidRPr="0073761F">
              <w:rPr>
                <w:rFonts w:hint="eastAsia"/>
                <w:sz w:val="18"/>
                <w:szCs w:val="18"/>
              </w:rPr>
              <w:t>-maize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.201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-.160</w:t>
            </w:r>
          </w:p>
        </w:tc>
        <w:tc>
          <w:tcPr>
            <w:tcW w:w="1217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-.023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-.202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sz w:val="18"/>
                <w:szCs w:val="18"/>
              </w:rPr>
            </w:pPr>
            <w:r w:rsidRPr="0073761F">
              <w:rPr>
                <w:sz w:val="18"/>
                <w:szCs w:val="18"/>
              </w:rPr>
              <w:t>-.225</w:t>
            </w:r>
          </w:p>
        </w:tc>
        <w:tc>
          <w:tcPr>
            <w:tcW w:w="1218" w:type="dxa"/>
          </w:tcPr>
          <w:p w:rsidR="00D702F0" w:rsidRPr="0073761F" w:rsidRDefault="00D702F0" w:rsidP="00845D8E">
            <w:pPr>
              <w:autoSpaceDE w:val="0"/>
              <w:autoSpaceDN w:val="0"/>
              <w:adjustRightInd w:val="0"/>
              <w:spacing w:line="320" w:lineRule="atLeast"/>
              <w:jc w:val="center"/>
              <w:rPr>
                <w:b/>
                <w:sz w:val="18"/>
                <w:szCs w:val="18"/>
              </w:rPr>
            </w:pPr>
            <w:r w:rsidRPr="0073761F">
              <w:rPr>
                <w:b/>
                <w:color w:val="0000FF"/>
                <w:sz w:val="18"/>
                <w:szCs w:val="18"/>
              </w:rPr>
              <w:t>.966**</w:t>
            </w:r>
          </w:p>
        </w:tc>
      </w:tr>
    </w:tbl>
    <w:p w:rsidR="00E810A9" w:rsidRPr="0073761F" w:rsidRDefault="00845D8E" w:rsidP="00E810A9">
      <w:pPr>
        <w:autoSpaceDE w:val="0"/>
        <w:autoSpaceDN w:val="0"/>
        <w:adjustRightInd w:val="0"/>
        <w:jc w:val="left"/>
        <w:rPr>
          <w:sz w:val="20"/>
          <w:szCs w:val="20"/>
        </w:rPr>
      </w:pPr>
      <w:r w:rsidRPr="0073761F">
        <w:rPr>
          <w:rFonts w:hint="eastAsia"/>
          <w:sz w:val="20"/>
          <w:szCs w:val="20"/>
        </w:rPr>
        <w:t>**</w:t>
      </w:r>
      <w:r w:rsidRPr="0073761F">
        <w:rPr>
          <w:rFonts w:hint="eastAsia"/>
          <w:i/>
          <w:sz w:val="20"/>
          <w:szCs w:val="20"/>
        </w:rPr>
        <w:t>P</w:t>
      </w:r>
      <w:r w:rsidRPr="0073761F">
        <w:rPr>
          <w:rFonts w:hint="eastAsia"/>
          <w:sz w:val="20"/>
          <w:szCs w:val="20"/>
        </w:rPr>
        <w:t xml:space="preserve"> &lt; 0.01.</w:t>
      </w:r>
    </w:p>
    <w:p w:rsidR="00E810A9" w:rsidRPr="0073761F" w:rsidRDefault="00845D8E" w:rsidP="00E810A9">
      <w:pPr>
        <w:autoSpaceDE w:val="0"/>
        <w:autoSpaceDN w:val="0"/>
        <w:adjustRightInd w:val="0"/>
        <w:jc w:val="left"/>
        <w:rPr>
          <w:sz w:val="20"/>
          <w:szCs w:val="20"/>
        </w:rPr>
      </w:pPr>
      <w:r w:rsidRPr="0073761F">
        <w:rPr>
          <w:rFonts w:hint="eastAsia"/>
          <w:sz w:val="20"/>
          <w:szCs w:val="20"/>
        </w:rPr>
        <w:t xml:space="preserve">* </w:t>
      </w:r>
      <w:r w:rsidRPr="0073761F">
        <w:rPr>
          <w:rFonts w:hint="eastAsia"/>
          <w:i/>
          <w:sz w:val="20"/>
          <w:szCs w:val="20"/>
        </w:rPr>
        <w:t>P</w:t>
      </w:r>
      <w:r w:rsidRPr="0073761F">
        <w:rPr>
          <w:rFonts w:hint="eastAsia"/>
          <w:sz w:val="20"/>
          <w:szCs w:val="20"/>
        </w:rPr>
        <w:t xml:space="preserve"> &lt; 0.05.</w:t>
      </w:r>
    </w:p>
    <w:p w:rsidR="00DF35ED" w:rsidRPr="0073761F" w:rsidRDefault="00DF35ED" w:rsidP="00E810A9">
      <w:pPr>
        <w:autoSpaceDE w:val="0"/>
        <w:autoSpaceDN w:val="0"/>
        <w:adjustRightInd w:val="0"/>
        <w:jc w:val="left"/>
        <w:rPr>
          <w:sz w:val="20"/>
          <w:szCs w:val="20"/>
        </w:rPr>
      </w:pPr>
    </w:p>
    <w:p w:rsidR="00DF35ED" w:rsidRPr="0073761F" w:rsidRDefault="00DF35ED" w:rsidP="00E810A9">
      <w:pPr>
        <w:autoSpaceDE w:val="0"/>
        <w:autoSpaceDN w:val="0"/>
        <w:adjustRightInd w:val="0"/>
        <w:jc w:val="left"/>
        <w:rPr>
          <w:sz w:val="20"/>
          <w:szCs w:val="20"/>
        </w:rPr>
        <w:sectPr w:rsidR="00DF35ED" w:rsidRPr="0073761F" w:rsidSect="00E810A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F35ED" w:rsidRPr="0073761F" w:rsidRDefault="00DF35ED" w:rsidP="00E810A9">
      <w:pPr>
        <w:autoSpaceDE w:val="0"/>
        <w:autoSpaceDN w:val="0"/>
        <w:adjustRightInd w:val="0"/>
        <w:jc w:val="left"/>
        <w:rPr>
          <w:sz w:val="20"/>
          <w:szCs w:val="20"/>
        </w:rPr>
      </w:pPr>
      <w:r w:rsidRPr="0073761F">
        <w:rPr>
          <w:rFonts w:hint="eastAsia"/>
          <w:sz w:val="20"/>
          <w:szCs w:val="20"/>
        </w:rPr>
        <w:lastRenderedPageBreak/>
        <w:t xml:space="preserve"> </w:t>
      </w:r>
      <w:r w:rsidR="00622467" w:rsidRPr="0073761F">
        <w:rPr>
          <w:noProof/>
        </w:rPr>
        <w:drawing>
          <wp:inline distT="0" distB="0" distL="0" distR="0" wp14:anchorId="4C27E1B8" wp14:editId="310B3227">
            <wp:extent cx="2867025" cy="1809750"/>
            <wp:effectExtent l="0" t="0" r="0" b="0"/>
            <wp:docPr id="3" name="图表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Pr="0073761F">
        <w:rPr>
          <w:noProof/>
        </w:rPr>
        <w:drawing>
          <wp:inline distT="0" distB="0" distL="0" distR="0" wp14:anchorId="158FC1A3" wp14:editId="470437EC">
            <wp:extent cx="2886075" cy="1819275"/>
            <wp:effectExtent l="0" t="0" r="0" b="0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73761F">
        <w:rPr>
          <w:noProof/>
        </w:rPr>
        <w:t xml:space="preserve"> </w:t>
      </w:r>
      <w:r w:rsidRPr="0073761F">
        <w:rPr>
          <w:noProof/>
        </w:rPr>
        <w:drawing>
          <wp:inline distT="0" distB="0" distL="0" distR="0" wp14:anchorId="07E22AEF" wp14:editId="0A95D045">
            <wp:extent cx="2886075" cy="1809750"/>
            <wp:effectExtent l="0" t="0" r="0" b="0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F35ED" w:rsidRPr="0073761F" w:rsidRDefault="00DF35ED" w:rsidP="00DF35ED">
      <w:r w:rsidRPr="0073761F">
        <w:rPr>
          <w:b/>
          <w:noProof/>
        </w:rPr>
        <w:t>Fig.</w:t>
      </w:r>
      <w:r w:rsidRPr="0073761F">
        <w:rPr>
          <w:rFonts w:hint="eastAsia"/>
          <w:b/>
          <w:noProof/>
        </w:rPr>
        <w:t>1S</w:t>
      </w:r>
      <w:r w:rsidRPr="0073761F">
        <w:rPr>
          <w:rFonts w:hint="eastAsia"/>
          <w:noProof/>
        </w:rPr>
        <w:t xml:space="preserve"> </w:t>
      </w:r>
      <w:r w:rsidRPr="0073761F">
        <w:rPr>
          <w:rFonts w:hint="eastAsia"/>
        </w:rPr>
        <w:t>Probability exceeding 10</w:t>
      </w:r>
      <w:r w:rsidRPr="0073761F">
        <w:rPr>
          <w:rFonts w:hint="eastAsia"/>
          <w:vertAlign w:val="superscript"/>
        </w:rPr>
        <w:t>-5</w:t>
      </w:r>
      <w:r w:rsidRPr="0073761F">
        <w:rPr>
          <w:rFonts w:hint="eastAsia"/>
        </w:rPr>
        <w:t xml:space="preserve"> of R (a: </w:t>
      </w:r>
      <w:r w:rsidRPr="0073761F">
        <w:rPr>
          <w:rFonts w:hint="eastAsia"/>
          <w:noProof/>
        </w:rPr>
        <w:t>all inhabitant</w:t>
      </w:r>
      <w:r w:rsidRPr="0073761F">
        <w:rPr>
          <w:rFonts w:hint="eastAsia"/>
        </w:rPr>
        <w:t xml:space="preserve">, b: </w:t>
      </w:r>
      <w:r w:rsidRPr="0073761F">
        <w:rPr>
          <w:rFonts w:hint="eastAsia"/>
          <w:noProof/>
        </w:rPr>
        <w:t>male</w:t>
      </w:r>
      <w:r w:rsidRPr="0073761F">
        <w:rPr>
          <w:rFonts w:hint="eastAsia"/>
        </w:rPr>
        <w:t xml:space="preserve"> c: </w:t>
      </w:r>
      <w:r w:rsidRPr="0073761F">
        <w:rPr>
          <w:rFonts w:hint="eastAsia"/>
          <w:noProof/>
        </w:rPr>
        <w:t>female</w:t>
      </w:r>
      <w:r w:rsidRPr="0073761F">
        <w:rPr>
          <w:rFonts w:hint="eastAsia"/>
        </w:rPr>
        <w:t>), the black area represents the exceeding probabilities</w:t>
      </w:r>
      <w:r w:rsidRPr="0073761F">
        <w:rPr>
          <w:rFonts w:hint="eastAsia"/>
          <w:noProof/>
        </w:rPr>
        <w:t>, and a</w:t>
      </w:r>
      <w:r w:rsidRPr="0073761F">
        <w:rPr>
          <w:noProof/>
        </w:rPr>
        <w:t>bout</w:t>
      </w:r>
      <w:r w:rsidRPr="0073761F">
        <w:rPr>
          <w:rFonts w:hint="eastAsia"/>
        </w:rPr>
        <w:t xml:space="preserve"> 64.26%</w:t>
      </w:r>
      <w:r w:rsidRPr="0073761F">
        <w:rPr>
          <w:noProof/>
        </w:rPr>
        <w:t xml:space="preserve">, </w:t>
      </w:r>
      <w:r w:rsidRPr="0073761F">
        <w:rPr>
          <w:rFonts w:hint="eastAsia"/>
        </w:rPr>
        <w:t>58.28% and 68.30%</w:t>
      </w:r>
      <w:r w:rsidRPr="0073761F">
        <w:rPr>
          <w:rFonts w:hint="eastAsia"/>
          <w:noProof/>
        </w:rPr>
        <w:t xml:space="preserve"> for a, b, c, and d, </w:t>
      </w:r>
      <w:r w:rsidRPr="0073761F">
        <w:t>respectively.</w:t>
      </w:r>
    </w:p>
    <w:p w:rsidR="00DF35ED" w:rsidRPr="0073761F" w:rsidRDefault="00106D09" w:rsidP="00106D09">
      <w:pPr>
        <w:widowControl/>
        <w:jc w:val="left"/>
        <w:rPr>
          <w:sz w:val="20"/>
          <w:szCs w:val="20"/>
        </w:rPr>
      </w:pPr>
      <w:r w:rsidRPr="0073761F">
        <w:rPr>
          <w:sz w:val="20"/>
          <w:szCs w:val="20"/>
        </w:rPr>
        <w:br w:type="page"/>
      </w:r>
    </w:p>
    <w:p w:rsidR="00622467" w:rsidRPr="0073761F" w:rsidRDefault="00622467" w:rsidP="00E810A9">
      <w:pPr>
        <w:autoSpaceDE w:val="0"/>
        <w:autoSpaceDN w:val="0"/>
        <w:adjustRightInd w:val="0"/>
        <w:jc w:val="left"/>
        <w:rPr>
          <w:noProof/>
        </w:rPr>
      </w:pPr>
      <w:r w:rsidRPr="0073761F">
        <w:rPr>
          <w:noProof/>
        </w:rPr>
        <w:lastRenderedPageBreak/>
        <w:drawing>
          <wp:inline distT="0" distB="0" distL="0" distR="0" wp14:anchorId="30639872" wp14:editId="77DC1BC9">
            <wp:extent cx="4095750" cy="1800225"/>
            <wp:effectExtent l="0" t="0" r="0" b="0"/>
            <wp:docPr id="4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106D09" w:rsidRPr="0073761F">
        <w:rPr>
          <w:noProof/>
        </w:rPr>
        <w:t xml:space="preserve"> </w:t>
      </w:r>
      <w:r w:rsidR="00106D09" w:rsidRPr="0073761F">
        <w:rPr>
          <w:noProof/>
        </w:rPr>
        <w:drawing>
          <wp:inline distT="0" distB="0" distL="0" distR="0" wp14:anchorId="5222EE12" wp14:editId="211412B7">
            <wp:extent cx="4067175" cy="1790700"/>
            <wp:effectExtent l="0" t="0" r="0" b="0"/>
            <wp:docPr id="5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06D09" w:rsidRPr="0073761F" w:rsidRDefault="00106D09" w:rsidP="00E810A9">
      <w:pPr>
        <w:autoSpaceDE w:val="0"/>
        <w:autoSpaceDN w:val="0"/>
        <w:adjustRightInd w:val="0"/>
        <w:jc w:val="left"/>
        <w:rPr>
          <w:noProof/>
        </w:rPr>
      </w:pPr>
      <w:r w:rsidRPr="0073761F">
        <w:rPr>
          <w:noProof/>
        </w:rPr>
        <w:drawing>
          <wp:inline distT="0" distB="0" distL="0" distR="0" wp14:anchorId="1A1EB8B8" wp14:editId="27A13433">
            <wp:extent cx="4095750" cy="1771650"/>
            <wp:effectExtent l="0" t="0" r="0" b="0"/>
            <wp:docPr id="6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73761F">
        <w:rPr>
          <w:noProof/>
        </w:rPr>
        <w:t xml:space="preserve"> </w:t>
      </w:r>
      <w:r w:rsidRPr="0073761F">
        <w:rPr>
          <w:noProof/>
        </w:rPr>
        <w:drawing>
          <wp:inline distT="0" distB="0" distL="0" distR="0" wp14:anchorId="6E5C5BB2" wp14:editId="6836AD54">
            <wp:extent cx="4067175" cy="1771650"/>
            <wp:effectExtent l="0" t="0" r="0" b="0"/>
            <wp:docPr id="7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622467" w:rsidRDefault="00622467" w:rsidP="00622467">
      <w:r w:rsidRPr="0073761F">
        <w:rPr>
          <w:b/>
          <w:noProof/>
        </w:rPr>
        <w:t>Fig.</w:t>
      </w:r>
      <w:r w:rsidRPr="0073761F">
        <w:rPr>
          <w:rFonts w:hint="eastAsia"/>
          <w:b/>
          <w:noProof/>
        </w:rPr>
        <w:t>2S</w:t>
      </w:r>
      <w:r w:rsidRPr="0073761F">
        <w:rPr>
          <w:rFonts w:hint="eastAsia"/>
          <w:noProof/>
        </w:rPr>
        <w:t xml:space="preserve"> </w:t>
      </w:r>
      <w:r w:rsidRPr="0073761F">
        <w:rPr>
          <w:rFonts w:hint="eastAsia"/>
        </w:rPr>
        <w:t>Probability exceeding 10</w:t>
      </w:r>
      <w:r w:rsidRPr="0073761F">
        <w:rPr>
          <w:rFonts w:hint="eastAsia"/>
          <w:vertAlign w:val="superscript"/>
        </w:rPr>
        <w:t>-5</w:t>
      </w:r>
      <w:r w:rsidRPr="0073761F">
        <w:rPr>
          <w:rFonts w:hint="eastAsia"/>
        </w:rPr>
        <w:t xml:space="preserve"> of R (</w:t>
      </w:r>
      <w:r w:rsidR="00B878E6" w:rsidRPr="0073761F">
        <w:rPr>
          <w:rFonts w:hint="eastAsia"/>
        </w:rPr>
        <w:t xml:space="preserve">a: </w:t>
      </w:r>
      <w:r w:rsidR="00B878E6" w:rsidRPr="0073761F">
        <w:rPr>
          <w:rFonts w:hint="eastAsia"/>
          <w:noProof/>
        </w:rPr>
        <w:t>below</w:t>
      </w:r>
      <w:r w:rsidR="00B878E6" w:rsidRPr="0073761F">
        <w:rPr>
          <w:noProof/>
        </w:rPr>
        <w:t xml:space="preserve"> 20 years</w:t>
      </w:r>
      <w:r w:rsidR="00B878E6" w:rsidRPr="0073761F">
        <w:rPr>
          <w:rFonts w:hint="eastAsia"/>
        </w:rPr>
        <w:t xml:space="preserve">, b: </w:t>
      </w:r>
      <w:r w:rsidR="00B878E6" w:rsidRPr="0073761F">
        <w:rPr>
          <w:noProof/>
        </w:rPr>
        <w:t>20~40</w:t>
      </w:r>
      <w:r w:rsidR="00B878E6" w:rsidRPr="0073761F">
        <w:rPr>
          <w:rFonts w:hint="eastAsia"/>
          <w:noProof/>
        </w:rPr>
        <w:t xml:space="preserve"> years</w:t>
      </w:r>
      <w:r w:rsidR="00B878E6" w:rsidRPr="0073761F">
        <w:rPr>
          <w:rFonts w:hint="eastAsia"/>
        </w:rPr>
        <w:t xml:space="preserve">, c: </w:t>
      </w:r>
      <w:r w:rsidR="00B878E6" w:rsidRPr="0073761F">
        <w:rPr>
          <w:noProof/>
        </w:rPr>
        <w:t>40~60</w:t>
      </w:r>
      <w:r w:rsidR="00B878E6" w:rsidRPr="0073761F">
        <w:rPr>
          <w:rFonts w:hint="eastAsia"/>
          <w:noProof/>
        </w:rPr>
        <w:t xml:space="preserve"> years, d:</w:t>
      </w:r>
      <w:r w:rsidR="00B878E6" w:rsidRPr="0073761F">
        <w:rPr>
          <w:noProof/>
        </w:rPr>
        <w:t xml:space="preserve"> </w:t>
      </w:r>
      <w:r w:rsidR="00B878E6" w:rsidRPr="0073761F">
        <w:rPr>
          <w:rFonts w:hint="eastAsia"/>
          <w:noProof/>
        </w:rPr>
        <w:t>more than</w:t>
      </w:r>
      <w:r w:rsidR="00B878E6" w:rsidRPr="0073761F">
        <w:rPr>
          <w:noProof/>
        </w:rPr>
        <w:t xml:space="preserve"> 60 years</w:t>
      </w:r>
      <w:r w:rsidRPr="0073761F">
        <w:rPr>
          <w:rFonts w:hint="eastAsia"/>
        </w:rPr>
        <w:t>), the black area represents the exceeding probabilities</w:t>
      </w:r>
      <w:r w:rsidRPr="0073761F">
        <w:rPr>
          <w:rFonts w:hint="eastAsia"/>
          <w:noProof/>
        </w:rPr>
        <w:t>, and a</w:t>
      </w:r>
      <w:r w:rsidRPr="0073761F">
        <w:rPr>
          <w:noProof/>
        </w:rPr>
        <w:t xml:space="preserve">bout </w:t>
      </w:r>
      <w:r w:rsidRPr="0073761F">
        <w:rPr>
          <w:rFonts w:hint="eastAsia"/>
        </w:rPr>
        <w:t>73.24</w:t>
      </w:r>
      <w:r w:rsidRPr="0073761F">
        <w:t>%</w:t>
      </w:r>
      <w:r w:rsidRPr="0073761F">
        <w:rPr>
          <w:noProof/>
        </w:rPr>
        <w:t xml:space="preserve">, </w:t>
      </w:r>
      <w:r w:rsidRPr="0073761F">
        <w:rPr>
          <w:rFonts w:hint="eastAsia"/>
        </w:rPr>
        <w:t>63.26</w:t>
      </w:r>
      <w:r w:rsidRPr="0073761F">
        <w:t>%</w:t>
      </w:r>
      <w:r w:rsidRPr="0073761F">
        <w:rPr>
          <w:noProof/>
        </w:rPr>
        <w:t xml:space="preserve">, </w:t>
      </w:r>
      <w:r w:rsidRPr="0073761F">
        <w:rPr>
          <w:rFonts w:hint="eastAsia"/>
        </w:rPr>
        <w:t>63.47</w:t>
      </w:r>
      <w:r w:rsidRPr="0073761F">
        <w:t>%</w:t>
      </w:r>
      <w:r w:rsidRPr="0073761F">
        <w:rPr>
          <w:noProof/>
        </w:rPr>
        <w:t xml:space="preserve"> and </w:t>
      </w:r>
      <w:r w:rsidRPr="0073761F">
        <w:rPr>
          <w:rFonts w:hint="eastAsia"/>
        </w:rPr>
        <w:t>45.74</w:t>
      </w:r>
      <w:r w:rsidRPr="0073761F">
        <w:t>%</w:t>
      </w:r>
      <w:r w:rsidRPr="0073761F">
        <w:rPr>
          <w:rFonts w:hint="eastAsia"/>
          <w:noProof/>
        </w:rPr>
        <w:t xml:space="preserve"> for a, b, c, and d, </w:t>
      </w:r>
      <w:r w:rsidRPr="0073761F">
        <w:t>respectively.</w:t>
      </w:r>
    </w:p>
    <w:p w:rsidR="00622467" w:rsidRPr="00622467" w:rsidRDefault="00622467" w:rsidP="00E810A9">
      <w:pPr>
        <w:autoSpaceDE w:val="0"/>
        <w:autoSpaceDN w:val="0"/>
        <w:adjustRightInd w:val="0"/>
        <w:jc w:val="left"/>
        <w:rPr>
          <w:sz w:val="20"/>
          <w:szCs w:val="20"/>
        </w:rPr>
      </w:pPr>
      <w:bookmarkStart w:id="0" w:name="_GoBack"/>
      <w:bookmarkEnd w:id="0"/>
    </w:p>
    <w:sectPr w:rsidR="00622467" w:rsidRPr="00622467" w:rsidSect="00DF35ED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05B" w:rsidRDefault="00FE205B" w:rsidP="00E810A9">
      <w:r>
        <w:separator/>
      </w:r>
    </w:p>
  </w:endnote>
  <w:endnote w:type="continuationSeparator" w:id="0">
    <w:p w:rsidR="00FE205B" w:rsidRDefault="00FE205B" w:rsidP="00E81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05B" w:rsidRDefault="00FE205B" w:rsidP="00E810A9">
      <w:r>
        <w:separator/>
      </w:r>
    </w:p>
  </w:footnote>
  <w:footnote w:type="continuationSeparator" w:id="0">
    <w:p w:rsidR="00FE205B" w:rsidRDefault="00FE205B" w:rsidP="00E810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4A8"/>
    <w:rsid w:val="00036FAE"/>
    <w:rsid w:val="000A2F0D"/>
    <w:rsid w:val="00106D09"/>
    <w:rsid w:val="00123F85"/>
    <w:rsid w:val="0019504D"/>
    <w:rsid w:val="00314413"/>
    <w:rsid w:val="003D39A3"/>
    <w:rsid w:val="005A1A32"/>
    <w:rsid w:val="005B0689"/>
    <w:rsid w:val="00622467"/>
    <w:rsid w:val="00643B07"/>
    <w:rsid w:val="0073761F"/>
    <w:rsid w:val="007834A8"/>
    <w:rsid w:val="00845D8E"/>
    <w:rsid w:val="00970D86"/>
    <w:rsid w:val="009F6C30"/>
    <w:rsid w:val="00A400C9"/>
    <w:rsid w:val="00AA4F62"/>
    <w:rsid w:val="00B878E6"/>
    <w:rsid w:val="00D702F0"/>
    <w:rsid w:val="00DB1C6A"/>
    <w:rsid w:val="00DF35ED"/>
    <w:rsid w:val="00E12D38"/>
    <w:rsid w:val="00E810A9"/>
    <w:rsid w:val="00FE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41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10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10A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10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10A9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uiPriority w:val="59"/>
    <w:rsid w:val="00D702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DF35E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F35ED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41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10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10A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10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10A9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uiPriority w:val="59"/>
    <w:rsid w:val="00D702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DF35E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F35E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&#21307;&#31185;&#22823;&#23398;\&#25991;&#31456;\&#29577;&#31859;&#22303;&#22756;&#25991;&#31456;\&#25991;&#31456;1-&#29577;&#31859;&#39118;&#38505;\&#25968;&#25454;\&#36755;&#20986;&#32467;&#26524;\all-Sensitivity%20results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D:\&#21307;&#31185;&#22823;&#23398;\&#25991;&#31456;\&#29577;&#31859;&#22303;&#22756;&#25991;&#31456;\&#25991;&#31456;1-&#29577;&#31859;&#39118;&#38505;\&#25968;&#25454;\&#36755;&#20986;&#32467;&#26524;\male-r-5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D:\&#21307;&#31185;&#22823;&#23398;\&#25991;&#31456;\&#29577;&#31859;&#22303;&#22756;&#25991;&#31456;\&#25991;&#31456;1-&#29577;&#31859;&#39118;&#38505;\&#25968;&#25454;\REPORT1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D:\&#21307;&#31185;&#22823;&#23398;\&#25991;&#31456;\&#29577;&#31859;&#22303;&#22756;&#25991;&#31456;\&#25991;&#31456;1-&#29577;&#31859;&#39118;&#38505;\&#25968;&#25454;\&#36755;&#20986;&#32467;&#26524;\&#23567;&#20110;20R-5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oleObject" Target="file:///D:\&#21307;&#31185;&#22823;&#23398;\&#25991;&#31456;\&#29577;&#31859;&#22303;&#22756;&#25991;&#31456;\&#25991;&#31456;1-&#29577;&#31859;&#39118;&#38505;\&#25968;&#25454;\&#36755;&#20986;&#32467;&#26524;\20-40-R-5.xlsx" TargetMode="Externa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oleObject" Target="file:///D:\&#21307;&#31185;&#22823;&#23398;\&#25991;&#31456;\&#29577;&#31859;&#22303;&#22756;&#25991;&#31456;\&#25991;&#31456;1-&#29577;&#31859;&#39118;&#38505;\&#25968;&#25454;\40-60R-5.xlsx" TargetMode="Externa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7.xml"/><Relationship Id="rId1" Type="http://schemas.openxmlformats.org/officeDocument/2006/relationships/oleObject" Target="file:///D:\&#21307;&#31185;&#22823;&#23398;\&#25991;&#31456;\&#29577;&#31859;&#22303;&#22756;&#25991;&#31456;\&#25991;&#31456;1-&#29577;&#31859;&#39118;&#38505;\&#25968;&#25454;\&#36755;&#20986;&#32467;&#26524;\&#22823;&#20110;60R-5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altLang="en-US" sz="1000"/>
            </a:pPr>
            <a:r>
              <a:rPr lang="en-US"/>
              <a:t>R (All)</a:t>
            </a:r>
          </a:p>
        </c:rich>
      </c:tx>
      <c:layout>
        <c:manualLayout>
          <c:xMode val="edge"/>
          <c:yMode val="edge"/>
          <c:x val="0.42671096345514953"/>
          <c:y val="0.11228070175438597"/>
        </c:manualLayout>
      </c:layout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spPr>
            <a:solidFill>
              <a:schemeClr val="tx1"/>
            </a:solidFill>
            <a:ln w="12700">
              <a:solidFill>
                <a:srgbClr val="969696"/>
              </a:solidFill>
              <a:prstDash val="solid"/>
            </a:ln>
          </c:spPr>
          <c:invertIfNegative val="0"/>
          <c:cat>
            <c:numRef>
              <c:f>Report!$BG$5:$BG$55</c:f>
              <c:numCache>
                <c:formatCode>General</c:formatCode>
                <c:ptCount val="51"/>
                <c:pt idx="0" formatCode="0.00E+0">
                  <c:v>3.1247241506619724E-6</c:v>
                </c:pt>
                <c:pt idx="12" formatCode="0.00E+0">
                  <c:v>7.4992859669936884E-5</c:v>
                </c:pt>
                <c:pt idx="24" formatCode="0.00E+0">
                  <c:v>1.4686099518921179E-4</c:v>
                </c:pt>
                <c:pt idx="36" formatCode="0.00E+0">
                  <c:v>2.187291307084867E-4</c:v>
                </c:pt>
                <c:pt idx="50" formatCode="0.00E+0">
                  <c:v>3.025752888143074E-4</c:v>
                </c:pt>
              </c:numCache>
            </c:numRef>
          </c:cat>
          <c:val>
            <c:numRef>
              <c:f>Report!$BH$5:$BH$55</c:f>
              <c:numCache>
                <c:formatCode>General</c:formatCode>
                <c:ptCount val="51"/>
                <c:pt idx="2" formatCode="####0">
                  <c:v>1213</c:v>
                </c:pt>
                <c:pt idx="3" formatCode="####0">
                  <c:v>831</c:v>
                </c:pt>
                <c:pt idx="4" formatCode="####0">
                  <c:v>635</c:v>
                </c:pt>
                <c:pt idx="5" formatCode="####0">
                  <c:v>446</c:v>
                </c:pt>
                <c:pt idx="6" formatCode="####0">
                  <c:v>380</c:v>
                </c:pt>
                <c:pt idx="7" formatCode="####0">
                  <c:v>298</c:v>
                </c:pt>
                <c:pt idx="8" formatCode="####0">
                  <c:v>270</c:v>
                </c:pt>
                <c:pt idx="9" formatCode="####0">
                  <c:v>184</c:v>
                </c:pt>
                <c:pt idx="10" formatCode="####0">
                  <c:v>170</c:v>
                </c:pt>
                <c:pt idx="11" formatCode="####0">
                  <c:v>145</c:v>
                </c:pt>
                <c:pt idx="12" formatCode="####0">
                  <c:v>137</c:v>
                </c:pt>
                <c:pt idx="13" formatCode="####0">
                  <c:v>111</c:v>
                </c:pt>
                <c:pt idx="14" formatCode="####0">
                  <c:v>94</c:v>
                </c:pt>
                <c:pt idx="15" formatCode="####0">
                  <c:v>71</c:v>
                </c:pt>
                <c:pt idx="16" formatCode="####0">
                  <c:v>72</c:v>
                </c:pt>
                <c:pt idx="17" formatCode="####0">
                  <c:v>68</c:v>
                </c:pt>
                <c:pt idx="18" formatCode="####0">
                  <c:v>48</c:v>
                </c:pt>
                <c:pt idx="19" formatCode="####0">
                  <c:v>62</c:v>
                </c:pt>
                <c:pt idx="20" formatCode="####0">
                  <c:v>41</c:v>
                </c:pt>
                <c:pt idx="21" formatCode="####0">
                  <c:v>36</c:v>
                </c:pt>
                <c:pt idx="22" formatCode="####0">
                  <c:v>34</c:v>
                </c:pt>
                <c:pt idx="23" formatCode="####0">
                  <c:v>45</c:v>
                </c:pt>
                <c:pt idx="24" formatCode="####0">
                  <c:v>28</c:v>
                </c:pt>
                <c:pt idx="25" formatCode="####0">
                  <c:v>25</c:v>
                </c:pt>
                <c:pt idx="26" formatCode="####0">
                  <c:v>16</c:v>
                </c:pt>
                <c:pt idx="27" formatCode="####0">
                  <c:v>31</c:v>
                </c:pt>
                <c:pt idx="28" formatCode="####0">
                  <c:v>23</c:v>
                </c:pt>
                <c:pt idx="29" formatCode="####0">
                  <c:v>18</c:v>
                </c:pt>
                <c:pt idx="30" formatCode="####0">
                  <c:v>18</c:v>
                </c:pt>
                <c:pt idx="31" formatCode="####0">
                  <c:v>13</c:v>
                </c:pt>
                <c:pt idx="32" formatCode="####0">
                  <c:v>10</c:v>
                </c:pt>
                <c:pt idx="33" formatCode="####0">
                  <c:v>22</c:v>
                </c:pt>
                <c:pt idx="34" formatCode="####0">
                  <c:v>15</c:v>
                </c:pt>
                <c:pt idx="35" formatCode="####0">
                  <c:v>20</c:v>
                </c:pt>
                <c:pt idx="36" formatCode="####0">
                  <c:v>9</c:v>
                </c:pt>
                <c:pt idx="37" formatCode="####0">
                  <c:v>9</c:v>
                </c:pt>
                <c:pt idx="38" formatCode="####0">
                  <c:v>11</c:v>
                </c:pt>
                <c:pt idx="39" formatCode="####0">
                  <c:v>14</c:v>
                </c:pt>
                <c:pt idx="40" formatCode="####0">
                  <c:v>9</c:v>
                </c:pt>
                <c:pt idx="41" formatCode="####0">
                  <c:v>7</c:v>
                </c:pt>
                <c:pt idx="42" formatCode="####0">
                  <c:v>6</c:v>
                </c:pt>
                <c:pt idx="43" formatCode="####0">
                  <c:v>11</c:v>
                </c:pt>
                <c:pt idx="44" formatCode="####0">
                  <c:v>6</c:v>
                </c:pt>
                <c:pt idx="45" formatCode="####0">
                  <c:v>5</c:v>
                </c:pt>
                <c:pt idx="46" formatCode="####0">
                  <c:v>7</c:v>
                </c:pt>
                <c:pt idx="47" formatCode="####0">
                  <c:v>6</c:v>
                </c:pt>
                <c:pt idx="48" formatCode="####0">
                  <c:v>3</c:v>
                </c:pt>
                <c:pt idx="49" formatCode="####0">
                  <c:v>8</c:v>
                </c:pt>
                <c:pt idx="50" formatCode="####0">
                  <c:v>5</c:v>
                </c:pt>
              </c:numCache>
            </c:numRef>
          </c:val>
        </c:ser>
        <c:ser>
          <c:idx val="1"/>
          <c:order val="1"/>
          <c:spPr>
            <a:noFill/>
            <a:ln w="12700">
              <a:solidFill>
                <a:srgbClr val="969696"/>
              </a:solidFill>
              <a:prstDash val="solid"/>
            </a:ln>
          </c:spPr>
          <c:invertIfNegative val="0"/>
          <c:cat>
            <c:numRef>
              <c:f>Report!$BG$5:$BG$55</c:f>
              <c:numCache>
                <c:formatCode>General</c:formatCode>
                <c:ptCount val="51"/>
                <c:pt idx="0" formatCode="0.00E+0">
                  <c:v>3.1247241506619724E-6</c:v>
                </c:pt>
                <c:pt idx="12" formatCode="0.00E+0">
                  <c:v>7.4992859669936884E-5</c:v>
                </c:pt>
                <c:pt idx="24" formatCode="0.00E+0">
                  <c:v>1.4686099518921179E-4</c:v>
                </c:pt>
                <c:pt idx="36" formatCode="0.00E+0">
                  <c:v>2.187291307084867E-4</c:v>
                </c:pt>
                <c:pt idx="50" formatCode="0.00E+0">
                  <c:v>3.025752888143074E-4</c:v>
                </c:pt>
              </c:numCache>
            </c:numRef>
          </c:cat>
          <c:val>
            <c:numRef>
              <c:f>Report!$BI$5:$BI$55</c:f>
              <c:numCache>
                <c:formatCode>####0</c:formatCode>
                <c:ptCount val="51"/>
                <c:pt idx="0">
                  <c:v>2321</c:v>
                </c:pt>
                <c:pt idx="1">
                  <c:v>1810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100"/>
        <c:axId val="370103808"/>
        <c:axId val="370105344"/>
      </c:barChart>
      <c:catAx>
        <c:axId val="370103808"/>
        <c:scaling>
          <c:orientation val="minMax"/>
        </c:scaling>
        <c:delete val="0"/>
        <c:axPos val="b"/>
        <c:numFmt formatCode="0.00E+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zh-CN"/>
          </a:p>
        </c:txPr>
        <c:crossAx val="370105344"/>
        <c:crosses val="autoZero"/>
        <c:auto val="1"/>
        <c:lblAlgn val="ctr"/>
        <c:lblOffset val="100"/>
        <c:tickLblSkip val="1"/>
        <c:tickMarkSkip val="5"/>
        <c:noMultiLvlLbl val="0"/>
      </c:catAx>
      <c:valAx>
        <c:axId val="370105344"/>
        <c:scaling>
          <c:orientation val="minMax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altLang="en-US" sz="800"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zh-CN"/>
          </a:p>
        </c:txPr>
        <c:crossAx val="370103808"/>
        <c:crosses val="autoZero"/>
        <c:crossBetween val="between"/>
      </c:valAx>
      <c:spPr>
        <a:solidFill>
          <a:srgbClr val="FFFFFF"/>
        </a:solidFill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altLang="en-US" sz="1000"/>
            </a:pPr>
            <a:r>
              <a:rPr lang="en-US"/>
              <a:t>R (</a:t>
            </a:r>
            <a:r>
              <a:rPr lang="en-US" altLang="zh-CN"/>
              <a:t>Male)</a:t>
            </a:r>
            <a:endParaRPr lang="en-US"/>
          </a:p>
        </c:rich>
      </c:tx>
      <c:layout>
        <c:manualLayout>
          <c:xMode val="edge"/>
          <c:yMode val="edge"/>
          <c:x val="0.41280528052805282"/>
          <c:y val="0.10471204188481675"/>
        </c:manualLayout>
      </c:layout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spPr>
            <a:solidFill>
              <a:schemeClr val="tx1"/>
            </a:solidFill>
            <a:ln w="12700">
              <a:solidFill>
                <a:srgbClr val="969696"/>
              </a:solidFill>
              <a:prstDash val="solid"/>
            </a:ln>
          </c:spPr>
          <c:invertIfNegative val="0"/>
          <c:cat>
            <c:numRef>
              <c:f>Report!$BG$5:$BG$55</c:f>
              <c:numCache>
                <c:formatCode>General</c:formatCode>
                <c:ptCount val="51"/>
                <c:pt idx="0" formatCode="0.00E+0">
                  <c:v>1.8027569856964907E-6</c:v>
                </c:pt>
                <c:pt idx="12" formatCode="0.00E+0">
                  <c:v>4.2366411636114755E-5</c:v>
                </c:pt>
                <c:pt idx="24" formatCode="0.00E+0">
                  <c:v>8.2930066286533019E-5</c:v>
                </c:pt>
                <c:pt idx="36" formatCode="0.00E+0">
                  <c:v>1.234937209369513E-4</c:v>
                </c:pt>
                <c:pt idx="50" formatCode="0.00E+0">
                  <c:v>1.7081798469577259E-4</c:v>
                </c:pt>
              </c:numCache>
            </c:numRef>
          </c:cat>
          <c:val>
            <c:numRef>
              <c:f>Report!$BH$5:$BH$55</c:f>
              <c:numCache>
                <c:formatCode>General</c:formatCode>
                <c:ptCount val="51"/>
                <c:pt idx="3" formatCode="####0">
                  <c:v>862</c:v>
                </c:pt>
                <c:pt idx="4" formatCode="####0">
                  <c:v>683</c:v>
                </c:pt>
                <c:pt idx="5" formatCode="####0">
                  <c:v>605</c:v>
                </c:pt>
                <c:pt idx="6" formatCode="####0">
                  <c:v>430</c:v>
                </c:pt>
                <c:pt idx="7" formatCode="####0">
                  <c:v>369</c:v>
                </c:pt>
                <c:pt idx="8" formatCode="####0">
                  <c:v>349</c:v>
                </c:pt>
                <c:pt idx="9" formatCode="####0">
                  <c:v>241</c:v>
                </c:pt>
                <c:pt idx="10" formatCode="####0">
                  <c:v>220</c:v>
                </c:pt>
                <c:pt idx="11" formatCode="####0">
                  <c:v>180</c:v>
                </c:pt>
                <c:pt idx="12" formatCode="####0">
                  <c:v>142</c:v>
                </c:pt>
                <c:pt idx="13" formatCode="####0">
                  <c:v>162</c:v>
                </c:pt>
                <c:pt idx="14" formatCode="####0">
                  <c:v>115</c:v>
                </c:pt>
                <c:pt idx="15" formatCode="####0">
                  <c:v>119</c:v>
                </c:pt>
                <c:pt idx="16" formatCode="####0">
                  <c:v>104</c:v>
                </c:pt>
                <c:pt idx="17" formatCode="####0">
                  <c:v>98</c:v>
                </c:pt>
                <c:pt idx="18" formatCode="####0">
                  <c:v>87</c:v>
                </c:pt>
                <c:pt idx="19" formatCode="####0">
                  <c:v>53</c:v>
                </c:pt>
                <c:pt idx="20" formatCode="####0">
                  <c:v>53</c:v>
                </c:pt>
                <c:pt idx="21" formatCode="####0">
                  <c:v>57</c:v>
                </c:pt>
                <c:pt idx="22" formatCode="####0">
                  <c:v>52</c:v>
                </c:pt>
                <c:pt idx="23" formatCode="####0">
                  <c:v>47</c:v>
                </c:pt>
                <c:pt idx="24" formatCode="####0">
                  <c:v>37</c:v>
                </c:pt>
                <c:pt idx="25" formatCode="####0">
                  <c:v>47</c:v>
                </c:pt>
                <c:pt idx="26" formatCode="####0">
                  <c:v>37</c:v>
                </c:pt>
                <c:pt idx="27" formatCode="####0">
                  <c:v>31</c:v>
                </c:pt>
                <c:pt idx="28" formatCode="####0">
                  <c:v>29</c:v>
                </c:pt>
                <c:pt idx="29" formatCode="####0">
                  <c:v>31</c:v>
                </c:pt>
                <c:pt idx="30" formatCode="####0">
                  <c:v>25</c:v>
                </c:pt>
                <c:pt idx="31" formatCode="####0">
                  <c:v>26</c:v>
                </c:pt>
                <c:pt idx="32" formatCode="####0">
                  <c:v>28</c:v>
                </c:pt>
                <c:pt idx="33" formatCode="####0">
                  <c:v>23</c:v>
                </c:pt>
                <c:pt idx="34" formatCode="####0">
                  <c:v>16</c:v>
                </c:pt>
                <c:pt idx="35" formatCode="####0">
                  <c:v>23</c:v>
                </c:pt>
                <c:pt idx="36" formatCode="####0">
                  <c:v>14</c:v>
                </c:pt>
                <c:pt idx="37" formatCode="####0">
                  <c:v>22</c:v>
                </c:pt>
                <c:pt idx="38" formatCode="####0">
                  <c:v>14</c:v>
                </c:pt>
                <c:pt idx="39" formatCode="####0">
                  <c:v>11</c:v>
                </c:pt>
                <c:pt idx="40" formatCode="####0">
                  <c:v>19</c:v>
                </c:pt>
                <c:pt idx="41" formatCode="####0">
                  <c:v>14</c:v>
                </c:pt>
                <c:pt idx="42" formatCode="####0">
                  <c:v>13</c:v>
                </c:pt>
                <c:pt idx="43" formatCode="####0">
                  <c:v>11</c:v>
                </c:pt>
                <c:pt idx="44" formatCode="####0">
                  <c:v>8</c:v>
                </c:pt>
                <c:pt idx="45" formatCode="####0">
                  <c:v>7</c:v>
                </c:pt>
                <c:pt idx="46" formatCode="####0">
                  <c:v>8</c:v>
                </c:pt>
                <c:pt idx="47" formatCode="####0">
                  <c:v>11</c:v>
                </c:pt>
                <c:pt idx="48" formatCode="####0">
                  <c:v>6</c:v>
                </c:pt>
                <c:pt idx="49" formatCode="####0">
                  <c:v>7</c:v>
                </c:pt>
                <c:pt idx="50" formatCode="####0">
                  <c:v>6</c:v>
                </c:pt>
              </c:numCache>
            </c:numRef>
          </c:val>
        </c:ser>
        <c:ser>
          <c:idx val="1"/>
          <c:order val="1"/>
          <c:spPr>
            <a:noFill/>
            <a:ln w="12700">
              <a:solidFill>
                <a:srgbClr val="969696"/>
              </a:solidFill>
              <a:prstDash val="solid"/>
            </a:ln>
          </c:spPr>
          <c:invertIfNegative val="0"/>
          <c:cat>
            <c:numRef>
              <c:f>Report!$BG$5:$BG$55</c:f>
              <c:numCache>
                <c:formatCode>General</c:formatCode>
                <c:ptCount val="51"/>
                <c:pt idx="0" formatCode="0.00E+0">
                  <c:v>1.8027569856964907E-6</c:v>
                </c:pt>
                <c:pt idx="12" formatCode="0.00E+0">
                  <c:v>4.2366411636114755E-5</c:v>
                </c:pt>
                <c:pt idx="24" formatCode="0.00E+0">
                  <c:v>8.2930066286533019E-5</c:v>
                </c:pt>
                <c:pt idx="36" formatCode="0.00E+0">
                  <c:v>1.234937209369513E-4</c:v>
                </c:pt>
                <c:pt idx="50" formatCode="0.00E+0">
                  <c:v>1.7081798469577259E-4</c:v>
                </c:pt>
              </c:numCache>
            </c:numRef>
          </c:cat>
          <c:val>
            <c:numRef>
              <c:f>Report!$BI$5:$BI$55</c:f>
              <c:numCache>
                <c:formatCode>####0</c:formatCode>
                <c:ptCount val="51"/>
                <c:pt idx="0">
                  <c:v>1527</c:v>
                </c:pt>
                <c:pt idx="1">
                  <c:v>1544</c:v>
                </c:pt>
                <c:pt idx="2">
                  <c:v>1186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100"/>
        <c:axId val="370176384"/>
        <c:axId val="370177920"/>
      </c:barChart>
      <c:catAx>
        <c:axId val="370176384"/>
        <c:scaling>
          <c:orientation val="minMax"/>
        </c:scaling>
        <c:delete val="0"/>
        <c:axPos val="b"/>
        <c:numFmt formatCode="0.00E+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zh-CN"/>
          </a:p>
        </c:txPr>
        <c:crossAx val="370177920"/>
        <c:crosses val="autoZero"/>
        <c:auto val="1"/>
        <c:lblAlgn val="ctr"/>
        <c:lblOffset val="100"/>
        <c:tickLblSkip val="1"/>
        <c:tickMarkSkip val="5"/>
        <c:noMultiLvlLbl val="0"/>
      </c:catAx>
      <c:valAx>
        <c:axId val="370177920"/>
        <c:scaling>
          <c:orientation val="minMax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altLang="en-US" sz="800"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zh-CN"/>
          </a:p>
        </c:txPr>
        <c:crossAx val="370176384"/>
        <c:crosses val="autoZero"/>
        <c:crossBetween val="between"/>
      </c:valAx>
      <c:spPr>
        <a:solidFill>
          <a:srgbClr val="FFFFFF"/>
        </a:solidFill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altLang="en-US" sz="1000"/>
            </a:pPr>
            <a:r>
              <a:rPr lang="en-US"/>
              <a:t>R</a:t>
            </a:r>
            <a:r>
              <a:rPr lang="en-US" baseline="0"/>
              <a:t> (Female)</a:t>
            </a:r>
            <a:endParaRPr lang="en-US"/>
          </a:p>
        </c:rich>
      </c:tx>
      <c:layout>
        <c:manualLayout>
          <c:xMode val="edge"/>
          <c:yMode val="edge"/>
          <c:x val="0.38931767192467276"/>
          <c:y val="9.8245614035087719E-2"/>
        </c:manualLayout>
      </c:layout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spPr>
            <a:solidFill>
              <a:schemeClr val="tx1"/>
            </a:solidFill>
            <a:ln w="12700">
              <a:solidFill>
                <a:srgbClr val="969696"/>
              </a:solidFill>
              <a:prstDash val="solid"/>
            </a:ln>
          </c:spPr>
          <c:invertIfNegative val="0"/>
          <c:cat>
            <c:numRef>
              <c:f>Report!$BG$5:$BG$55</c:f>
              <c:numCache>
                <c:formatCode>General</c:formatCode>
                <c:ptCount val="51"/>
                <c:pt idx="0" formatCode="0.00E+0">
                  <c:v>3.1627392073714928E-6</c:v>
                </c:pt>
                <c:pt idx="12" formatCode="0.00E+0">
                  <c:v>7.6711937891975188E-5</c:v>
                </c:pt>
                <c:pt idx="24" formatCode="0.00E+0">
                  <c:v>1.5026113657657888E-4</c:v>
                </c:pt>
                <c:pt idx="36" formatCode="0.00E+0">
                  <c:v>2.2381033526118257E-4</c:v>
                </c:pt>
                <c:pt idx="50" formatCode="0.00E+0">
                  <c:v>3.0961773372655357E-4</c:v>
                </c:pt>
              </c:numCache>
            </c:numRef>
          </c:cat>
          <c:val>
            <c:numRef>
              <c:f>Report!$BH$5:$BH$55</c:f>
              <c:numCache>
                <c:formatCode>General</c:formatCode>
                <c:ptCount val="51"/>
                <c:pt idx="2" formatCode="####0">
                  <c:v>1176</c:v>
                </c:pt>
                <c:pt idx="3" formatCode="####0">
                  <c:v>838</c:v>
                </c:pt>
                <c:pt idx="4" formatCode="####0">
                  <c:v>659</c:v>
                </c:pt>
                <c:pt idx="5" formatCode="####0">
                  <c:v>526</c:v>
                </c:pt>
                <c:pt idx="6" formatCode="####0">
                  <c:v>424</c:v>
                </c:pt>
                <c:pt idx="7" formatCode="####0">
                  <c:v>286</c:v>
                </c:pt>
                <c:pt idx="8" formatCode="####0">
                  <c:v>249</c:v>
                </c:pt>
                <c:pt idx="9" formatCode="####0">
                  <c:v>212</c:v>
                </c:pt>
                <c:pt idx="10" formatCode="####0">
                  <c:v>191</c:v>
                </c:pt>
                <c:pt idx="11" formatCode="####0">
                  <c:v>160</c:v>
                </c:pt>
                <c:pt idx="12" formatCode="####0">
                  <c:v>139</c:v>
                </c:pt>
                <c:pt idx="13" formatCode="####0">
                  <c:v>102</c:v>
                </c:pt>
                <c:pt idx="14" formatCode="####0">
                  <c:v>110</c:v>
                </c:pt>
                <c:pt idx="15" formatCode="####0">
                  <c:v>88</c:v>
                </c:pt>
                <c:pt idx="16" formatCode="####0">
                  <c:v>79</c:v>
                </c:pt>
                <c:pt idx="17" formatCode="####0">
                  <c:v>58</c:v>
                </c:pt>
                <c:pt idx="18" formatCode="####0">
                  <c:v>57</c:v>
                </c:pt>
                <c:pt idx="19" formatCode="####0">
                  <c:v>65</c:v>
                </c:pt>
                <c:pt idx="20" formatCode="####0">
                  <c:v>65</c:v>
                </c:pt>
                <c:pt idx="21" formatCode="####0">
                  <c:v>53</c:v>
                </c:pt>
                <c:pt idx="22" formatCode="####0">
                  <c:v>44</c:v>
                </c:pt>
                <c:pt idx="23" formatCode="####0">
                  <c:v>29</c:v>
                </c:pt>
                <c:pt idx="24" formatCode="####0">
                  <c:v>24</c:v>
                </c:pt>
                <c:pt idx="25" formatCode="####0">
                  <c:v>35</c:v>
                </c:pt>
                <c:pt idx="26" formatCode="####0">
                  <c:v>21</c:v>
                </c:pt>
                <c:pt idx="27" formatCode="####0">
                  <c:v>23</c:v>
                </c:pt>
                <c:pt idx="28" formatCode="####0">
                  <c:v>30</c:v>
                </c:pt>
                <c:pt idx="29" formatCode="####0">
                  <c:v>24</c:v>
                </c:pt>
                <c:pt idx="30" formatCode="####0">
                  <c:v>27</c:v>
                </c:pt>
                <c:pt idx="31" formatCode="####0">
                  <c:v>15</c:v>
                </c:pt>
                <c:pt idx="32" formatCode="####0">
                  <c:v>20</c:v>
                </c:pt>
                <c:pt idx="33" formatCode="####0">
                  <c:v>18</c:v>
                </c:pt>
                <c:pt idx="34" formatCode="####0">
                  <c:v>10</c:v>
                </c:pt>
                <c:pt idx="35" formatCode="####0">
                  <c:v>12</c:v>
                </c:pt>
                <c:pt idx="36" formatCode="####0">
                  <c:v>11</c:v>
                </c:pt>
                <c:pt idx="37" formatCode="####0">
                  <c:v>11</c:v>
                </c:pt>
                <c:pt idx="38" formatCode="####0">
                  <c:v>20</c:v>
                </c:pt>
                <c:pt idx="39" formatCode="####0">
                  <c:v>12</c:v>
                </c:pt>
                <c:pt idx="40" formatCode="####0">
                  <c:v>10</c:v>
                </c:pt>
                <c:pt idx="41" formatCode="####0">
                  <c:v>6</c:v>
                </c:pt>
                <c:pt idx="42" formatCode="####0">
                  <c:v>11</c:v>
                </c:pt>
                <c:pt idx="43" formatCode="####0">
                  <c:v>10</c:v>
                </c:pt>
                <c:pt idx="44" formatCode="####0">
                  <c:v>10</c:v>
                </c:pt>
                <c:pt idx="45" formatCode="####0">
                  <c:v>7</c:v>
                </c:pt>
                <c:pt idx="46" formatCode="####0">
                  <c:v>4</c:v>
                </c:pt>
                <c:pt idx="47" formatCode="####0">
                  <c:v>11</c:v>
                </c:pt>
                <c:pt idx="48" formatCode="####0">
                  <c:v>18</c:v>
                </c:pt>
                <c:pt idx="49" formatCode="####0">
                  <c:v>6</c:v>
                </c:pt>
                <c:pt idx="50" formatCode="####0">
                  <c:v>8</c:v>
                </c:pt>
              </c:numCache>
            </c:numRef>
          </c:val>
        </c:ser>
        <c:ser>
          <c:idx val="1"/>
          <c:order val="1"/>
          <c:spPr>
            <a:noFill/>
            <a:ln w="12700">
              <a:solidFill>
                <a:srgbClr val="969696"/>
              </a:solidFill>
              <a:prstDash val="solid"/>
            </a:ln>
          </c:spPr>
          <c:invertIfNegative val="0"/>
          <c:cat>
            <c:numRef>
              <c:f>Report!$BG$5:$BG$55</c:f>
              <c:numCache>
                <c:formatCode>General</c:formatCode>
                <c:ptCount val="51"/>
                <c:pt idx="0" formatCode="0.00E+0">
                  <c:v>3.1627392073714928E-6</c:v>
                </c:pt>
                <c:pt idx="12" formatCode="0.00E+0">
                  <c:v>7.6711937891975188E-5</c:v>
                </c:pt>
                <c:pt idx="24" formatCode="0.00E+0">
                  <c:v>1.5026113657657888E-4</c:v>
                </c:pt>
                <c:pt idx="36" formatCode="0.00E+0">
                  <c:v>2.2381033526118257E-4</c:v>
                </c:pt>
                <c:pt idx="50" formatCode="0.00E+0">
                  <c:v>3.0961773372655357E-4</c:v>
                </c:pt>
              </c:numCache>
            </c:numRef>
          </c:cat>
          <c:val>
            <c:numRef>
              <c:f>Report!$BI$5:$BI$55</c:f>
              <c:numCache>
                <c:formatCode>####0</c:formatCode>
                <c:ptCount val="51"/>
                <c:pt idx="0">
                  <c:v>2033</c:v>
                </c:pt>
                <c:pt idx="1">
                  <c:v>1783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100"/>
        <c:axId val="370215936"/>
        <c:axId val="370225920"/>
      </c:barChart>
      <c:catAx>
        <c:axId val="370215936"/>
        <c:scaling>
          <c:orientation val="minMax"/>
        </c:scaling>
        <c:delete val="0"/>
        <c:axPos val="b"/>
        <c:numFmt formatCode="0.00E+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zh-CN"/>
          </a:p>
        </c:txPr>
        <c:crossAx val="370225920"/>
        <c:crosses val="autoZero"/>
        <c:auto val="1"/>
        <c:lblAlgn val="ctr"/>
        <c:lblOffset val="100"/>
        <c:tickLblSkip val="1"/>
        <c:tickMarkSkip val="5"/>
        <c:noMultiLvlLbl val="0"/>
      </c:catAx>
      <c:valAx>
        <c:axId val="370225920"/>
        <c:scaling>
          <c:orientation val="minMax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altLang="en-US" sz="800"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zh-CN"/>
          </a:p>
        </c:txPr>
        <c:crossAx val="370215936"/>
        <c:crosses val="autoZero"/>
        <c:crossBetween val="between"/>
      </c:valAx>
      <c:spPr>
        <a:solidFill>
          <a:srgbClr val="FFFFFF"/>
        </a:solidFill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altLang="en-US" sz="1000"/>
            </a:pPr>
            <a:r>
              <a:rPr lang="en-US"/>
              <a:t>R (&lt;20)</a:t>
            </a:r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spPr>
            <a:solidFill>
              <a:schemeClr val="tx1"/>
            </a:solidFill>
            <a:ln w="12700">
              <a:solidFill>
                <a:srgbClr val="969696"/>
              </a:solidFill>
              <a:prstDash val="solid"/>
            </a:ln>
          </c:spPr>
          <c:invertIfNegative val="0"/>
          <c:cat>
            <c:numRef>
              <c:f>Report!$BG$5:$BG$55</c:f>
              <c:numCache>
                <c:formatCode>General</c:formatCode>
                <c:ptCount val="51"/>
                <c:pt idx="0" formatCode="0.00E+0">
                  <c:v>4.4981666315390782E-6</c:v>
                </c:pt>
                <c:pt idx="12" formatCode="0.00E+0">
                  <c:v>1.0814576372833624E-4</c:v>
                </c:pt>
                <c:pt idx="24" formatCode="0.00E+0">
                  <c:v>2.1179336082513341E-4</c:v>
                </c:pt>
                <c:pt idx="36" formatCode="0.00E+0">
                  <c:v>3.1544095792193058E-4</c:v>
                </c:pt>
                <c:pt idx="50" formatCode="0.00E+0">
                  <c:v>4.363631545348606E-4</c:v>
                </c:pt>
              </c:numCache>
            </c:numRef>
          </c:cat>
          <c:val>
            <c:numRef>
              <c:f>Report!$BH$5:$BH$55</c:f>
              <c:numCache>
                <c:formatCode>####0</c:formatCode>
                <c:ptCount val="51"/>
                <c:pt idx="1">
                  <c:v>1688</c:v>
                </c:pt>
                <c:pt idx="2">
                  <c:v>1158</c:v>
                </c:pt>
                <c:pt idx="3">
                  <c:v>814</c:v>
                </c:pt>
                <c:pt idx="4">
                  <c:v>632</c:v>
                </c:pt>
                <c:pt idx="5">
                  <c:v>481</c:v>
                </c:pt>
                <c:pt idx="6">
                  <c:v>364</c:v>
                </c:pt>
                <c:pt idx="7">
                  <c:v>306</c:v>
                </c:pt>
                <c:pt idx="8">
                  <c:v>240</c:v>
                </c:pt>
                <c:pt idx="9">
                  <c:v>212</c:v>
                </c:pt>
                <c:pt idx="10">
                  <c:v>170</c:v>
                </c:pt>
                <c:pt idx="11">
                  <c:v>132</c:v>
                </c:pt>
                <c:pt idx="12">
                  <c:v>114</c:v>
                </c:pt>
                <c:pt idx="13">
                  <c:v>92</c:v>
                </c:pt>
                <c:pt idx="14">
                  <c:v>87</c:v>
                </c:pt>
                <c:pt idx="15">
                  <c:v>84</c:v>
                </c:pt>
                <c:pt idx="16">
                  <c:v>96</c:v>
                </c:pt>
                <c:pt idx="17">
                  <c:v>58</c:v>
                </c:pt>
                <c:pt idx="18">
                  <c:v>59</c:v>
                </c:pt>
                <c:pt idx="19">
                  <c:v>55</c:v>
                </c:pt>
                <c:pt idx="20">
                  <c:v>65</c:v>
                </c:pt>
                <c:pt idx="21">
                  <c:v>45</c:v>
                </c:pt>
                <c:pt idx="22">
                  <c:v>35</c:v>
                </c:pt>
                <c:pt idx="23">
                  <c:v>38</c:v>
                </c:pt>
                <c:pt idx="24">
                  <c:v>33</c:v>
                </c:pt>
                <c:pt idx="25">
                  <c:v>25</c:v>
                </c:pt>
                <c:pt idx="26">
                  <c:v>31</c:v>
                </c:pt>
                <c:pt idx="27">
                  <c:v>26</c:v>
                </c:pt>
                <c:pt idx="28">
                  <c:v>15</c:v>
                </c:pt>
                <c:pt idx="29">
                  <c:v>25</c:v>
                </c:pt>
                <c:pt idx="30">
                  <c:v>17</c:v>
                </c:pt>
                <c:pt idx="31">
                  <c:v>19</c:v>
                </c:pt>
                <c:pt idx="32">
                  <c:v>17</c:v>
                </c:pt>
                <c:pt idx="33">
                  <c:v>19</c:v>
                </c:pt>
                <c:pt idx="34">
                  <c:v>16</c:v>
                </c:pt>
                <c:pt idx="35">
                  <c:v>17</c:v>
                </c:pt>
                <c:pt idx="36">
                  <c:v>17</c:v>
                </c:pt>
                <c:pt idx="37">
                  <c:v>11</c:v>
                </c:pt>
                <c:pt idx="38">
                  <c:v>12</c:v>
                </c:pt>
                <c:pt idx="39">
                  <c:v>12</c:v>
                </c:pt>
                <c:pt idx="40">
                  <c:v>23</c:v>
                </c:pt>
                <c:pt idx="41">
                  <c:v>8</c:v>
                </c:pt>
                <c:pt idx="42">
                  <c:v>12</c:v>
                </c:pt>
                <c:pt idx="43">
                  <c:v>6</c:v>
                </c:pt>
                <c:pt idx="44">
                  <c:v>12</c:v>
                </c:pt>
                <c:pt idx="45">
                  <c:v>12</c:v>
                </c:pt>
                <c:pt idx="46">
                  <c:v>11</c:v>
                </c:pt>
                <c:pt idx="47">
                  <c:v>10</c:v>
                </c:pt>
                <c:pt idx="48">
                  <c:v>13</c:v>
                </c:pt>
                <c:pt idx="49">
                  <c:v>4</c:v>
                </c:pt>
                <c:pt idx="50">
                  <c:v>8</c:v>
                </c:pt>
              </c:numCache>
            </c:numRef>
          </c:val>
        </c:ser>
        <c:ser>
          <c:idx val="1"/>
          <c:order val="1"/>
          <c:spPr>
            <a:noFill/>
            <a:ln w="12700">
              <a:solidFill>
                <a:srgbClr val="969696"/>
              </a:solidFill>
              <a:prstDash val="solid"/>
            </a:ln>
          </c:spPr>
          <c:invertIfNegative val="0"/>
          <c:cat>
            <c:numRef>
              <c:f>Report!$BG$5:$BG$55</c:f>
              <c:numCache>
                <c:formatCode>General</c:formatCode>
                <c:ptCount val="51"/>
                <c:pt idx="0" formatCode="0.00E+0">
                  <c:v>4.4981666315390782E-6</c:v>
                </c:pt>
                <c:pt idx="12" formatCode="0.00E+0">
                  <c:v>1.0814576372833624E-4</c:v>
                </c:pt>
                <c:pt idx="24" formatCode="0.00E+0">
                  <c:v>2.1179336082513341E-4</c:v>
                </c:pt>
                <c:pt idx="36" formatCode="0.00E+0">
                  <c:v>3.1544095792193058E-4</c:v>
                </c:pt>
                <c:pt idx="50" formatCode="0.00E+0">
                  <c:v>4.363631545348606E-4</c:v>
                </c:pt>
              </c:numCache>
            </c:numRef>
          </c:cat>
          <c:val>
            <c:numRef>
              <c:f>Report!$BI$5:$BI$55</c:f>
              <c:numCache>
                <c:formatCode>General</c:formatCode>
                <c:ptCount val="51"/>
                <c:pt idx="0" formatCode="####0">
                  <c:v>2371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100"/>
        <c:axId val="370247552"/>
        <c:axId val="370249088"/>
      </c:barChart>
      <c:catAx>
        <c:axId val="370247552"/>
        <c:scaling>
          <c:orientation val="minMax"/>
        </c:scaling>
        <c:delete val="0"/>
        <c:axPos val="b"/>
        <c:numFmt formatCode="0.00E+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zh-CN"/>
          </a:p>
        </c:txPr>
        <c:crossAx val="370249088"/>
        <c:crosses val="autoZero"/>
        <c:auto val="1"/>
        <c:lblAlgn val="ctr"/>
        <c:lblOffset val="100"/>
        <c:tickLblSkip val="1"/>
        <c:tickMarkSkip val="5"/>
        <c:noMultiLvlLbl val="0"/>
      </c:catAx>
      <c:valAx>
        <c:axId val="370249088"/>
        <c:scaling>
          <c:orientation val="minMax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altLang="en-US" sz="800"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####0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zh-CN"/>
          </a:p>
        </c:txPr>
        <c:crossAx val="370247552"/>
        <c:crosses val="autoZero"/>
        <c:crossBetween val="between"/>
      </c:valAx>
      <c:spPr>
        <a:solidFill>
          <a:srgbClr val="FFFFFF"/>
        </a:solidFill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altLang="en-US" sz="1000"/>
            </a:pPr>
            <a:r>
              <a:rPr lang="en-US"/>
              <a:t>R (20-40)</a:t>
            </a:r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spPr>
            <a:solidFill>
              <a:schemeClr val="tx1"/>
            </a:solidFill>
            <a:ln w="12700">
              <a:solidFill>
                <a:srgbClr val="969696"/>
              </a:solidFill>
              <a:prstDash val="solid"/>
            </a:ln>
          </c:spPr>
          <c:invertIfNegative val="0"/>
          <c:cat>
            <c:numRef>
              <c:f>Report!$BG$5:$BG$55</c:f>
              <c:numCache>
                <c:formatCode>General</c:formatCode>
                <c:ptCount val="51"/>
                <c:pt idx="0" formatCode="0.00E+0">
                  <c:v>1.9608740147821618E-6</c:v>
                </c:pt>
                <c:pt idx="12" formatCode="0.00E+0">
                  <c:v>4.4533193626097146E-5</c:v>
                </c:pt>
                <c:pt idx="24" formatCode="0.00E+0">
                  <c:v>8.7105513237412124E-5</c:v>
                </c:pt>
                <c:pt idx="36" formatCode="0.00E+0">
                  <c:v>1.296778328487271E-4</c:v>
                </c:pt>
                <c:pt idx="50" formatCode="0.00E+0">
                  <c:v>1.7934553906192791E-4</c:v>
                </c:pt>
              </c:numCache>
            </c:numRef>
          </c:cat>
          <c:val>
            <c:numRef>
              <c:f>Report!$BH$5:$BH$55</c:f>
              <c:numCache>
                <c:formatCode>General</c:formatCode>
                <c:ptCount val="51"/>
                <c:pt idx="3" formatCode="####0">
                  <c:v>952</c:v>
                </c:pt>
                <c:pt idx="4" formatCode="####0">
                  <c:v>733</c:v>
                </c:pt>
                <c:pt idx="5" formatCode="####0">
                  <c:v>565</c:v>
                </c:pt>
                <c:pt idx="6" formatCode="####0">
                  <c:v>442</c:v>
                </c:pt>
                <c:pt idx="7" formatCode="####0">
                  <c:v>403</c:v>
                </c:pt>
                <c:pt idx="8" formatCode="####0">
                  <c:v>338</c:v>
                </c:pt>
                <c:pt idx="9" formatCode="####0">
                  <c:v>276</c:v>
                </c:pt>
                <c:pt idx="10" formatCode="####0">
                  <c:v>230</c:v>
                </c:pt>
                <c:pt idx="11" formatCode="####0">
                  <c:v>232</c:v>
                </c:pt>
                <c:pt idx="12" formatCode="####0">
                  <c:v>171</c:v>
                </c:pt>
                <c:pt idx="13" formatCode="####0">
                  <c:v>152</c:v>
                </c:pt>
                <c:pt idx="14" formatCode="####0">
                  <c:v>153</c:v>
                </c:pt>
                <c:pt idx="15" formatCode="####0">
                  <c:v>100</c:v>
                </c:pt>
                <c:pt idx="16" formatCode="####0">
                  <c:v>112</c:v>
                </c:pt>
                <c:pt idx="17" formatCode="####0">
                  <c:v>85</c:v>
                </c:pt>
                <c:pt idx="18" formatCode="####0">
                  <c:v>80</c:v>
                </c:pt>
                <c:pt idx="19" formatCode="####0">
                  <c:v>70</c:v>
                </c:pt>
                <c:pt idx="20" formatCode="####0">
                  <c:v>66</c:v>
                </c:pt>
                <c:pt idx="21" formatCode="####0">
                  <c:v>59</c:v>
                </c:pt>
                <c:pt idx="22" formatCode="####0">
                  <c:v>59</c:v>
                </c:pt>
                <c:pt idx="23" formatCode="####0">
                  <c:v>50</c:v>
                </c:pt>
                <c:pt idx="24" formatCode="####0">
                  <c:v>50</c:v>
                </c:pt>
                <c:pt idx="25" formatCode="####0">
                  <c:v>57</c:v>
                </c:pt>
                <c:pt idx="26" formatCode="####0">
                  <c:v>31</c:v>
                </c:pt>
                <c:pt idx="27" formatCode="####0">
                  <c:v>40</c:v>
                </c:pt>
                <c:pt idx="28" formatCode="####0">
                  <c:v>31</c:v>
                </c:pt>
                <c:pt idx="29" formatCode="####0">
                  <c:v>33</c:v>
                </c:pt>
                <c:pt idx="30" formatCode="####0">
                  <c:v>30</c:v>
                </c:pt>
                <c:pt idx="31" formatCode="####0">
                  <c:v>16</c:v>
                </c:pt>
                <c:pt idx="32" formatCode="####0">
                  <c:v>21</c:v>
                </c:pt>
                <c:pt idx="33" formatCode="####0">
                  <c:v>18</c:v>
                </c:pt>
                <c:pt idx="34" formatCode="####0">
                  <c:v>23</c:v>
                </c:pt>
                <c:pt idx="35" formatCode="####0">
                  <c:v>22</c:v>
                </c:pt>
                <c:pt idx="36" formatCode="####0">
                  <c:v>16</c:v>
                </c:pt>
                <c:pt idx="37" formatCode="####0">
                  <c:v>16</c:v>
                </c:pt>
                <c:pt idx="38" formatCode="####0">
                  <c:v>17</c:v>
                </c:pt>
                <c:pt idx="39" formatCode="####0">
                  <c:v>16</c:v>
                </c:pt>
                <c:pt idx="40" formatCode="####0">
                  <c:v>15</c:v>
                </c:pt>
                <c:pt idx="41" formatCode="####0">
                  <c:v>15</c:v>
                </c:pt>
                <c:pt idx="42" formatCode="####0">
                  <c:v>11</c:v>
                </c:pt>
                <c:pt idx="43" formatCode="####0">
                  <c:v>16</c:v>
                </c:pt>
                <c:pt idx="44" formatCode="####0">
                  <c:v>10</c:v>
                </c:pt>
                <c:pt idx="45" formatCode="####0">
                  <c:v>8</c:v>
                </c:pt>
                <c:pt idx="46" formatCode="####0">
                  <c:v>12</c:v>
                </c:pt>
                <c:pt idx="47" formatCode="####0">
                  <c:v>8</c:v>
                </c:pt>
                <c:pt idx="48" formatCode="####0">
                  <c:v>11</c:v>
                </c:pt>
                <c:pt idx="49" formatCode="####0">
                  <c:v>14</c:v>
                </c:pt>
                <c:pt idx="50" formatCode="####0">
                  <c:v>11</c:v>
                </c:pt>
              </c:numCache>
            </c:numRef>
          </c:val>
        </c:ser>
        <c:ser>
          <c:idx val="1"/>
          <c:order val="1"/>
          <c:spPr>
            <a:noFill/>
            <a:ln w="12700">
              <a:solidFill>
                <a:srgbClr val="969696"/>
              </a:solidFill>
              <a:prstDash val="solid"/>
            </a:ln>
          </c:spPr>
          <c:invertIfNegative val="0"/>
          <c:cat>
            <c:numRef>
              <c:f>Report!$BG$5:$BG$55</c:f>
              <c:numCache>
                <c:formatCode>General</c:formatCode>
                <c:ptCount val="51"/>
                <c:pt idx="0" formatCode="0.00E+0">
                  <c:v>1.9608740147821618E-6</c:v>
                </c:pt>
                <c:pt idx="12" formatCode="0.00E+0">
                  <c:v>4.4533193626097146E-5</c:v>
                </c:pt>
                <c:pt idx="24" formatCode="0.00E+0">
                  <c:v>8.7105513237412124E-5</c:v>
                </c:pt>
                <c:pt idx="36" formatCode="0.00E+0">
                  <c:v>1.296778328487271E-4</c:v>
                </c:pt>
                <c:pt idx="50" formatCode="0.00E+0">
                  <c:v>1.7934553906192791E-4</c:v>
                </c:pt>
              </c:numCache>
            </c:numRef>
          </c:cat>
          <c:val>
            <c:numRef>
              <c:f>Report!$BI$5:$BI$55</c:f>
              <c:numCache>
                <c:formatCode>####0</c:formatCode>
                <c:ptCount val="51"/>
                <c:pt idx="0">
                  <c:v>1202</c:v>
                </c:pt>
                <c:pt idx="1">
                  <c:v>1502</c:v>
                </c:pt>
                <c:pt idx="2">
                  <c:v>1197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100"/>
        <c:axId val="370316032"/>
        <c:axId val="370317568"/>
      </c:barChart>
      <c:catAx>
        <c:axId val="370316032"/>
        <c:scaling>
          <c:orientation val="minMax"/>
        </c:scaling>
        <c:delete val="0"/>
        <c:axPos val="b"/>
        <c:numFmt formatCode="0.00E+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zh-CN"/>
          </a:p>
        </c:txPr>
        <c:crossAx val="370317568"/>
        <c:crosses val="autoZero"/>
        <c:auto val="1"/>
        <c:lblAlgn val="ctr"/>
        <c:lblOffset val="100"/>
        <c:tickLblSkip val="1"/>
        <c:tickMarkSkip val="5"/>
        <c:noMultiLvlLbl val="0"/>
      </c:catAx>
      <c:valAx>
        <c:axId val="370317568"/>
        <c:scaling>
          <c:orientation val="minMax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altLang="en-US" sz="800"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zh-CN"/>
          </a:p>
        </c:txPr>
        <c:crossAx val="370316032"/>
        <c:crosses val="autoZero"/>
        <c:crossBetween val="between"/>
      </c:valAx>
      <c:spPr>
        <a:solidFill>
          <a:srgbClr val="FFFFFF"/>
        </a:solidFill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altLang="en-US" sz="1000"/>
            </a:pPr>
            <a:r>
              <a:rPr lang="en-US"/>
              <a:t>R (40-60)</a:t>
            </a:r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spPr>
            <a:solidFill>
              <a:schemeClr val="tx1"/>
            </a:solidFill>
            <a:ln w="12700">
              <a:solidFill>
                <a:srgbClr val="969696"/>
              </a:solidFill>
              <a:prstDash val="solid"/>
            </a:ln>
          </c:spPr>
          <c:invertIfNegative val="0"/>
          <c:cat>
            <c:numRef>
              <c:f>Report!$BG$5:$BG$55</c:f>
              <c:numCache>
                <c:formatCode>General</c:formatCode>
                <c:ptCount val="51"/>
                <c:pt idx="0" formatCode="0.00E+0">
                  <c:v>2.1339059346888205E-6</c:v>
                </c:pt>
                <c:pt idx="12" formatCode="0.00E+0">
                  <c:v>5.1987979509487343E-5</c:v>
                </c:pt>
                <c:pt idx="24" formatCode="0.00E+0">
                  <c:v>1.0184205308428587E-4</c:v>
                </c:pt>
                <c:pt idx="36" formatCode="0.00E+0">
                  <c:v>1.5169612665908439E-4</c:v>
                </c:pt>
                <c:pt idx="50" formatCode="0.00E+0">
                  <c:v>2.0985921249634933E-4</c:v>
                </c:pt>
              </c:numCache>
            </c:numRef>
          </c:cat>
          <c:val>
            <c:numRef>
              <c:f>Report!$BH$5:$BH$55</c:f>
              <c:numCache>
                <c:formatCode>General</c:formatCode>
                <c:ptCount val="51"/>
                <c:pt idx="2" formatCode="####0">
                  <c:v>1261</c:v>
                </c:pt>
                <c:pt idx="3" formatCode="####0">
                  <c:v>879</c:v>
                </c:pt>
                <c:pt idx="4" formatCode="####0">
                  <c:v>672</c:v>
                </c:pt>
                <c:pt idx="5" formatCode="####0">
                  <c:v>549</c:v>
                </c:pt>
                <c:pt idx="6" formatCode="####0">
                  <c:v>415</c:v>
                </c:pt>
                <c:pt idx="7" formatCode="####0">
                  <c:v>364</c:v>
                </c:pt>
                <c:pt idx="8" formatCode="####0">
                  <c:v>323</c:v>
                </c:pt>
                <c:pt idx="9" formatCode="####0">
                  <c:v>249</c:v>
                </c:pt>
                <c:pt idx="10" formatCode="####0">
                  <c:v>220</c:v>
                </c:pt>
                <c:pt idx="11" formatCode="####0">
                  <c:v>192</c:v>
                </c:pt>
                <c:pt idx="12" formatCode="####0">
                  <c:v>173</c:v>
                </c:pt>
                <c:pt idx="13" formatCode="####0">
                  <c:v>113</c:v>
                </c:pt>
                <c:pt idx="14" formatCode="####0">
                  <c:v>125</c:v>
                </c:pt>
                <c:pt idx="15" formatCode="####0">
                  <c:v>107</c:v>
                </c:pt>
                <c:pt idx="16" formatCode="####0">
                  <c:v>76</c:v>
                </c:pt>
                <c:pt idx="17" formatCode="####0">
                  <c:v>91</c:v>
                </c:pt>
                <c:pt idx="18" formatCode="####0">
                  <c:v>75</c:v>
                </c:pt>
                <c:pt idx="19" formatCode="####0">
                  <c:v>66</c:v>
                </c:pt>
                <c:pt idx="20" formatCode="####0">
                  <c:v>65</c:v>
                </c:pt>
                <c:pt idx="21" formatCode="####0">
                  <c:v>63</c:v>
                </c:pt>
                <c:pt idx="22" formatCode="####0">
                  <c:v>52</c:v>
                </c:pt>
                <c:pt idx="23" formatCode="####0">
                  <c:v>38</c:v>
                </c:pt>
                <c:pt idx="24" formatCode="####0">
                  <c:v>49</c:v>
                </c:pt>
                <c:pt idx="25" formatCode="####0">
                  <c:v>43</c:v>
                </c:pt>
                <c:pt idx="26" formatCode="####0">
                  <c:v>30</c:v>
                </c:pt>
                <c:pt idx="27" formatCode="####0">
                  <c:v>26</c:v>
                </c:pt>
                <c:pt idx="28" formatCode="####0">
                  <c:v>38</c:v>
                </c:pt>
                <c:pt idx="29" formatCode="####0">
                  <c:v>24</c:v>
                </c:pt>
                <c:pt idx="30" formatCode="####0">
                  <c:v>23</c:v>
                </c:pt>
                <c:pt idx="31" formatCode="####0">
                  <c:v>26</c:v>
                </c:pt>
                <c:pt idx="32" formatCode="####0">
                  <c:v>21</c:v>
                </c:pt>
                <c:pt idx="33" formatCode="####0">
                  <c:v>24</c:v>
                </c:pt>
                <c:pt idx="34" formatCode="####0">
                  <c:v>25</c:v>
                </c:pt>
                <c:pt idx="35" formatCode="####0">
                  <c:v>16</c:v>
                </c:pt>
                <c:pt idx="36" formatCode="####0">
                  <c:v>17</c:v>
                </c:pt>
                <c:pt idx="37" formatCode="####0">
                  <c:v>17</c:v>
                </c:pt>
                <c:pt idx="38" formatCode="####0">
                  <c:v>15</c:v>
                </c:pt>
                <c:pt idx="39" formatCode="####0">
                  <c:v>11</c:v>
                </c:pt>
                <c:pt idx="40" formatCode="####0">
                  <c:v>12</c:v>
                </c:pt>
                <c:pt idx="41" formatCode="####0">
                  <c:v>8</c:v>
                </c:pt>
                <c:pt idx="42" formatCode="####0">
                  <c:v>11</c:v>
                </c:pt>
                <c:pt idx="43" formatCode="####0">
                  <c:v>10</c:v>
                </c:pt>
                <c:pt idx="44" formatCode="####0">
                  <c:v>10</c:v>
                </c:pt>
                <c:pt idx="45" formatCode="####0">
                  <c:v>16</c:v>
                </c:pt>
                <c:pt idx="46" formatCode="####0">
                  <c:v>14</c:v>
                </c:pt>
                <c:pt idx="47" formatCode="####0">
                  <c:v>9</c:v>
                </c:pt>
                <c:pt idx="48" formatCode="####0">
                  <c:v>3</c:v>
                </c:pt>
                <c:pt idx="49" formatCode="####0">
                  <c:v>6</c:v>
                </c:pt>
                <c:pt idx="50" formatCode="####0">
                  <c:v>11</c:v>
                </c:pt>
              </c:numCache>
            </c:numRef>
          </c:val>
        </c:ser>
        <c:ser>
          <c:idx val="1"/>
          <c:order val="1"/>
          <c:spPr>
            <a:noFill/>
            <a:ln w="12700">
              <a:solidFill>
                <a:srgbClr val="969696"/>
              </a:solidFill>
              <a:prstDash val="solid"/>
            </a:ln>
          </c:spPr>
          <c:invertIfNegative val="0"/>
          <c:cat>
            <c:numRef>
              <c:f>Report!$BG$5:$BG$55</c:f>
              <c:numCache>
                <c:formatCode>General</c:formatCode>
                <c:ptCount val="51"/>
                <c:pt idx="0" formatCode="0.00E+0">
                  <c:v>2.1339059346888205E-6</c:v>
                </c:pt>
                <c:pt idx="12" formatCode="0.00E+0">
                  <c:v>5.1987979509487343E-5</c:v>
                </c:pt>
                <c:pt idx="24" formatCode="0.00E+0">
                  <c:v>1.0184205308428587E-4</c:v>
                </c:pt>
                <c:pt idx="36" formatCode="0.00E+0">
                  <c:v>1.5169612665908439E-4</c:v>
                </c:pt>
                <c:pt idx="50" formatCode="0.00E+0">
                  <c:v>2.0985921249634933E-4</c:v>
                </c:pt>
              </c:numCache>
            </c:numRef>
          </c:cat>
          <c:val>
            <c:numRef>
              <c:f>Report!$BI$5:$BI$55</c:f>
              <c:numCache>
                <c:formatCode>####0</c:formatCode>
                <c:ptCount val="51"/>
                <c:pt idx="0">
                  <c:v>1543</c:v>
                </c:pt>
                <c:pt idx="1">
                  <c:v>1575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100"/>
        <c:axId val="370331008"/>
        <c:axId val="370336896"/>
      </c:barChart>
      <c:catAx>
        <c:axId val="370331008"/>
        <c:scaling>
          <c:orientation val="minMax"/>
        </c:scaling>
        <c:delete val="0"/>
        <c:axPos val="b"/>
        <c:numFmt formatCode="0.00E+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zh-CN"/>
          </a:p>
        </c:txPr>
        <c:crossAx val="370336896"/>
        <c:crosses val="autoZero"/>
        <c:auto val="1"/>
        <c:lblAlgn val="ctr"/>
        <c:lblOffset val="100"/>
        <c:tickLblSkip val="1"/>
        <c:tickMarkSkip val="5"/>
        <c:noMultiLvlLbl val="0"/>
      </c:catAx>
      <c:valAx>
        <c:axId val="370336896"/>
        <c:scaling>
          <c:orientation val="minMax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altLang="en-US" sz="800"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zh-CN"/>
          </a:p>
        </c:txPr>
        <c:crossAx val="370331008"/>
        <c:crosses val="autoZero"/>
        <c:crossBetween val="between"/>
      </c:valAx>
      <c:spPr>
        <a:solidFill>
          <a:srgbClr val="FFFFFF"/>
        </a:solidFill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altLang="en-US" sz="1000"/>
            </a:pPr>
            <a:r>
              <a:rPr lang="en-US"/>
              <a:t>R (&gt;60)</a:t>
            </a:r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spPr>
            <a:solidFill>
              <a:schemeClr val="tx1"/>
            </a:solidFill>
            <a:ln w="12700">
              <a:solidFill>
                <a:srgbClr val="969696"/>
              </a:solidFill>
              <a:prstDash val="solid"/>
            </a:ln>
          </c:spPr>
          <c:invertIfNegative val="0"/>
          <c:cat>
            <c:numRef>
              <c:f>Report!$BG$5:$BG$55</c:f>
              <c:numCache>
                <c:formatCode>General</c:formatCode>
                <c:ptCount val="51"/>
                <c:pt idx="0" formatCode="0.00E+0">
                  <c:v>1.1539586193699963E-6</c:v>
                </c:pt>
                <c:pt idx="12" formatCode="0.00E+0">
                  <c:v>2.596620769895017E-5</c:v>
                </c:pt>
                <c:pt idx="24" formatCode="0.00E+0">
                  <c:v>5.0778456778530345E-5</c:v>
                </c:pt>
                <c:pt idx="36" formatCode="0.00E+0">
                  <c:v>7.5590705858110513E-5</c:v>
                </c:pt>
                <c:pt idx="50" formatCode="0.00E+0">
                  <c:v>1.0453832978428738E-4</c:v>
                </c:pt>
              </c:numCache>
            </c:numRef>
          </c:cat>
          <c:val>
            <c:numRef>
              <c:f>Report!$BH$5:$BH$55</c:f>
              <c:numCache>
                <c:formatCode>General</c:formatCode>
                <c:ptCount val="51"/>
                <c:pt idx="5" formatCode="####0">
                  <c:v>611</c:v>
                </c:pt>
                <c:pt idx="6" formatCode="####0">
                  <c:v>509</c:v>
                </c:pt>
                <c:pt idx="7" formatCode="####0">
                  <c:v>390</c:v>
                </c:pt>
                <c:pt idx="8" formatCode="####0">
                  <c:v>306</c:v>
                </c:pt>
                <c:pt idx="9" formatCode="####0">
                  <c:v>315</c:v>
                </c:pt>
                <c:pt idx="10" formatCode="####0">
                  <c:v>231</c:v>
                </c:pt>
                <c:pt idx="11" formatCode="####0">
                  <c:v>210</c:v>
                </c:pt>
                <c:pt idx="12" formatCode="####0">
                  <c:v>164</c:v>
                </c:pt>
                <c:pt idx="13" formatCode="####0">
                  <c:v>157</c:v>
                </c:pt>
                <c:pt idx="14" formatCode="####0">
                  <c:v>154</c:v>
                </c:pt>
                <c:pt idx="15" formatCode="####0">
                  <c:v>123</c:v>
                </c:pt>
                <c:pt idx="16" formatCode="####0">
                  <c:v>107</c:v>
                </c:pt>
                <c:pt idx="17" formatCode="####0">
                  <c:v>98</c:v>
                </c:pt>
                <c:pt idx="18" formatCode="####0">
                  <c:v>84</c:v>
                </c:pt>
                <c:pt idx="19" formatCode="####0">
                  <c:v>77</c:v>
                </c:pt>
                <c:pt idx="20" formatCode="####0">
                  <c:v>63</c:v>
                </c:pt>
                <c:pt idx="21" formatCode="####0">
                  <c:v>55</c:v>
                </c:pt>
                <c:pt idx="22" formatCode="####0">
                  <c:v>61</c:v>
                </c:pt>
                <c:pt idx="23" formatCode="####0">
                  <c:v>52</c:v>
                </c:pt>
                <c:pt idx="24" formatCode="####0">
                  <c:v>44</c:v>
                </c:pt>
                <c:pt idx="25" formatCode="####0">
                  <c:v>47</c:v>
                </c:pt>
                <c:pt idx="26" formatCode="####0">
                  <c:v>36</c:v>
                </c:pt>
                <c:pt idx="27" formatCode="####0">
                  <c:v>40</c:v>
                </c:pt>
                <c:pt idx="28" formatCode="####0">
                  <c:v>40</c:v>
                </c:pt>
                <c:pt idx="29" formatCode="####0">
                  <c:v>32</c:v>
                </c:pt>
                <c:pt idx="30" formatCode="####0">
                  <c:v>20</c:v>
                </c:pt>
                <c:pt idx="31" formatCode="####0">
                  <c:v>22</c:v>
                </c:pt>
                <c:pt idx="32" formatCode="####0">
                  <c:v>22</c:v>
                </c:pt>
                <c:pt idx="33" formatCode="####0">
                  <c:v>24</c:v>
                </c:pt>
                <c:pt idx="34" formatCode="####0">
                  <c:v>19</c:v>
                </c:pt>
                <c:pt idx="35" formatCode="####0">
                  <c:v>19</c:v>
                </c:pt>
                <c:pt idx="36" formatCode="####0">
                  <c:v>21</c:v>
                </c:pt>
                <c:pt idx="37" formatCode="####0">
                  <c:v>14</c:v>
                </c:pt>
                <c:pt idx="38" formatCode="####0">
                  <c:v>14</c:v>
                </c:pt>
                <c:pt idx="39" formatCode="####0">
                  <c:v>10</c:v>
                </c:pt>
                <c:pt idx="40" formatCode="####0">
                  <c:v>10</c:v>
                </c:pt>
                <c:pt idx="41" formatCode="####0">
                  <c:v>17</c:v>
                </c:pt>
                <c:pt idx="42" formatCode="####0">
                  <c:v>13</c:v>
                </c:pt>
                <c:pt idx="43" formatCode="####0">
                  <c:v>18</c:v>
                </c:pt>
                <c:pt idx="44" formatCode="####0">
                  <c:v>10</c:v>
                </c:pt>
                <c:pt idx="45" formatCode="####0">
                  <c:v>11</c:v>
                </c:pt>
                <c:pt idx="46" formatCode="####0">
                  <c:v>10</c:v>
                </c:pt>
                <c:pt idx="47" formatCode="####0">
                  <c:v>13</c:v>
                </c:pt>
                <c:pt idx="48" formatCode="####0">
                  <c:v>11</c:v>
                </c:pt>
                <c:pt idx="49" formatCode="####0">
                  <c:v>8</c:v>
                </c:pt>
                <c:pt idx="50" formatCode="####0">
                  <c:v>9</c:v>
                </c:pt>
              </c:numCache>
            </c:numRef>
          </c:val>
        </c:ser>
        <c:ser>
          <c:idx val="1"/>
          <c:order val="1"/>
          <c:spPr>
            <a:noFill/>
            <a:ln w="12700">
              <a:solidFill>
                <a:srgbClr val="969696"/>
              </a:solidFill>
              <a:prstDash val="solid"/>
            </a:ln>
          </c:spPr>
          <c:invertIfNegative val="0"/>
          <c:cat>
            <c:numRef>
              <c:f>Report!$BG$5:$BG$55</c:f>
              <c:numCache>
                <c:formatCode>General</c:formatCode>
                <c:ptCount val="51"/>
                <c:pt idx="0" formatCode="0.00E+0">
                  <c:v>1.1539586193699963E-6</c:v>
                </c:pt>
                <c:pt idx="12" formatCode="0.00E+0">
                  <c:v>2.596620769895017E-5</c:v>
                </c:pt>
                <c:pt idx="24" formatCode="0.00E+0">
                  <c:v>5.0778456778530345E-5</c:v>
                </c:pt>
                <c:pt idx="36" formatCode="0.00E+0">
                  <c:v>7.5590705858110513E-5</c:v>
                </c:pt>
                <c:pt idx="50" formatCode="0.00E+0">
                  <c:v>1.0453832978428738E-4</c:v>
                </c:pt>
              </c:numCache>
            </c:numRef>
          </c:cat>
          <c:val>
            <c:numRef>
              <c:f>Report!$BI$5:$BI$55</c:f>
              <c:numCache>
                <c:formatCode>####0</c:formatCode>
                <c:ptCount val="51"/>
                <c:pt idx="0">
                  <c:v>1153</c:v>
                </c:pt>
                <c:pt idx="1">
                  <c:v>1525</c:v>
                </c:pt>
                <c:pt idx="2">
                  <c:v>1167</c:v>
                </c:pt>
                <c:pt idx="3">
                  <c:v>949</c:v>
                </c:pt>
                <c:pt idx="4">
                  <c:v>705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100"/>
        <c:axId val="370419968"/>
        <c:axId val="370421760"/>
      </c:barChart>
      <c:catAx>
        <c:axId val="370419968"/>
        <c:scaling>
          <c:orientation val="minMax"/>
        </c:scaling>
        <c:delete val="0"/>
        <c:axPos val="b"/>
        <c:numFmt formatCode="0.00E+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zh-CN"/>
          </a:p>
        </c:txPr>
        <c:crossAx val="370421760"/>
        <c:crosses val="autoZero"/>
        <c:auto val="1"/>
        <c:lblAlgn val="ctr"/>
        <c:lblOffset val="100"/>
        <c:tickLblSkip val="1"/>
        <c:tickMarkSkip val="5"/>
        <c:noMultiLvlLbl val="0"/>
      </c:catAx>
      <c:valAx>
        <c:axId val="370421760"/>
        <c:scaling>
          <c:orientation val="minMax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altLang="en-US" sz="800"/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zh-CN"/>
          </a:p>
        </c:txPr>
        <c:crossAx val="370419968"/>
        <c:crosses val="autoZero"/>
        <c:crossBetween val="between"/>
      </c:valAx>
      <c:spPr>
        <a:solidFill>
          <a:srgbClr val="FFFFFF"/>
        </a:solidFill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0.31894</cdr:x>
      <cdr:y>0.50526</cdr:y>
    </cdr:to>
    <cdr:sp macro="" textlink="">
      <cdr:nvSpPr>
        <cdr:cNvPr id="2" name="文本框 1"/>
        <cdr:cNvSpPr txBox="1"/>
      </cdr:nvSpPr>
      <cdr:spPr>
        <a:xfrm xmlns:a="http://schemas.openxmlformats.org/drawingml/2006/main">
          <a:off x="0" y="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altLang="zh-CN" sz="1100"/>
            <a:t>a</a:t>
          </a:r>
          <a:endParaRPr lang="zh-CN" altLang="en-US" sz="1100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0.31683</cdr:x>
      <cdr:y>0.50262</cdr:y>
    </cdr:to>
    <cdr:sp macro="" textlink="">
      <cdr:nvSpPr>
        <cdr:cNvPr id="2" name="文本框 1"/>
        <cdr:cNvSpPr txBox="1"/>
      </cdr:nvSpPr>
      <cdr:spPr>
        <a:xfrm xmlns:a="http://schemas.openxmlformats.org/drawingml/2006/main">
          <a:off x="0" y="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altLang="zh-CN" sz="1100"/>
            <a:t>b</a:t>
          </a:r>
          <a:endParaRPr lang="zh-CN" altLang="en-US" sz="1100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0.31683</cdr:x>
      <cdr:y>0.50526</cdr:y>
    </cdr:to>
    <cdr:sp macro="" textlink="">
      <cdr:nvSpPr>
        <cdr:cNvPr id="2" name="文本框 1"/>
        <cdr:cNvSpPr txBox="1"/>
      </cdr:nvSpPr>
      <cdr:spPr>
        <a:xfrm xmlns:a="http://schemas.openxmlformats.org/drawingml/2006/main">
          <a:off x="0" y="-1228725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altLang="zh-CN" sz="1100"/>
            <a:t>c</a:t>
          </a:r>
          <a:endParaRPr lang="zh-CN" altLang="en-US" sz="1100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0.22326</cdr:x>
      <cdr:y>0.50794</cdr:y>
    </cdr:to>
    <cdr:sp macro="" textlink="">
      <cdr:nvSpPr>
        <cdr:cNvPr id="2" name="文本框 1"/>
        <cdr:cNvSpPr txBox="1"/>
      </cdr:nvSpPr>
      <cdr:spPr>
        <a:xfrm xmlns:a="http://schemas.openxmlformats.org/drawingml/2006/main">
          <a:off x="0" y="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altLang="zh-CN" sz="1100"/>
            <a:t>a</a:t>
          </a:r>
          <a:endParaRPr lang="zh-CN" altLang="en-US" sz="1100"/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0.21239</cdr:x>
      <cdr:y>0.51064</cdr:y>
    </cdr:to>
    <cdr:sp macro="" textlink="">
      <cdr:nvSpPr>
        <cdr:cNvPr id="2" name="文本框 1"/>
        <cdr:cNvSpPr txBox="1"/>
      </cdr:nvSpPr>
      <cdr:spPr>
        <a:xfrm xmlns:a="http://schemas.openxmlformats.org/drawingml/2006/main">
          <a:off x="0" y="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altLang="zh-CN" sz="1100"/>
            <a:t>b</a:t>
          </a:r>
          <a:endParaRPr lang="zh-CN" altLang="en-US" sz="1100"/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0.22326</cdr:x>
      <cdr:y>0.51613</cdr:y>
    </cdr:to>
    <cdr:sp macro="" textlink="">
      <cdr:nvSpPr>
        <cdr:cNvPr id="2" name="文本框 1"/>
        <cdr:cNvSpPr txBox="1"/>
      </cdr:nvSpPr>
      <cdr:spPr>
        <a:xfrm xmlns:a="http://schemas.openxmlformats.org/drawingml/2006/main">
          <a:off x="0" y="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altLang="zh-CN" sz="1100"/>
            <a:t>c</a:t>
          </a:r>
          <a:endParaRPr lang="zh-CN" altLang="en-US" sz="1100"/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0.22482</cdr:x>
      <cdr:y>0.51613</cdr:y>
    </cdr:to>
    <cdr:sp macro="" textlink="">
      <cdr:nvSpPr>
        <cdr:cNvPr id="2" name="文本框 1"/>
        <cdr:cNvSpPr txBox="1"/>
      </cdr:nvSpPr>
      <cdr:spPr>
        <a:xfrm xmlns:a="http://schemas.openxmlformats.org/drawingml/2006/main">
          <a:off x="0" y="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altLang="zh-CN" sz="1100"/>
            <a:t>d</a:t>
          </a:r>
          <a:endParaRPr lang="zh-CN" altLang="en-US" sz="1100"/>
        </a:p>
      </cdr:txBody>
    </cdr:sp>
  </cdr:relSizeAnchor>
</c:userShap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289</Words>
  <Characters>1648</Characters>
  <Application>Microsoft Office Word</Application>
  <DocSecurity>0</DocSecurity>
  <Lines>13</Lines>
  <Paragraphs>3</Paragraphs>
  <ScaleCrop>false</ScaleCrop>
  <Company>China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朱专家</dc:creator>
  <cp:keywords/>
  <dc:description/>
  <cp:lastModifiedBy>朱专家</cp:lastModifiedBy>
  <cp:revision>13</cp:revision>
  <dcterms:created xsi:type="dcterms:W3CDTF">2020-06-02T09:23:00Z</dcterms:created>
  <dcterms:modified xsi:type="dcterms:W3CDTF">2020-10-18T04:22:00Z</dcterms:modified>
</cp:coreProperties>
</file>