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D68" w:rsidRPr="00A71D68" w:rsidRDefault="00A71D68" w:rsidP="00A71D68">
      <w:pPr>
        <w:keepNext/>
        <w:keepLines/>
        <w:spacing w:before="240" w:after="0" w:line="480" w:lineRule="auto"/>
        <w:ind w:firstLine="709"/>
        <w:outlineLvl w:val="0"/>
        <w:rPr>
          <w:rFonts w:ascii="Cambria" w:eastAsiaTheme="majorEastAsia" w:hAnsi="Cambria" w:cstheme="majorBidi"/>
          <w:b/>
          <w:sz w:val="28"/>
          <w:szCs w:val="36"/>
          <w:lang w:val="en-GB"/>
        </w:rPr>
      </w:pPr>
      <w:r w:rsidRPr="00A71D68">
        <w:rPr>
          <w:rFonts w:ascii="Cambria" w:eastAsiaTheme="majorEastAsia" w:hAnsi="Cambria" w:cstheme="majorBidi"/>
          <w:b/>
          <w:sz w:val="28"/>
          <w:szCs w:val="36"/>
          <w:lang w:val="en-GB"/>
        </w:rPr>
        <w:t>Appendix C</w:t>
      </w:r>
    </w:p>
    <w:p w:rsidR="00A71D68" w:rsidRPr="00A71D68" w:rsidRDefault="00A71D68" w:rsidP="00A71D68">
      <w:pPr>
        <w:keepNext/>
        <w:spacing w:after="200" w:line="240" w:lineRule="auto"/>
        <w:ind w:left="709"/>
        <w:rPr>
          <w:rFonts w:ascii="Cambria" w:hAnsi="Cambria"/>
          <w:sz w:val="24"/>
          <w:szCs w:val="24"/>
          <w:lang w:val="en-GB"/>
        </w:rPr>
      </w:pPr>
      <w:r w:rsidRPr="00A71D68">
        <w:rPr>
          <w:rFonts w:ascii="Cambria" w:hAnsi="Cambria"/>
          <w:b/>
          <w:bCs/>
          <w:sz w:val="24"/>
          <w:szCs w:val="24"/>
          <w:lang w:val="en-GB"/>
        </w:rPr>
        <w:t>Table C</w:t>
      </w:r>
      <w:r w:rsidRPr="00A71D68">
        <w:rPr>
          <w:rFonts w:ascii="Cambria" w:hAnsi="Cambria"/>
          <w:sz w:val="24"/>
          <w:szCs w:val="24"/>
          <w:lang w:val="en-GB"/>
        </w:rPr>
        <w:br/>
        <w:t>The effect of social prescription for observation periods of different lengths</w:t>
      </w:r>
    </w:p>
    <w:tbl>
      <w:tblPr>
        <w:tblW w:w="12900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43"/>
        <w:gridCol w:w="1370"/>
        <w:gridCol w:w="898"/>
        <w:gridCol w:w="92"/>
        <w:gridCol w:w="1306"/>
        <w:gridCol w:w="870"/>
        <w:gridCol w:w="142"/>
        <w:gridCol w:w="142"/>
        <w:gridCol w:w="992"/>
        <w:gridCol w:w="992"/>
        <w:gridCol w:w="142"/>
        <w:gridCol w:w="992"/>
        <w:gridCol w:w="993"/>
        <w:gridCol w:w="141"/>
        <w:gridCol w:w="993"/>
        <w:gridCol w:w="992"/>
      </w:tblGrid>
      <w:tr w:rsidR="00A71D68" w:rsidRPr="002E1D22" w:rsidTr="00CC4C11">
        <w:trPr>
          <w:trHeight w:val="644"/>
          <w:jc w:val="center"/>
        </w:trPr>
        <w:tc>
          <w:tcPr>
            <w:tcW w:w="1843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br/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i/>
                <w:iCs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i/>
                <w:iCs/>
                <w:sz w:val="23"/>
                <w:szCs w:val="23"/>
                <w:lang w:val="en-GB"/>
              </w:rPr>
              <w:t xml:space="preserve">Return visits </w:t>
            </w:r>
            <w:r w:rsidRPr="00A71D68">
              <w:rPr>
                <w:rFonts w:ascii="Cambria" w:hAnsi="Cambria" w:cstheme="majorBidi"/>
                <w:i/>
                <w:iCs/>
                <w:sz w:val="23"/>
                <w:szCs w:val="23"/>
                <w:lang w:val="en-GB"/>
              </w:rPr>
              <w:br/>
              <w:t>over one month</w:t>
            </w:r>
          </w:p>
        </w:tc>
        <w:tc>
          <w:tcPr>
            <w:tcW w:w="92" w:type="dxa"/>
            <w:tcBorders>
              <w:top w:val="double" w:sz="4" w:space="0" w:color="auto"/>
              <w:left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i/>
                <w:iCs/>
                <w:sz w:val="23"/>
                <w:szCs w:val="23"/>
                <w:lang w:val="en-GB"/>
              </w:rPr>
            </w:pPr>
          </w:p>
        </w:tc>
        <w:tc>
          <w:tcPr>
            <w:tcW w:w="217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i/>
                <w:iCs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i/>
                <w:iCs/>
                <w:sz w:val="23"/>
                <w:szCs w:val="23"/>
                <w:lang w:val="en-GB"/>
              </w:rPr>
              <w:t xml:space="preserve">Return visits </w:t>
            </w:r>
            <w:r w:rsidRPr="00A71D68">
              <w:rPr>
                <w:rFonts w:ascii="Cambria" w:hAnsi="Cambria" w:cstheme="majorBidi"/>
                <w:i/>
                <w:iCs/>
                <w:sz w:val="23"/>
                <w:szCs w:val="23"/>
                <w:lang w:val="en-GB"/>
              </w:rPr>
              <w:br/>
              <w:t>over two months</w:t>
            </w:r>
          </w:p>
        </w:tc>
        <w:tc>
          <w:tcPr>
            <w:tcW w:w="142" w:type="dxa"/>
            <w:tcBorders>
              <w:top w:val="double" w:sz="4" w:space="0" w:color="auto"/>
              <w:left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i/>
                <w:iCs/>
                <w:sz w:val="23"/>
                <w:szCs w:val="23"/>
                <w:lang w:val="en-GB"/>
              </w:rPr>
            </w:pPr>
          </w:p>
        </w:tc>
        <w:tc>
          <w:tcPr>
            <w:tcW w:w="142" w:type="dxa"/>
            <w:tcBorders>
              <w:top w:val="double" w:sz="4" w:space="0" w:color="auto"/>
              <w:left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i/>
                <w:iCs/>
                <w:sz w:val="23"/>
                <w:szCs w:val="23"/>
                <w:lang w:val="en-GB"/>
              </w:rPr>
            </w:pPr>
          </w:p>
        </w:tc>
        <w:tc>
          <w:tcPr>
            <w:tcW w:w="1984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i/>
                <w:iCs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i/>
                <w:iCs/>
                <w:sz w:val="23"/>
                <w:szCs w:val="23"/>
                <w:lang w:val="en-GB"/>
              </w:rPr>
              <w:t>Return visits</w:t>
            </w:r>
            <w:r w:rsidRPr="00A71D68">
              <w:rPr>
                <w:rFonts w:ascii="Cambria" w:hAnsi="Cambria" w:cstheme="majorBidi"/>
                <w:i/>
                <w:iCs/>
                <w:sz w:val="23"/>
                <w:szCs w:val="23"/>
                <w:lang w:val="en-GB"/>
              </w:rPr>
              <w:br/>
              <w:t>over four months</w:t>
            </w:r>
          </w:p>
        </w:tc>
        <w:tc>
          <w:tcPr>
            <w:tcW w:w="142" w:type="dxa"/>
            <w:tcBorders>
              <w:top w:val="double" w:sz="4" w:space="0" w:color="auto"/>
              <w:left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i/>
                <w:iCs/>
                <w:sz w:val="23"/>
                <w:szCs w:val="23"/>
                <w:lang w:val="en-GB"/>
              </w:rPr>
            </w:pP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i/>
                <w:iCs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i/>
                <w:iCs/>
                <w:sz w:val="23"/>
                <w:szCs w:val="23"/>
                <w:lang w:val="en-GB"/>
              </w:rPr>
              <w:t xml:space="preserve">Return visits </w:t>
            </w:r>
            <w:r w:rsidRPr="00A71D68">
              <w:rPr>
                <w:rFonts w:ascii="Cambria" w:hAnsi="Cambria" w:cstheme="majorBidi"/>
                <w:i/>
                <w:iCs/>
                <w:sz w:val="23"/>
                <w:szCs w:val="23"/>
                <w:lang w:val="en-GB"/>
              </w:rPr>
              <w:br/>
              <w:t>over five months</w:t>
            </w:r>
          </w:p>
        </w:tc>
        <w:tc>
          <w:tcPr>
            <w:tcW w:w="141" w:type="dxa"/>
            <w:tcBorders>
              <w:top w:val="double" w:sz="4" w:space="0" w:color="auto"/>
              <w:left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i/>
                <w:iCs/>
                <w:sz w:val="23"/>
                <w:szCs w:val="23"/>
                <w:highlight w:val="black"/>
                <w:lang w:val="en-GB"/>
              </w:rPr>
            </w:pP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i/>
                <w:iCs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i/>
                <w:iCs/>
                <w:sz w:val="23"/>
                <w:szCs w:val="23"/>
                <w:lang w:val="en-GB"/>
              </w:rPr>
              <w:t xml:space="preserve">Return visits </w:t>
            </w:r>
            <w:r w:rsidRPr="00A71D68">
              <w:rPr>
                <w:rFonts w:ascii="Cambria" w:hAnsi="Cambria" w:cstheme="majorBidi"/>
                <w:i/>
                <w:iCs/>
                <w:sz w:val="23"/>
                <w:szCs w:val="23"/>
                <w:lang w:val="en-GB"/>
              </w:rPr>
              <w:br/>
              <w:t>over six months</w:t>
            </w:r>
          </w:p>
        </w:tc>
      </w:tr>
      <w:tr w:rsidR="00A71D68" w:rsidRPr="00A71D68" w:rsidTr="00CC4C11">
        <w:trPr>
          <w:trHeight w:val="587"/>
          <w:jc w:val="center"/>
        </w:trPr>
        <w:tc>
          <w:tcPr>
            <w:tcW w:w="1843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i/>
                <w:iCs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i/>
                <w:iCs/>
                <w:sz w:val="23"/>
                <w:szCs w:val="23"/>
                <w:lang w:val="en-GB"/>
              </w:rPr>
              <w:t>Variable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i/>
                <w:iCs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i/>
                <w:iCs/>
                <w:sz w:val="23"/>
                <w:szCs w:val="23"/>
                <w:lang w:val="en-GB"/>
              </w:rPr>
              <w:t>(1)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i/>
                <w:iCs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i/>
                <w:iCs/>
                <w:sz w:val="23"/>
                <w:szCs w:val="23"/>
                <w:lang w:val="en-GB"/>
              </w:rPr>
              <w:t>(2)</w:t>
            </w:r>
          </w:p>
        </w:tc>
        <w:tc>
          <w:tcPr>
            <w:tcW w:w="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i/>
                <w:iCs/>
                <w:sz w:val="23"/>
                <w:szCs w:val="23"/>
                <w:lang w:val="en-GB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i/>
                <w:iCs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i/>
                <w:iCs/>
                <w:sz w:val="23"/>
                <w:szCs w:val="23"/>
                <w:lang w:val="en-GB"/>
              </w:rPr>
              <w:t>(3)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i/>
                <w:iCs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i/>
                <w:iCs/>
                <w:sz w:val="23"/>
                <w:szCs w:val="23"/>
                <w:lang w:val="en-GB"/>
              </w:rPr>
              <w:t>(4)</w:t>
            </w:r>
          </w:p>
        </w:tc>
        <w:tc>
          <w:tcPr>
            <w:tcW w:w="142" w:type="dxa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i/>
                <w:iCs/>
                <w:sz w:val="23"/>
                <w:szCs w:val="23"/>
                <w:lang w:val="en-GB"/>
              </w:rPr>
            </w:pPr>
          </w:p>
        </w:tc>
        <w:tc>
          <w:tcPr>
            <w:tcW w:w="142" w:type="dxa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i/>
                <w:iCs/>
                <w:sz w:val="23"/>
                <w:szCs w:val="23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i/>
                <w:iCs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i/>
                <w:iCs/>
                <w:sz w:val="23"/>
                <w:szCs w:val="23"/>
                <w:lang w:val="en-GB"/>
              </w:rPr>
              <w:t>(7)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i/>
                <w:iCs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i/>
                <w:iCs/>
                <w:sz w:val="23"/>
                <w:szCs w:val="23"/>
                <w:lang w:val="en-GB"/>
              </w:rPr>
              <w:t>(8)</w:t>
            </w:r>
          </w:p>
        </w:tc>
        <w:tc>
          <w:tcPr>
            <w:tcW w:w="142" w:type="dxa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i/>
                <w:iCs/>
                <w:sz w:val="23"/>
                <w:szCs w:val="23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i/>
                <w:iCs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i/>
                <w:iCs/>
                <w:sz w:val="23"/>
                <w:szCs w:val="23"/>
                <w:lang w:val="en-GB"/>
              </w:rPr>
              <w:t>(9)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i/>
                <w:iCs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i/>
                <w:iCs/>
                <w:sz w:val="23"/>
                <w:szCs w:val="23"/>
                <w:lang w:val="en-GB"/>
              </w:rPr>
              <w:t>(10)</w:t>
            </w:r>
          </w:p>
        </w:tc>
        <w:tc>
          <w:tcPr>
            <w:tcW w:w="141" w:type="dxa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i/>
                <w:iCs/>
                <w:sz w:val="23"/>
                <w:szCs w:val="23"/>
                <w:highlight w:val="black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i/>
                <w:iCs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i/>
                <w:iCs/>
                <w:sz w:val="23"/>
                <w:szCs w:val="23"/>
                <w:lang w:val="en-GB"/>
              </w:rPr>
              <w:t>(11)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i/>
                <w:iCs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i/>
                <w:iCs/>
                <w:sz w:val="23"/>
                <w:szCs w:val="23"/>
                <w:lang w:val="en-GB"/>
              </w:rPr>
              <w:t>(12)</w:t>
            </w:r>
          </w:p>
        </w:tc>
      </w:tr>
      <w:tr w:rsidR="00A71D68" w:rsidRPr="00A71D68" w:rsidTr="00CC4C11">
        <w:trPr>
          <w:trHeight w:val="425"/>
          <w:jc w:val="center"/>
        </w:trPr>
        <w:tc>
          <w:tcPr>
            <w:tcW w:w="1843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Social prescription (=1)</w:t>
            </w:r>
          </w:p>
        </w:tc>
        <w:tc>
          <w:tcPr>
            <w:tcW w:w="1370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1.176**</w:t>
            </w: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br/>
              <w:t>(0.075)</w:t>
            </w:r>
          </w:p>
        </w:tc>
        <w:tc>
          <w:tcPr>
            <w:tcW w:w="898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1.147**</w:t>
            </w: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br/>
              <w:t>(0.074)</w:t>
            </w:r>
          </w:p>
        </w:tc>
        <w:tc>
          <w:tcPr>
            <w:tcW w:w="92" w:type="dxa"/>
            <w:tcBorders>
              <w:top w:val="single" w:sz="4" w:space="0" w:color="auto"/>
              <w:left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</w:p>
        </w:tc>
        <w:tc>
          <w:tcPr>
            <w:tcW w:w="1306" w:type="dxa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1.198***</w:t>
            </w: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br/>
              <w:t>(0.074)</w:t>
            </w:r>
          </w:p>
        </w:tc>
        <w:tc>
          <w:tcPr>
            <w:tcW w:w="870" w:type="dxa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1.169**</w:t>
            </w: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br/>
              <w:t>(0.073)</w:t>
            </w:r>
          </w:p>
        </w:tc>
        <w:tc>
          <w:tcPr>
            <w:tcW w:w="142" w:type="dxa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</w:p>
        </w:tc>
        <w:tc>
          <w:tcPr>
            <w:tcW w:w="142" w:type="dxa"/>
            <w:tcBorders>
              <w:top w:val="single" w:sz="8" w:space="0" w:color="000000"/>
              <w:left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1.142**</w:t>
            </w: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br/>
              <w:t>(0.</w:t>
            </w:r>
            <w:r w:rsidRPr="00A71D68">
              <w:rPr>
                <w:rFonts w:ascii="Cambria" w:hAnsi="Cambria"/>
                <w:sz w:val="23"/>
                <w:szCs w:val="23"/>
                <w:lang w:val="en-GB"/>
              </w:rPr>
              <w:t xml:space="preserve"> </w:t>
            </w: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076)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1.101</w:t>
            </w: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br/>
              <w:t>(0.</w:t>
            </w:r>
            <w:r w:rsidRPr="00A71D68">
              <w:rPr>
                <w:rFonts w:ascii="Cambria" w:hAnsi="Cambria"/>
                <w:sz w:val="23"/>
                <w:szCs w:val="23"/>
                <w:lang w:val="en-GB"/>
              </w:rPr>
              <w:t xml:space="preserve"> </w:t>
            </w: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074)</w:t>
            </w:r>
          </w:p>
        </w:tc>
        <w:tc>
          <w:tcPr>
            <w:tcW w:w="142" w:type="dxa"/>
            <w:tcBorders>
              <w:top w:val="single" w:sz="8" w:space="0" w:color="000000"/>
              <w:left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1.143*</w:t>
            </w: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br/>
              <w:t>(0.081)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1.102</w:t>
            </w: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br/>
              <w:t>(0.078)</w:t>
            </w:r>
          </w:p>
        </w:tc>
        <w:tc>
          <w:tcPr>
            <w:tcW w:w="141" w:type="dxa"/>
            <w:tcBorders>
              <w:top w:val="single" w:sz="8" w:space="0" w:color="000000"/>
              <w:left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highlight w:val="black"/>
                <w:lang w:val="en-GB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1.149*</w:t>
            </w: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br/>
              <w:t>(0.087)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1.111</w:t>
            </w: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br/>
              <w:t>(0.084)</w:t>
            </w:r>
          </w:p>
        </w:tc>
      </w:tr>
      <w:tr w:rsidR="00A71D68" w:rsidRPr="00A71D68" w:rsidTr="00CC4C11">
        <w:trPr>
          <w:trHeight w:val="425"/>
          <w:jc w:val="center"/>
        </w:trPr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Male (=1)</w:t>
            </w:r>
          </w:p>
        </w:tc>
        <w:tc>
          <w:tcPr>
            <w:tcW w:w="137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</w:p>
        </w:tc>
        <w:tc>
          <w:tcPr>
            <w:tcW w:w="898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0.982</w:t>
            </w: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br/>
              <w:t>(0.069)</w:t>
            </w:r>
          </w:p>
        </w:tc>
        <w:tc>
          <w:tcPr>
            <w:tcW w:w="92" w:type="dxa"/>
            <w:tcBorders>
              <w:left w:val="nil"/>
              <w:bottom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</w:p>
        </w:tc>
        <w:tc>
          <w:tcPr>
            <w:tcW w:w="1306" w:type="dxa"/>
            <w:tcBorders>
              <w:left w:val="nil"/>
              <w:bottom w:val="nil"/>
              <w:right w:val="nil"/>
            </w:tcBorders>
            <w:vAlign w:val="center"/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</w:p>
        </w:tc>
        <w:tc>
          <w:tcPr>
            <w:tcW w:w="870" w:type="dxa"/>
            <w:tcBorders>
              <w:left w:val="nil"/>
              <w:bottom w:val="nil"/>
              <w:right w:val="nil"/>
            </w:tcBorders>
            <w:vAlign w:val="center"/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0.954</w:t>
            </w: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br/>
              <w:t>(0.066)</w:t>
            </w:r>
          </w:p>
        </w:tc>
        <w:tc>
          <w:tcPr>
            <w:tcW w:w="142" w:type="dxa"/>
            <w:tcBorders>
              <w:left w:val="nil"/>
              <w:bottom w:val="nil"/>
              <w:right w:val="nil"/>
            </w:tcBorders>
            <w:vAlign w:val="center"/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</w:p>
        </w:tc>
        <w:tc>
          <w:tcPr>
            <w:tcW w:w="142" w:type="dxa"/>
            <w:tcBorders>
              <w:left w:val="nil"/>
              <w:bottom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0.925</w:t>
            </w: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br/>
              <w:t>(0.069)</w:t>
            </w:r>
          </w:p>
        </w:tc>
        <w:tc>
          <w:tcPr>
            <w:tcW w:w="142" w:type="dxa"/>
            <w:tcBorders>
              <w:left w:val="nil"/>
              <w:bottom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0.893</w:t>
            </w: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br/>
              <w:t>(0.070)</w:t>
            </w:r>
          </w:p>
        </w:tc>
        <w:tc>
          <w:tcPr>
            <w:tcW w:w="141" w:type="dxa"/>
            <w:tcBorders>
              <w:left w:val="nil"/>
              <w:bottom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highlight w:val="black"/>
                <w:lang w:val="en-GB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0.878</w:t>
            </w: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br/>
              <w:t>(0.076)</w:t>
            </w:r>
          </w:p>
        </w:tc>
      </w:tr>
      <w:tr w:rsidR="00A71D68" w:rsidRPr="00A71D68" w:rsidTr="00CC4C11">
        <w:trPr>
          <w:trHeight w:val="425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Age (in years)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0.998</w:t>
            </w: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br/>
              <w:t>(0.002)</w:t>
            </w: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0.996**</w:t>
            </w: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br/>
              <w:t>(0.002)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0.998 (0.002)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1.000</w:t>
            </w: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br/>
              <w:t>(0.002)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highlight w:val="black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0.999</w:t>
            </w: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br/>
              <w:t>(0.003)</w:t>
            </w:r>
          </w:p>
        </w:tc>
      </w:tr>
      <w:tr w:rsidR="00A71D68" w:rsidRPr="00A71D68" w:rsidTr="00CC4C11">
        <w:trPr>
          <w:trHeight w:val="327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Distance (in km)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0.985*</w:t>
            </w: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br/>
              <w:t>(0.008)</w:t>
            </w: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0.983*</w:t>
            </w: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br/>
              <w:t>(0.009)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0.978**</w:t>
            </w: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br/>
              <w:t>(0.009)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0.980**</w:t>
            </w: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br/>
              <w:t>(0.010)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highlight w:val="black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0.979*</w:t>
            </w: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br/>
              <w:t>(0.010)</w:t>
            </w:r>
          </w:p>
        </w:tc>
      </w:tr>
      <w:tr w:rsidR="00A71D68" w:rsidRPr="00A71D68" w:rsidTr="00CC4C11">
        <w:trPr>
          <w:trHeight w:val="569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Visit due to overweight (=1)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1.224***</w:t>
            </w: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br/>
              <w:t>(0.081)</w:t>
            </w: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1.229***</w:t>
            </w: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br/>
              <w:t>(0.078)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1.331***</w:t>
            </w: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br/>
              <w:t>(0.091)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br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1.317***</w:t>
            </w: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br/>
              <w:t>(0.096)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highlight w:val="black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1.291***</w:t>
            </w: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br/>
              <w:t>( 0.101)</w:t>
            </w:r>
          </w:p>
        </w:tc>
      </w:tr>
      <w:tr w:rsidR="00A71D68" w:rsidRPr="00A71D68" w:rsidTr="00CC4C11">
        <w:trPr>
          <w:trHeight w:val="536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Visit due to psychological concerns (=1)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1.089</w:t>
            </w: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br/>
              <w:t>(0.179)</w:t>
            </w:r>
          </w:p>
        </w:tc>
        <w:tc>
          <w:tcPr>
            <w:tcW w:w="92" w:type="dxa"/>
            <w:tcBorders>
              <w:top w:val="nil"/>
              <w:left w:val="nil"/>
              <w:bottom w:val="nil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1.067**</w:t>
            </w: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br/>
              <w:t>(0.171)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1.198</w:t>
            </w: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br/>
              <w:t>(0.222)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1.187</w:t>
            </w: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br/>
              <w:t>(0.</w:t>
            </w:r>
            <w:r w:rsidRPr="00A71D68">
              <w:rPr>
                <w:rFonts w:ascii="Cambria" w:hAnsi="Cambria"/>
                <w:sz w:val="23"/>
                <w:szCs w:val="23"/>
                <w:lang w:val="en-GB"/>
              </w:rPr>
              <w:t xml:space="preserve"> </w:t>
            </w: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228)</w:t>
            </w:r>
          </w:p>
        </w:tc>
        <w:tc>
          <w:tcPr>
            <w:tcW w:w="1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highlight w:val="black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1.129</w:t>
            </w: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br/>
              <w:t>(0.235)</w:t>
            </w:r>
          </w:p>
        </w:tc>
      </w:tr>
      <w:tr w:rsidR="00A71D68" w:rsidRPr="00A71D68" w:rsidTr="00CC4C11">
        <w:trPr>
          <w:trHeight w:val="425"/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Observations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1,948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1,948</w:t>
            </w:r>
          </w:p>
        </w:tc>
        <w:tc>
          <w:tcPr>
            <w:tcW w:w="9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1,832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1,832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1,625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1,625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1,534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>1,534</w:t>
            </w: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highlight w:val="black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 xml:space="preserve">  1,435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:rsidR="00A71D68" w:rsidRPr="00A71D68" w:rsidRDefault="00A71D68" w:rsidP="00A71D68">
            <w:pPr>
              <w:spacing w:line="240" w:lineRule="auto"/>
              <w:rPr>
                <w:rFonts w:ascii="Cambria" w:hAnsi="Cambria" w:cstheme="majorBidi"/>
                <w:sz w:val="23"/>
                <w:szCs w:val="23"/>
                <w:lang w:val="en-GB"/>
              </w:rPr>
            </w:pPr>
            <w:r w:rsidRPr="00A71D68">
              <w:rPr>
                <w:rFonts w:ascii="Cambria" w:hAnsi="Cambria" w:cstheme="majorBidi"/>
                <w:sz w:val="23"/>
                <w:szCs w:val="23"/>
                <w:lang w:val="en-GB"/>
              </w:rPr>
              <w:t xml:space="preserve">  1,435</w:t>
            </w:r>
          </w:p>
        </w:tc>
      </w:tr>
    </w:tbl>
    <w:p w:rsidR="00C0182C" w:rsidRPr="00CC5F29" w:rsidRDefault="00A71D68" w:rsidP="00CC5F29">
      <w:pPr>
        <w:spacing w:line="240" w:lineRule="auto"/>
        <w:ind w:left="1134" w:right="253"/>
        <w:rPr>
          <w:rFonts w:ascii="Cambria" w:hAnsi="Cambria" w:cstheme="majorBidi"/>
          <w:sz w:val="20"/>
          <w:szCs w:val="20"/>
          <w:lang w:val="en-GB"/>
        </w:rPr>
      </w:pPr>
      <w:r w:rsidRPr="00A71D68">
        <w:rPr>
          <w:rFonts w:ascii="Cambria" w:hAnsi="Cambria" w:cstheme="majorBidi"/>
          <w:sz w:val="20"/>
          <w:szCs w:val="20"/>
          <w:lang w:val="en-GB"/>
        </w:rPr>
        <w:t xml:space="preserve">Note: All regressions are negative binomial models. Robust standard errors </w:t>
      </w:r>
      <w:proofErr w:type="gramStart"/>
      <w:r w:rsidRPr="00A71D68">
        <w:rPr>
          <w:rFonts w:ascii="Cambria" w:hAnsi="Cambria" w:cstheme="majorBidi"/>
          <w:sz w:val="20"/>
          <w:szCs w:val="20"/>
          <w:lang w:val="en-GB"/>
        </w:rPr>
        <w:t>are presented</w:t>
      </w:r>
      <w:proofErr w:type="gramEnd"/>
      <w:r w:rsidRPr="00A71D68">
        <w:rPr>
          <w:rFonts w:ascii="Cambria" w:hAnsi="Cambria" w:cstheme="majorBidi"/>
          <w:sz w:val="20"/>
          <w:szCs w:val="20"/>
          <w:lang w:val="en-GB"/>
        </w:rPr>
        <w:t xml:space="preserve"> in parentheses. The incidence rate ratio (IRR) </w:t>
      </w:r>
      <w:proofErr w:type="gramStart"/>
      <w:r w:rsidRPr="00A71D68">
        <w:rPr>
          <w:rFonts w:ascii="Cambria" w:hAnsi="Cambria" w:cstheme="majorBidi"/>
          <w:sz w:val="20"/>
          <w:szCs w:val="20"/>
          <w:lang w:val="en-GB"/>
        </w:rPr>
        <w:t>is reported</w:t>
      </w:r>
      <w:proofErr w:type="gramEnd"/>
      <w:r w:rsidRPr="00A71D68">
        <w:rPr>
          <w:rFonts w:ascii="Cambria" w:hAnsi="Cambria" w:cstheme="majorBidi"/>
          <w:sz w:val="20"/>
          <w:szCs w:val="20"/>
          <w:lang w:val="en-GB"/>
        </w:rPr>
        <w:t xml:space="preserve">. Sample sizes differ for different </w:t>
      </w:r>
      <w:proofErr w:type="gramStart"/>
      <w:r w:rsidRPr="00A71D68">
        <w:rPr>
          <w:rFonts w:ascii="Cambria" w:hAnsi="Cambria" w:cstheme="majorBidi"/>
          <w:sz w:val="20"/>
          <w:szCs w:val="20"/>
          <w:lang w:val="en-GB"/>
        </w:rPr>
        <w:t>time periods</w:t>
      </w:r>
      <w:proofErr w:type="gramEnd"/>
      <w:r w:rsidRPr="00A71D68">
        <w:rPr>
          <w:rFonts w:ascii="Cambria" w:hAnsi="Cambria" w:cstheme="majorBidi"/>
          <w:sz w:val="20"/>
          <w:szCs w:val="20"/>
          <w:lang w:val="en-GB"/>
        </w:rPr>
        <w:t xml:space="preserve">. The longer the chosen </w:t>
      </w:r>
      <w:proofErr w:type="gramStart"/>
      <w:r w:rsidRPr="00A71D68">
        <w:rPr>
          <w:rFonts w:ascii="Cambria" w:hAnsi="Cambria" w:cstheme="majorBidi"/>
          <w:sz w:val="20"/>
          <w:szCs w:val="20"/>
          <w:lang w:val="en-GB"/>
        </w:rPr>
        <w:t>time period</w:t>
      </w:r>
      <w:proofErr w:type="gramEnd"/>
      <w:r w:rsidRPr="00A71D68">
        <w:rPr>
          <w:rFonts w:ascii="Cambria" w:hAnsi="Cambria" w:cstheme="majorBidi"/>
          <w:sz w:val="20"/>
          <w:szCs w:val="20"/>
          <w:lang w:val="en-GB"/>
        </w:rPr>
        <w:t xml:space="preserve">, the smaller the sample gets. </w:t>
      </w:r>
      <w:r w:rsidRPr="00A71D68">
        <w:rPr>
          <w:rFonts w:ascii="Cambria" w:hAnsi="Cambria" w:cstheme="majorBidi"/>
          <w:sz w:val="20"/>
          <w:szCs w:val="20"/>
          <w:lang w:val="en-GB"/>
        </w:rPr>
        <w:tab/>
      </w:r>
      <w:r w:rsidRPr="00A71D68">
        <w:rPr>
          <w:rFonts w:ascii="Cambria" w:hAnsi="Cambria" w:cstheme="majorBidi"/>
          <w:sz w:val="20"/>
          <w:szCs w:val="20"/>
          <w:lang w:val="en-GB"/>
        </w:rPr>
        <w:tab/>
        <w:t xml:space="preserve">                                             </w:t>
      </w:r>
      <w:r w:rsidRPr="00A71D68">
        <w:rPr>
          <w:rFonts w:ascii="Cambria" w:hAnsi="Cambria" w:cstheme="majorBidi"/>
          <w:sz w:val="20"/>
          <w:szCs w:val="20"/>
          <w:lang w:val="en-GB"/>
        </w:rPr>
        <w:tab/>
        <w:t xml:space="preserve">      Statistical significance levels: *p &lt; 0.10, **p &lt; 0.05, ***p &lt; 0.01</w:t>
      </w:r>
      <w:bookmarkStart w:id="0" w:name="_GoBack"/>
      <w:bookmarkEnd w:id="0"/>
    </w:p>
    <w:sectPr w:rsidR="00C0182C" w:rsidRPr="00CC5F29" w:rsidSect="00CC5F29">
      <w:footerReference w:type="default" r:id="rId6"/>
      <w:pgSz w:w="16838" w:h="11906" w:orient="landscape"/>
      <w:pgMar w:top="1417" w:right="1417" w:bottom="28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C5F29">
      <w:pPr>
        <w:spacing w:after="0" w:line="240" w:lineRule="auto"/>
      </w:pPr>
      <w:r>
        <w:separator/>
      </w:r>
    </w:p>
  </w:endnote>
  <w:endnote w:type="continuationSeparator" w:id="0">
    <w:p w:rsidR="00000000" w:rsidRDefault="00CC5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315060"/>
      <w:docPartObj>
        <w:docPartGallery w:val="Page Numbers (Bottom of Page)"/>
        <w:docPartUnique/>
      </w:docPartObj>
    </w:sdtPr>
    <w:sdtEndPr/>
    <w:sdtContent>
      <w:p w:rsidR="003532D3" w:rsidRDefault="000D2017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5F29">
          <w:rPr>
            <w:noProof/>
          </w:rPr>
          <w:t>1</w:t>
        </w:r>
        <w:r>
          <w:fldChar w:fldCharType="end"/>
        </w:r>
      </w:p>
    </w:sdtContent>
  </w:sdt>
  <w:p w:rsidR="003532D3" w:rsidRDefault="00CC5F2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C5F29">
      <w:pPr>
        <w:spacing w:after="0" w:line="240" w:lineRule="auto"/>
      </w:pPr>
      <w:r>
        <w:separator/>
      </w:r>
    </w:p>
  </w:footnote>
  <w:footnote w:type="continuationSeparator" w:id="0">
    <w:p w:rsidR="00000000" w:rsidRDefault="00CC5F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D68"/>
    <w:rsid w:val="000A24FE"/>
    <w:rsid w:val="000D2017"/>
    <w:rsid w:val="001A7123"/>
    <w:rsid w:val="00271510"/>
    <w:rsid w:val="002C0D4C"/>
    <w:rsid w:val="002E1D22"/>
    <w:rsid w:val="00377826"/>
    <w:rsid w:val="004C75DA"/>
    <w:rsid w:val="004D4830"/>
    <w:rsid w:val="00545EE1"/>
    <w:rsid w:val="005774AC"/>
    <w:rsid w:val="00592FFC"/>
    <w:rsid w:val="00980BDC"/>
    <w:rsid w:val="00A71D68"/>
    <w:rsid w:val="00AF62E5"/>
    <w:rsid w:val="00B74098"/>
    <w:rsid w:val="00C64177"/>
    <w:rsid w:val="00C913DD"/>
    <w:rsid w:val="00CC5F29"/>
    <w:rsid w:val="00D76ECD"/>
    <w:rsid w:val="00D8631B"/>
    <w:rsid w:val="00DB758A"/>
    <w:rsid w:val="00DF73C7"/>
    <w:rsid w:val="00E34EAB"/>
    <w:rsid w:val="00EC1D6B"/>
    <w:rsid w:val="00F1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277FB"/>
  <w15:chartTrackingRefBased/>
  <w15:docId w15:val="{072889BD-D213-4EF9-9054-B9CCC2A2E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A71D68"/>
    <w:pPr>
      <w:tabs>
        <w:tab w:val="center" w:pos="4536"/>
        <w:tab w:val="right" w:pos="9072"/>
      </w:tabs>
      <w:spacing w:after="0" w:line="240" w:lineRule="auto"/>
      <w:jc w:val="both"/>
    </w:pPr>
    <w:rPr>
      <w:rFonts w:ascii="Cambria" w:hAnsi="Cambria"/>
      <w:sz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A71D68"/>
    <w:rPr>
      <w:rFonts w:ascii="Cambria" w:hAnsi="Cambria"/>
      <w:sz w:val="24"/>
    </w:rPr>
  </w:style>
  <w:style w:type="character" w:styleId="Zeilennummer">
    <w:name w:val="line number"/>
    <w:basedOn w:val="Absatz-Standardschriftart"/>
    <w:uiPriority w:val="99"/>
    <w:semiHidden/>
    <w:unhideWhenUsed/>
    <w:rsid w:val="00A71D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Universitaet Hamburg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VG</dc:creator>
  <cp:keywords/>
  <dc:description/>
  <cp:lastModifiedBy>Golubinski, Veronika</cp:lastModifiedBy>
  <cp:revision>2</cp:revision>
  <dcterms:created xsi:type="dcterms:W3CDTF">2020-11-09T16:02:00Z</dcterms:created>
  <dcterms:modified xsi:type="dcterms:W3CDTF">2020-11-09T16:02:00Z</dcterms:modified>
</cp:coreProperties>
</file>