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A88BB4" w14:textId="19C6620D" w:rsidR="76FA90FC" w:rsidRPr="00370FF9" w:rsidRDefault="76FA90FC" w:rsidP="37399AC2">
      <w:pPr>
        <w:pStyle w:val="Heading1"/>
        <w:rPr>
          <w:b/>
          <w:bCs/>
          <w:sz w:val="36"/>
          <w:szCs w:val="36"/>
        </w:rPr>
      </w:pPr>
      <w:r w:rsidRPr="00370FF9">
        <w:rPr>
          <w:rFonts w:ascii="Times New Roman" w:eastAsia="Times New Roman" w:hAnsi="Times New Roman" w:cs="Times New Roman"/>
          <w:b/>
          <w:bCs/>
          <w:color w:val="000000" w:themeColor="text1"/>
          <w:sz w:val="28"/>
          <w:szCs w:val="28"/>
          <w:lang w:val="en-GB"/>
        </w:rPr>
        <w:t>General Population vs Urban Poor Population: PROMPT and CanCOLD</w:t>
      </w:r>
    </w:p>
    <w:p w14:paraId="74D0D0E1" w14:textId="1E8B0F46" w:rsidR="76FA90FC" w:rsidRDefault="76FA90FC" w:rsidP="00370FF9">
      <w:pPr>
        <w:spacing w:line="480" w:lineRule="exact"/>
        <w:jc w:val="both"/>
      </w:pPr>
      <w:r w:rsidRPr="68073280">
        <w:rPr>
          <w:rFonts w:ascii="Times New Roman" w:eastAsia="Times New Roman" w:hAnsi="Times New Roman" w:cs="Times New Roman"/>
          <w:color w:val="000000" w:themeColor="text1"/>
          <w:sz w:val="24"/>
          <w:szCs w:val="24"/>
        </w:rPr>
        <w:t>The demographic characteristics of the PROMPT sample were compared to similarly published data on the CanCOLD cohort. However, the anxiety, depression, and the quality of life scores between the cohorts were not relevant for comparison as they were measured differently: GAD-7 and PHQ-8 were used in PROMPT and HADS anxiety and depression scores were used in CanCOLD; EQ-5D-3L was used in PROMPT and the SF-36V2 in CanCOLD.</w:t>
      </w:r>
      <w:r w:rsidRPr="68073280">
        <w:rPr>
          <w:rFonts w:ascii="Times New Roman" w:eastAsia="Times New Roman" w:hAnsi="Times New Roman" w:cs="Times New Roman"/>
          <w:b/>
          <w:bCs/>
          <w:color w:val="000000" w:themeColor="text1"/>
          <w:sz w:val="24"/>
          <w:szCs w:val="24"/>
        </w:rPr>
        <w:t xml:space="preserve"> </w:t>
      </w:r>
      <w:r w:rsidRPr="68073280">
        <w:rPr>
          <w:rFonts w:ascii="Times New Roman" w:eastAsia="Times New Roman" w:hAnsi="Times New Roman" w:cs="Times New Roman"/>
          <w:color w:val="000000" w:themeColor="text1"/>
          <w:sz w:val="24"/>
          <w:szCs w:val="24"/>
        </w:rPr>
        <w:t xml:space="preserve">The COPD prevalence was markedly higher at </w:t>
      </w:r>
      <w:r w:rsidR="3331A12B" w:rsidRPr="68073280">
        <w:rPr>
          <w:rFonts w:ascii="Times New Roman" w:eastAsia="Times New Roman" w:hAnsi="Times New Roman" w:cs="Times New Roman"/>
          <w:color w:val="000000" w:themeColor="text1"/>
          <w:sz w:val="24"/>
          <w:szCs w:val="24"/>
        </w:rPr>
        <w:t>44</w:t>
      </w:r>
      <w:r w:rsidRPr="68073280">
        <w:rPr>
          <w:rFonts w:ascii="Times New Roman" w:eastAsia="Times New Roman" w:hAnsi="Times New Roman" w:cs="Times New Roman"/>
          <w:color w:val="000000" w:themeColor="text1"/>
          <w:sz w:val="24"/>
          <w:szCs w:val="24"/>
        </w:rPr>
        <w:t xml:space="preserve">% among those who completed spirometry measurements in the PROMPT group (n=64) compared to 17% in the CanCOLD population, with </w:t>
      </w:r>
      <w:r w:rsidR="70581F37" w:rsidRPr="68073280">
        <w:rPr>
          <w:rFonts w:ascii="Times New Roman" w:eastAsia="Times New Roman" w:hAnsi="Times New Roman" w:cs="Times New Roman"/>
          <w:color w:val="000000" w:themeColor="text1"/>
          <w:sz w:val="24"/>
          <w:szCs w:val="24"/>
        </w:rPr>
        <w:t>93</w:t>
      </w:r>
      <w:r w:rsidRPr="68073280">
        <w:rPr>
          <w:rFonts w:ascii="Times New Roman" w:eastAsia="Times New Roman" w:hAnsi="Times New Roman" w:cs="Times New Roman"/>
          <w:color w:val="000000" w:themeColor="text1"/>
          <w:sz w:val="24"/>
          <w:szCs w:val="24"/>
        </w:rPr>
        <w:t>% of the PROMPT participants experiencing moderate to severe OLD compared to 44% of the CanCOLD population (n=2598) (as determined by spirometer assessment and GOLD classification</w:t>
      </w:r>
      <w:r w:rsidR="00CB17C6" w:rsidRPr="68073280">
        <w:rPr>
          <w:rFonts w:ascii="Times New Roman" w:eastAsia="Times New Roman" w:hAnsi="Times New Roman" w:cs="Times New Roman"/>
          <w:color w:val="000000" w:themeColor="text1"/>
          <w:sz w:val="24"/>
          <w:szCs w:val="24"/>
        </w:rPr>
        <w:t xml:space="preserve">) </w:t>
      </w:r>
      <w:r w:rsidRPr="68073280">
        <w:rPr>
          <w:rFonts w:ascii="Times New Roman" w:eastAsia="Times New Roman" w:hAnsi="Times New Roman" w:cs="Times New Roman"/>
          <w:color w:val="000000" w:themeColor="text1"/>
          <w:sz w:val="24"/>
          <w:szCs w:val="24"/>
        </w:rPr>
        <w:fldChar w:fldCharType="begin" w:fldLock="1"/>
      </w:r>
      <w:r w:rsidRPr="68073280">
        <w:rPr>
          <w:rFonts w:ascii="Times New Roman" w:eastAsia="Times New Roman" w:hAnsi="Times New Roman" w:cs="Times New Roman"/>
          <w:color w:val="000000" w:themeColor="text1"/>
          <w:sz w:val="24"/>
          <w:szCs w:val="24"/>
        </w:rPr>
        <w:instrText>ADDIN CSL_CITATION {"citationItems":[{"id":"ITEM-1","itemData":{"ISSN":"1073-449X","author":[{"dropping-particle":"","family":"Labonte","given":"Laura E","non-dropping-particle":"","parse-names":false,"suffix":""},{"dropping-particle":"","family":"Tan","given":"Wan C","non-dropping-particle":"","parse-names":false,"suffix":""},{"dropping-particle":"","family":"Li","given":"Pei Z","non-dropping-particle":"","parse-names":false,"suffix":""},{"dropping-particle":"","family":"Mancino","given":"Palmina","non-dropping-particle":"","parse-names":false,"suffix":""},{"dropping-particle":"","family":"Aaron","given":"Shawn D","non-dropping-particle":"","parse-names":false,"suffix":""},{"dropping-particle":"","family":"Benedetti","given":"Andrea","non-dropping-particle":"","parse-names":false,"suffix":""},{"dropping-particle":"","family":"Chapman","given":"Kenneth R","non-dropping-particle":"","parse-names":false,"suffix":""},{"dropping-particle":"","family":"Cowie","given":"Robert","non-dropping-particle":"","parse-names":false,"suffix":""},{"dropping-particle":"","family":"FitzGerald","given":"J.Mark","non-dropping-particle":"","parse-names":false,"suffix":""},{"dropping-particle":"","family":"Hernandez","given":"Paul","non-dropping-particle":"","parse-names":false,"suffix":""}],"container-title":"American Journal of Respiratory and Critical Care Medicine","id":"ITEM-1","issue":"3","issued":{"date-parts":[["2016"]]},"page":"285-298","publisher":"Am Thoracic Soc","title":"Undiagnosed chronic obstructive pulmonary disease contributes to the burden of health care use. Data from the CanCOLD study","type":"article-journal","volume":"194"},"uris":["http://www.mendeley.com/documents/?uuid=072eb5ce-e32b-351a-ba0f-01583ada5090"]},{"id":"ITEM-2","itemData":{"author":[{"dropping-particle":"","family":"Buist","given":"A.Sonia","non-dropping-particle":"","parse-names":false,"suffix":""},{"dropping-particle":"","family":"McBurnie","given":"Mary Ann","non-dropping-particle":"","parse-names":false,"suffix":""},{"dropping-particle":"","family":"Vollmer","given":"William M","non-dropping-particle":"","parse-names":false,"suffix":""},{"dropping-particle":"","family":"Gillespie","given":"Suzanne","non-dropping-particle":"","parse-names":false,"suffix":""},{"dropping-particle":"","family":"Burney","given":"Peter","non-dropping-particle":"","parse-names":false,"suffix":""},{"dropping-particle":"","family":"Mannino","given":"David M","non-dropping-particle":"","parse-names":false,"suffix":""},{"dropping-particle":"","family":"Menezes","given":"Ana M B","non-dropping-particle":"","parse-names":false,"suffix":""},{"dropping-particle":"","family":"Sullivan","given":"Sean D","non-dropping-particle":"","parse-names":false,"suffix":""},{"dropping-particle":"","family":"Lee","given":"Todd A","non-dropping-particle":"","parse-names":false,"suffix":""},{"dropping-particle":"","family":"Weiss","given":"Kevin B","non-dropping-particle":"","parse-names":false,"suffix":""}],"container-title":"Lancet","id":"ITEM-2","issued":{"date-parts":[["2007"]]},"page":"741-750","title":"International variation in the prevalence of COPD (The BOLD Study): a population-based prevalence study","type":"article-journal","volume":"370"},"uris":["http://www.mendeley.com/documents/?uuid=c61415a1-503d-3ad7-8e25-7cda3807bb6c"]},{"id":"ITEM-3","itemData":{"ISSN":"0040-6376","author":[{"dropping-particle":"","family":"Tan","given":"W C","non-dropping-particle":"","parse-names":false,"suffix":""},{"dropping-particle":"","family":"Bourbeau","given":"J","non-dropping-particle":"","parse-names":false,"suffix":""},{"dropping-particle":"","family":"Hernandez","given":"P","non-dropping-particle":"","parse-names":false,"suffix":""},{"dropping-particle":"","family":"Chapman","given":"K R","non-dropping-particle":"","parse-names":false,"suffix":""},{"dropping-particle":"","family":"Cowie","given":"R","non-dropping-particle":"","parse-names":false,"suffix":""},{"dropping-particle":"","family":"Fitzgerald","given":"J M","non-dropping-particle":"","parse-names":false,"suffix":""},{"dropping-particle":"","family":"Marciniuk","given":"D D","non-dropping-particle":"","parse-names":false,"suffix":""},{"dropping-particle":"","family":"Maltais","given":"F","non-dropping-particle":"","parse-names":false,"suffix":""},{"dropping-particle":"","family":"Buist","given":"A.Sonia","non-dropping-particle":"","parse-names":false,"suffix":""},{"dropping-particle":"","family":"O'Donnell","given":"D E","non-dropping-particle":"","parse-names":false,"suffix":""}],"container-title":"Thorax","id":"ITEM-3","issue":"8","issued":{"date-parts":[["2014"]]},"page":"709-717","publisher":"BMJ Publishing Group Ltd","title":"Exacerbation-like respiratory symptoms in individuals without chronic obstructive pulmonary disease: results from a population-based study","type":"article-journal","volume":"69"},"uris":["http://www.mendeley.com/documents/?uuid=549a71aa-0c66-3527-b6c9-d6bd769bd625"]}],"mendeley":{"formattedCitation":"(1–3)","plainTextFormattedCitation":"(1–3)","previouslyFormattedCitation":"(1–3)"},"properties":{"noteIndex":0},"schema":"https://github.com/citation-style-language/schema/raw/master/csl-citation.json"}</w:instrText>
      </w:r>
      <w:r w:rsidRPr="68073280">
        <w:rPr>
          <w:rFonts w:ascii="Times New Roman" w:eastAsia="Times New Roman" w:hAnsi="Times New Roman" w:cs="Times New Roman"/>
          <w:color w:val="000000" w:themeColor="text1"/>
          <w:sz w:val="24"/>
          <w:szCs w:val="24"/>
        </w:rPr>
        <w:fldChar w:fldCharType="separate"/>
      </w:r>
      <w:r w:rsidR="00CB17C6" w:rsidRPr="68073280">
        <w:rPr>
          <w:rFonts w:ascii="Times New Roman" w:eastAsia="Times New Roman" w:hAnsi="Times New Roman" w:cs="Times New Roman"/>
          <w:noProof/>
          <w:color w:val="000000" w:themeColor="text1"/>
          <w:sz w:val="24"/>
          <w:szCs w:val="24"/>
        </w:rPr>
        <w:t>(1–3)</w:t>
      </w:r>
      <w:r w:rsidRPr="68073280">
        <w:rPr>
          <w:rFonts w:ascii="Times New Roman" w:eastAsia="Times New Roman" w:hAnsi="Times New Roman" w:cs="Times New Roman"/>
          <w:color w:val="000000" w:themeColor="text1"/>
          <w:sz w:val="24"/>
          <w:szCs w:val="24"/>
        </w:rPr>
        <w:fldChar w:fldCharType="end"/>
      </w:r>
      <w:r w:rsidRPr="68073280">
        <w:rPr>
          <w:rFonts w:ascii="Times New Roman" w:eastAsia="Times New Roman" w:hAnsi="Times New Roman" w:cs="Times New Roman"/>
          <w:color w:val="000000" w:themeColor="text1"/>
          <w:sz w:val="24"/>
          <w:szCs w:val="24"/>
        </w:rPr>
        <w:t>. While asthma prevalence was the same (16%) between PROMPT population and the CanCOLD population it should be noted that the prevalence of asthma was determined by estimated prevalence from spirometry results showing significant post-bronchodilation reversibility and self-reported physician-diagnosis of asthma, respectivel</w:t>
      </w:r>
      <w:r w:rsidR="00CB17C6" w:rsidRPr="68073280">
        <w:rPr>
          <w:rFonts w:ascii="Times New Roman" w:eastAsia="Times New Roman" w:hAnsi="Times New Roman" w:cs="Times New Roman"/>
          <w:color w:val="000000" w:themeColor="text1"/>
          <w:sz w:val="24"/>
          <w:szCs w:val="24"/>
        </w:rPr>
        <w:t xml:space="preserve">y </w:t>
      </w:r>
      <w:r w:rsidRPr="68073280">
        <w:rPr>
          <w:rFonts w:ascii="Times New Roman" w:eastAsia="Times New Roman" w:hAnsi="Times New Roman" w:cs="Times New Roman"/>
          <w:color w:val="000000" w:themeColor="text1"/>
          <w:sz w:val="24"/>
          <w:szCs w:val="24"/>
        </w:rPr>
        <w:fldChar w:fldCharType="begin" w:fldLock="1"/>
      </w:r>
      <w:r w:rsidRPr="68073280">
        <w:rPr>
          <w:rFonts w:ascii="Times New Roman" w:eastAsia="Times New Roman" w:hAnsi="Times New Roman" w:cs="Times New Roman"/>
          <w:color w:val="000000" w:themeColor="text1"/>
          <w:sz w:val="24"/>
          <w:szCs w:val="24"/>
        </w:rPr>
        <w:instrText>ADDIN CSL_CITATION {"citationItems":[{"id":"ITEM-1","itemData":{"ISSN":"0040-6376","author":[{"dropping-particle":"","family":"Tan","given":"W C","non-dropping-particle":"","parse-names":false,"suffix":""},{"dropping-particle":"","family":"Sin","given":"D D","non-dropping-particle":"","parse-names":false,"suffix":""},{"dropping-particle":"","family":"Bourbeau","given":"J","non-dropping-particle":"","parse-names":false,"suffix":""},{"dropping-particle":"","family":"Hernandez","given":"P","non-dropping-particle":"","parse-names":false,"suffix":""},{"dropping-particle":"","family":"Chapman","given":"K R","non-dropping-particle":"","parse-names":false,"suffix":""},{"dropping-particle":"","family":"Cowie","given":"R","non-dropping-particle":"","parse-names":false,"suffix":""},{"dropping-particle":"","family":"Fitzgerald","given":"J M","non-dropping-particle":"","parse-names":false,"suffix":""},{"dropping-particle":"","family":"Marciniuk","given":"D D","non-dropping-particle":"","parse-names":false,"suffix":""},{"dropping-particle":"","family":"Maltais","given":"F","non-dropping-particle":"","parse-names":false,"suffix":""},{"dropping-particle":"","family":"Buist","given":"A.Sonia","non-dropping-particle":"","parse-names":false,"suffix":""}],"container-title":"Thorax","id":"ITEM-1","issued":{"date-parts":[["2015"]]},"page":"thoraxjnl-2015","publisher":"BMJ Publishing Group Ltd","title":"Characteristics of COPD in never-smokers and ever-smokers in the general population: results from the CanCOLD study","type":"article-journal"},"uris":["http://www.mendeley.com/documents/?uuid=c960b529-f01c-3a81-9d66-dbc6c13814a5"]}],"mendeley":{"formattedCitation":"(4)","plainTextFormattedCitation":"(4)","previouslyFormattedCitation":"(4)"},"properties":{"noteIndex":0},"schema":"https://github.com/citation-style-language/schema/raw/master/csl-citation.json"}</w:instrText>
      </w:r>
      <w:r w:rsidRPr="68073280">
        <w:rPr>
          <w:rFonts w:ascii="Times New Roman" w:eastAsia="Times New Roman" w:hAnsi="Times New Roman" w:cs="Times New Roman"/>
          <w:color w:val="000000" w:themeColor="text1"/>
          <w:sz w:val="24"/>
          <w:szCs w:val="24"/>
        </w:rPr>
        <w:fldChar w:fldCharType="separate"/>
      </w:r>
      <w:r w:rsidR="00CB17C6" w:rsidRPr="68073280">
        <w:rPr>
          <w:rFonts w:ascii="Times New Roman" w:eastAsia="Times New Roman" w:hAnsi="Times New Roman" w:cs="Times New Roman"/>
          <w:noProof/>
          <w:color w:val="000000" w:themeColor="text1"/>
          <w:sz w:val="24"/>
          <w:szCs w:val="24"/>
        </w:rPr>
        <w:t>(4)</w:t>
      </w:r>
      <w:r w:rsidRPr="68073280">
        <w:rPr>
          <w:rFonts w:ascii="Times New Roman" w:eastAsia="Times New Roman" w:hAnsi="Times New Roman" w:cs="Times New Roman"/>
          <w:color w:val="000000" w:themeColor="text1"/>
          <w:sz w:val="24"/>
          <w:szCs w:val="24"/>
        </w:rPr>
        <w:fldChar w:fldCharType="end"/>
      </w:r>
      <w:r w:rsidRPr="68073280">
        <w:rPr>
          <w:rFonts w:ascii="Times New Roman" w:eastAsia="Times New Roman" w:hAnsi="Times New Roman" w:cs="Times New Roman"/>
          <w:color w:val="000000" w:themeColor="text1"/>
          <w:sz w:val="24"/>
          <w:szCs w:val="24"/>
        </w:rPr>
        <w:t>. Therefore, the ability to compare asthma prevalence between the two cohorts is limited.</w:t>
      </w:r>
    </w:p>
    <w:p w14:paraId="4009D5B6" w14:textId="7A87D79D" w:rsidR="00CB17C6" w:rsidRDefault="76FA90FC" w:rsidP="37399AC2">
      <w:pPr>
        <w:spacing w:line="480" w:lineRule="exact"/>
        <w:jc w:val="both"/>
        <w:rPr>
          <w:rFonts w:ascii="Times New Roman" w:eastAsia="Times New Roman" w:hAnsi="Times New Roman" w:cs="Times New Roman"/>
          <w:color w:val="000000" w:themeColor="text1"/>
          <w:sz w:val="24"/>
          <w:szCs w:val="24"/>
        </w:rPr>
      </w:pPr>
      <w:r w:rsidRPr="37399AC2">
        <w:rPr>
          <w:rFonts w:ascii="Times New Roman" w:eastAsia="Times New Roman" w:hAnsi="Times New Roman" w:cs="Times New Roman"/>
          <w:color w:val="000000" w:themeColor="text1"/>
          <w:sz w:val="24"/>
          <w:szCs w:val="24"/>
        </w:rPr>
        <w:t xml:space="preserve">            An important issue surrounding the </w:t>
      </w:r>
      <w:r w:rsidR="00CB17C6">
        <w:rPr>
          <w:rFonts w:ascii="Times New Roman" w:eastAsia="Times New Roman" w:hAnsi="Times New Roman" w:cs="Times New Roman"/>
          <w:color w:val="000000" w:themeColor="text1"/>
          <w:sz w:val="24"/>
          <w:szCs w:val="24"/>
        </w:rPr>
        <w:t>urban poor population</w:t>
      </w:r>
      <w:r w:rsidRPr="37399AC2">
        <w:rPr>
          <w:rFonts w:ascii="Times New Roman" w:eastAsia="Times New Roman" w:hAnsi="Times New Roman" w:cs="Times New Roman"/>
          <w:color w:val="000000" w:themeColor="text1"/>
          <w:sz w:val="24"/>
          <w:szCs w:val="24"/>
        </w:rPr>
        <w:t xml:space="preserve"> that this study uncovers is the importance of representation in research. Though there are efforts to understand the burden of OLD, there is no comprehensive data on the </w:t>
      </w:r>
      <w:r w:rsidR="00CB17C6">
        <w:rPr>
          <w:rFonts w:ascii="Times New Roman" w:eastAsia="Times New Roman" w:hAnsi="Times New Roman" w:cs="Times New Roman"/>
          <w:color w:val="000000" w:themeColor="text1"/>
          <w:sz w:val="24"/>
          <w:szCs w:val="24"/>
        </w:rPr>
        <w:t>urban poor</w:t>
      </w:r>
      <w:r w:rsidRPr="37399AC2">
        <w:rPr>
          <w:rFonts w:ascii="Times New Roman" w:eastAsia="Times New Roman" w:hAnsi="Times New Roman" w:cs="Times New Roman"/>
          <w:color w:val="000000" w:themeColor="text1"/>
          <w:sz w:val="24"/>
          <w:szCs w:val="24"/>
        </w:rPr>
        <w:t>. In Canada, the CanCOLD cohort includes participants through random digit dialing, to select representative samples of the general population</w:t>
      </w:r>
      <w:r w:rsidR="00CB17C6">
        <w:rPr>
          <w:rFonts w:ascii="Times New Roman" w:eastAsia="Times New Roman" w:hAnsi="Times New Roman" w:cs="Times New Roman"/>
          <w:color w:val="000000" w:themeColor="text1"/>
          <w:sz w:val="24"/>
          <w:szCs w:val="24"/>
        </w:rPr>
        <w:t xml:space="preserve"> </w:t>
      </w:r>
      <w:r w:rsidR="00CB17C6">
        <w:rPr>
          <w:rFonts w:ascii="Times New Roman" w:eastAsia="Times New Roman" w:hAnsi="Times New Roman" w:cs="Times New Roman"/>
          <w:color w:val="000000" w:themeColor="text1"/>
          <w:sz w:val="24"/>
          <w:szCs w:val="24"/>
        </w:rPr>
        <w:fldChar w:fldCharType="begin" w:fldLock="1"/>
      </w:r>
      <w:r w:rsidR="00CB17C6">
        <w:rPr>
          <w:rFonts w:ascii="Times New Roman" w:eastAsia="Times New Roman" w:hAnsi="Times New Roman" w:cs="Times New Roman"/>
          <w:color w:val="000000" w:themeColor="text1"/>
          <w:sz w:val="24"/>
          <w:szCs w:val="24"/>
        </w:rPr>
        <w:instrText>ADDIN CSL_CITATION {"citationItems":[{"id":"ITEM-1","itemData":{"author":[{"dropping-particle":"","family":"Buist","given":"A.Sonia","non-dropping-particle":"","parse-names":false,"suffix":""},{"dropping-particle":"","family":"McBurnie","given":"Mary Ann","non-dropping-particle":"","parse-names":false,"suffix":""},{"dropping-particle":"","family":"Vollmer","given":"William M","non-dropping-particle":"","parse-names":false,"suffix":""},{"dropping-particle":"","family":"Gillespie","given":"Suzanne","non-dropping-particle":"","parse-names":false,"suffix":""},{"dropping-particle":"","family":"Burney","given":"Peter","non-dropping-particle":"","parse-names":false,"suffix":""},{"dropping-particle":"","family":"Mannino","given":"David M","non-dropping-particle":"","parse-names":false,"suffix":""},{"dropping-particle":"","family":"Menezes","given":"Ana M B","non-dropping-particle":"","parse-names":false,"suffix":""},{"dropping-particle":"","family":"Sullivan","given":"Sean D","non-dropping-particle":"","parse-names":false,"suffix":""},{"dropping-particle":"","family":"Lee","given":"Todd A","non-dropping-particle":"","parse-names":false,"suffix":""},{"dropping-particle":"","family":"Weiss","given":"Kevin B","non-dropping-particle":"","parse-names":false,"suffix":""}],"container-title":"Lancet","id":"ITEM-1","issued":{"date-parts":[["2007"]]},"page":"741-750","title":"International variation in the prevalence of COPD (The BOLD Study): a population-based prevalence study","type":"article-journal","volume":"370"},"uris":["http://www.mendeley.com/documents/?uuid=c61415a1-503d-3ad7-8e25-7cda3807bb6c"]}],"mendeley":{"formattedCitation":"(2)","plainTextFormattedCitation":"(2)","previouslyFormattedCitation":"(2)"},"properties":{"noteIndex":0},"schema":"https://github.com/citation-style-language/schema/raw/master/csl-citation.json"}</w:instrText>
      </w:r>
      <w:r w:rsidR="00CB17C6">
        <w:rPr>
          <w:rFonts w:ascii="Times New Roman" w:eastAsia="Times New Roman" w:hAnsi="Times New Roman" w:cs="Times New Roman"/>
          <w:color w:val="000000" w:themeColor="text1"/>
          <w:sz w:val="24"/>
          <w:szCs w:val="24"/>
        </w:rPr>
        <w:fldChar w:fldCharType="separate"/>
      </w:r>
      <w:r w:rsidR="00CB17C6" w:rsidRPr="00CB17C6">
        <w:rPr>
          <w:rFonts w:ascii="Times New Roman" w:eastAsia="Times New Roman" w:hAnsi="Times New Roman" w:cs="Times New Roman"/>
          <w:noProof/>
          <w:color w:val="000000" w:themeColor="text1"/>
          <w:sz w:val="24"/>
          <w:szCs w:val="24"/>
        </w:rPr>
        <w:t>(2)</w:t>
      </w:r>
      <w:r w:rsidR="00CB17C6">
        <w:rPr>
          <w:rFonts w:ascii="Times New Roman" w:eastAsia="Times New Roman" w:hAnsi="Times New Roman" w:cs="Times New Roman"/>
          <w:color w:val="000000" w:themeColor="text1"/>
          <w:sz w:val="24"/>
          <w:szCs w:val="24"/>
        </w:rPr>
        <w:fldChar w:fldCharType="end"/>
      </w:r>
      <w:r w:rsidRPr="37399AC2">
        <w:rPr>
          <w:rFonts w:ascii="Times New Roman" w:eastAsia="Times New Roman" w:hAnsi="Times New Roman" w:cs="Times New Roman"/>
          <w:color w:val="000000" w:themeColor="text1"/>
          <w:sz w:val="24"/>
          <w:szCs w:val="24"/>
        </w:rPr>
        <w:t xml:space="preserve">. Therefore, both studies inherently exclude the </w:t>
      </w:r>
      <w:r w:rsidR="00CB17C6">
        <w:rPr>
          <w:rFonts w:ascii="Times New Roman" w:eastAsia="Times New Roman" w:hAnsi="Times New Roman" w:cs="Times New Roman"/>
          <w:color w:val="000000" w:themeColor="text1"/>
          <w:sz w:val="24"/>
          <w:szCs w:val="24"/>
        </w:rPr>
        <w:t>urban poor</w:t>
      </w:r>
      <w:r w:rsidRPr="37399AC2">
        <w:rPr>
          <w:rFonts w:ascii="Times New Roman" w:eastAsia="Times New Roman" w:hAnsi="Times New Roman" w:cs="Times New Roman"/>
          <w:color w:val="000000" w:themeColor="text1"/>
          <w:sz w:val="24"/>
          <w:szCs w:val="24"/>
        </w:rPr>
        <w:t xml:space="preserve"> as members of this population may be homeless or precariously housed with frequent changes to their address. They may also have limited access to a stable phone number and may face barriers to using a mobile phone, including their phone frequently getting lost, stolen or confiscated by the police force; common situations reported by the participants and peer researchers at </w:t>
      </w:r>
      <w:r w:rsidRPr="37399AC2">
        <w:rPr>
          <w:rFonts w:ascii="Times New Roman" w:eastAsia="Times New Roman" w:hAnsi="Times New Roman" w:cs="Times New Roman"/>
          <w:i/>
          <w:iCs/>
          <w:color w:val="000000" w:themeColor="text1"/>
          <w:sz w:val="24"/>
          <w:szCs w:val="24"/>
        </w:rPr>
        <w:t>The Bridge</w:t>
      </w:r>
      <w:r w:rsidRPr="37399AC2">
        <w:rPr>
          <w:rFonts w:ascii="Times New Roman" w:eastAsia="Times New Roman" w:hAnsi="Times New Roman" w:cs="Times New Roman"/>
          <w:color w:val="000000" w:themeColor="text1"/>
          <w:sz w:val="24"/>
          <w:szCs w:val="24"/>
        </w:rPr>
        <w:t>. Thus, the absence of an effort to include members of marginalized populations can result in systematic exclusion from research that can potentially improve health outcomes and reduce health inequities.</w:t>
      </w:r>
    </w:p>
    <w:p w14:paraId="693ED57B" w14:textId="64940EF0" w:rsidR="76FA90FC" w:rsidRPr="00CB17C6" w:rsidRDefault="00CB17C6" w:rsidP="00874736">
      <w:pPr>
        <w:suppressLineNumbers/>
        <w:spacing w:line="480" w:lineRule="exact"/>
        <w:jc w:val="both"/>
        <w:rPr>
          <w:b/>
          <w:bCs/>
        </w:rPr>
      </w:pPr>
      <w:r>
        <w:rPr>
          <w:rFonts w:ascii="Times New Roman" w:eastAsia="Times New Roman" w:hAnsi="Times New Roman" w:cs="Times New Roman"/>
          <w:b/>
          <w:bCs/>
          <w:color w:val="000000" w:themeColor="text1"/>
          <w:sz w:val="24"/>
          <w:szCs w:val="24"/>
        </w:rPr>
        <w:lastRenderedPageBreak/>
        <w:t>References</w:t>
      </w:r>
    </w:p>
    <w:p w14:paraId="11D7D893" w14:textId="4D36E430" w:rsidR="00CB17C6" w:rsidRPr="00CB17C6" w:rsidRDefault="76FA90FC" w:rsidP="00874736">
      <w:pPr>
        <w:widowControl w:val="0"/>
        <w:suppressLineNumbers/>
        <w:autoSpaceDE w:val="0"/>
        <w:autoSpaceDN w:val="0"/>
        <w:adjustRightInd w:val="0"/>
        <w:spacing w:line="240" w:lineRule="auto"/>
        <w:ind w:left="640" w:hanging="640"/>
        <w:rPr>
          <w:rFonts w:ascii="Times New Roman" w:hAnsi="Times New Roman" w:cs="Times New Roman"/>
          <w:noProof/>
          <w:sz w:val="24"/>
        </w:rPr>
      </w:pPr>
      <w:r w:rsidRPr="37399AC2">
        <w:rPr>
          <w:rFonts w:ascii="Times New Roman" w:eastAsia="Times New Roman" w:hAnsi="Times New Roman" w:cs="Times New Roman"/>
          <w:color w:val="000000" w:themeColor="text1"/>
          <w:sz w:val="24"/>
          <w:szCs w:val="24"/>
        </w:rPr>
        <w:t xml:space="preserve"> </w:t>
      </w:r>
      <w:r w:rsidR="00CB17C6">
        <w:rPr>
          <w:rFonts w:ascii="Times New Roman" w:eastAsia="Times New Roman" w:hAnsi="Times New Roman" w:cs="Times New Roman"/>
          <w:color w:val="000000" w:themeColor="text1"/>
          <w:sz w:val="24"/>
          <w:szCs w:val="24"/>
        </w:rPr>
        <w:fldChar w:fldCharType="begin" w:fldLock="1"/>
      </w:r>
      <w:r w:rsidR="00CB17C6">
        <w:rPr>
          <w:rFonts w:ascii="Times New Roman" w:eastAsia="Times New Roman" w:hAnsi="Times New Roman" w:cs="Times New Roman"/>
          <w:color w:val="000000" w:themeColor="text1"/>
          <w:sz w:val="24"/>
          <w:szCs w:val="24"/>
        </w:rPr>
        <w:instrText xml:space="preserve">ADDIN Mendeley Bibliography CSL_BIBLIOGRAPHY </w:instrText>
      </w:r>
      <w:r w:rsidR="00CB17C6">
        <w:rPr>
          <w:rFonts w:ascii="Times New Roman" w:eastAsia="Times New Roman" w:hAnsi="Times New Roman" w:cs="Times New Roman"/>
          <w:color w:val="000000" w:themeColor="text1"/>
          <w:sz w:val="24"/>
          <w:szCs w:val="24"/>
        </w:rPr>
        <w:fldChar w:fldCharType="separate"/>
      </w:r>
      <w:r w:rsidR="00CB17C6" w:rsidRPr="00CB17C6">
        <w:rPr>
          <w:rFonts w:ascii="Times New Roman" w:hAnsi="Times New Roman" w:cs="Times New Roman"/>
          <w:noProof/>
          <w:sz w:val="24"/>
        </w:rPr>
        <w:t xml:space="preserve">1. </w:t>
      </w:r>
      <w:r w:rsidR="00CB17C6" w:rsidRPr="00CB17C6">
        <w:rPr>
          <w:rFonts w:ascii="Times New Roman" w:hAnsi="Times New Roman" w:cs="Times New Roman"/>
          <w:noProof/>
          <w:sz w:val="24"/>
        </w:rPr>
        <w:tab/>
        <w:t xml:space="preserve">Labonte LE, Tan WC, Li PZ, Mancino P, Aaron SD, Benedetti A, et al. Undiagnosed chronic obstructive pulmonary disease contributes to the burden of health care use. Data from the CanCOLD study. Am J Respir Crit Care Med. 2016;194(3):285–98. </w:t>
      </w:r>
    </w:p>
    <w:p w14:paraId="209C2B16" w14:textId="77777777" w:rsidR="00CB17C6" w:rsidRPr="00CB17C6" w:rsidRDefault="00CB17C6" w:rsidP="00874736">
      <w:pPr>
        <w:widowControl w:val="0"/>
        <w:suppressLineNumbers/>
        <w:autoSpaceDE w:val="0"/>
        <w:autoSpaceDN w:val="0"/>
        <w:adjustRightInd w:val="0"/>
        <w:spacing w:line="240" w:lineRule="auto"/>
        <w:ind w:left="640" w:hanging="640"/>
        <w:rPr>
          <w:rFonts w:ascii="Times New Roman" w:hAnsi="Times New Roman" w:cs="Times New Roman"/>
          <w:noProof/>
          <w:sz w:val="24"/>
        </w:rPr>
      </w:pPr>
      <w:r w:rsidRPr="00CB17C6">
        <w:rPr>
          <w:rFonts w:ascii="Times New Roman" w:hAnsi="Times New Roman" w:cs="Times New Roman"/>
          <w:noProof/>
          <w:sz w:val="24"/>
        </w:rPr>
        <w:t xml:space="preserve">2. </w:t>
      </w:r>
      <w:r w:rsidRPr="00CB17C6">
        <w:rPr>
          <w:rFonts w:ascii="Times New Roman" w:hAnsi="Times New Roman" w:cs="Times New Roman"/>
          <w:noProof/>
          <w:sz w:val="24"/>
        </w:rPr>
        <w:tab/>
        <w:t xml:space="preserve">Buist AS, McBurnie MA, Vollmer WM, Gillespie S, Burney P, Mannino DM, et al. International variation in the prevalence of COPD (The BOLD Study): a population-based prevalence study. Lancet. 2007;370:741–50. </w:t>
      </w:r>
    </w:p>
    <w:p w14:paraId="222DC0DD" w14:textId="3324A66A" w:rsidR="00CB17C6" w:rsidRPr="00CB17C6" w:rsidRDefault="00CB17C6" w:rsidP="00874736">
      <w:pPr>
        <w:widowControl w:val="0"/>
        <w:suppressLineNumbers/>
        <w:autoSpaceDE w:val="0"/>
        <w:autoSpaceDN w:val="0"/>
        <w:adjustRightInd w:val="0"/>
        <w:spacing w:line="240" w:lineRule="auto"/>
        <w:ind w:left="640" w:hanging="640"/>
        <w:rPr>
          <w:rFonts w:ascii="Times New Roman" w:hAnsi="Times New Roman" w:cs="Times New Roman"/>
          <w:noProof/>
          <w:sz w:val="24"/>
        </w:rPr>
      </w:pPr>
      <w:r w:rsidRPr="00CB17C6">
        <w:rPr>
          <w:rFonts w:ascii="Times New Roman" w:hAnsi="Times New Roman" w:cs="Times New Roman"/>
          <w:noProof/>
          <w:sz w:val="24"/>
        </w:rPr>
        <w:t xml:space="preserve">3. </w:t>
      </w:r>
      <w:r w:rsidRPr="00CB17C6">
        <w:rPr>
          <w:rFonts w:ascii="Times New Roman" w:hAnsi="Times New Roman" w:cs="Times New Roman"/>
          <w:noProof/>
          <w:sz w:val="24"/>
        </w:rPr>
        <w:tab/>
        <w:t>Tan WC, Bourbeau J, Hernandez P, Chapman KR, Cowie R, Fitzgerald JM, et al. Exacerbation-like respiratory symptoms in individuals without chronic obstructive pulmonary disease: results from a population-based study. Thorax</w:t>
      </w:r>
      <w:r>
        <w:rPr>
          <w:rFonts w:ascii="Times New Roman" w:hAnsi="Times New Roman" w:cs="Times New Roman"/>
          <w:noProof/>
          <w:sz w:val="24"/>
        </w:rPr>
        <w:t xml:space="preserve">. </w:t>
      </w:r>
      <w:r w:rsidRPr="00CB17C6">
        <w:rPr>
          <w:rFonts w:ascii="Times New Roman" w:hAnsi="Times New Roman" w:cs="Times New Roman"/>
          <w:noProof/>
          <w:sz w:val="24"/>
        </w:rPr>
        <w:t xml:space="preserve">2014;69(8):709–17. </w:t>
      </w:r>
    </w:p>
    <w:p w14:paraId="504C97E8" w14:textId="04428312" w:rsidR="00CB17C6" w:rsidRPr="00CB17C6" w:rsidRDefault="00CB17C6" w:rsidP="00874736">
      <w:pPr>
        <w:widowControl w:val="0"/>
        <w:suppressLineNumbers/>
        <w:autoSpaceDE w:val="0"/>
        <w:autoSpaceDN w:val="0"/>
        <w:adjustRightInd w:val="0"/>
        <w:spacing w:line="240" w:lineRule="auto"/>
        <w:ind w:left="640" w:hanging="640"/>
        <w:rPr>
          <w:rFonts w:ascii="Times New Roman" w:hAnsi="Times New Roman" w:cs="Times New Roman"/>
          <w:noProof/>
          <w:sz w:val="24"/>
        </w:rPr>
      </w:pPr>
      <w:r w:rsidRPr="00CB17C6">
        <w:rPr>
          <w:rFonts w:ascii="Times New Roman" w:hAnsi="Times New Roman" w:cs="Times New Roman"/>
          <w:noProof/>
          <w:sz w:val="24"/>
        </w:rPr>
        <w:t xml:space="preserve">4. </w:t>
      </w:r>
      <w:r w:rsidRPr="00CB17C6">
        <w:rPr>
          <w:rFonts w:ascii="Times New Roman" w:hAnsi="Times New Roman" w:cs="Times New Roman"/>
          <w:noProof/>
          <w:sz w:val="24"/>
        </w:rPr>
        <w:tab/>
        <w:t xml:space="preserve">Tan WC, Sin DD, Bourbeau J, Hernandez P, Chapman KR, Cowie R, et al. Characteristics of COPD in never-smokers and ever-smokers in the general population: results from the CanCOLD study. Thorax. 2015;thoraxjnl-2015. </w:t>
      </w:r>
    </w:p>
    <w:p w14:paraId="6C6C9CAF" w14:textId="256C6CE9" w:rsidR="76FA90FC" w:rsidRDefault="00CB17C6" w:rsidP="00874736">
      <w:pPr>
        <w:suppressLineNumbers/>
        <w:jc w:val="both"/>
      </w:pPr>
      <w:r>
        <w:rPr>
          <w:rFonts w:ascii="Times New Roman" w:eastAsia="Times New Roman" w:hAnsi="Times New Roman" w:cs="Times New Roman"/>
          <w:color w:val="000000" w:themeColor="text1"/>
          <w:sz w:val="24"/>
          <w:szCs w:val="24"/>
        </w:rPr>
        <w:fldChar w:fldCharType="end"/>
      </w:r>
    </w:p>
    <w:p w14:paraId="385AE8D4" w14:textId="12A2CC1C" w:rsidR="00370FF9" w:rsidRDefault="76FA90FC" w:rsidP="00874736">
      <w:pPr>
        <w:suppressLineNumbers/>
        <w:jc w:val="both"/>
        <w:rPr>
          <w:rFonts w:ascii="Times New Roman" w:eastAsia="Times New Roman" w:hAnsi="Times New Roman" w:cs="Times New Roman"/>
          <w:color w:val="000000" w:themeColor="text1"/>
          <w:sz w:val="24"/>
          <w:szCs w:val="24"/>
        </w:rPr>
      </w:pPr>
      <w:r w:rsidRPr="37399AC2">
        <w:rPr>
          <w:rFonts w:ascii="Times New Roman" w:eastAsia="Times New Roman" w:hAnsi="Times New Roman" w:cs="Times New Roman"/>
          <w:color w:val="000000" w:themeColor="text1"/>
          <w:sz w:val="24"/>
          <w:szCs w:val="24"/>
        </w:rPr>
        <w:t xml:space="preserve"> </w:t>
      </w:r>
    </w:p>
    <w:p w14:paraId="0A7CFF67" w14:textId="785ED2DA" w:rsidR="00370FF9" w:rsidRDefault="00370FF9" w:rsidP="00874736">
      <w:pPr>
        <w:suppressLineNumbers/>
        <w:jc w:val="both"/>
        <w:rPr>
          <w:rFonts w:ascii="Times New Roman" w:eastAsia="Times New Roman" w:hAnsi="Times New Roman" w:cs="Times New Roman"/>
          <w:color w:val="000000" w:themeColor="text1"/>
          <w:sz w:val="24"/>
          <w:szCs w:val="24"/>
        </w:rPr>
      </w:pPr>
    </w:p>
    <w:p w14:paraId="68CBFD7D" w14:textId="74C88DD5" w:rsidR="00370FF9" w:rsidRDefault="00370FF9" w:rsidP="00874736">
      <w:pPr>
        <w:suppressLineNumbers/>
        <w:jc w:val="both"/>
        <w:rPr>
          <w:rFonts w:ascii="Times New Roman" w:eastAsia="Times New Roman" w:hAnsi="Times New Roman" w:cs="Times New Roman"/>
          <w:color w:val="000000" w:themeColor="text1"/>
          <w:sz w:val="24"/>
          <w:szCs w:val="24"/>
        </w:rPr>
      </w:pPr>
    </w:p>
    <w:p w14:paraId="4CF61406" w14:textId="176AF689" w:rsidR="00370FF9" w:rsidRDefault="00370FF9" w:rsidP="00874736">
      <w:pPr>
        <w:suppressLineNumbers/>
        <w:jc w:val="both"/>
        <w:rPr>
          <w:rFonts w:ascii="Times New Roman" w:eastAsia="Times New Roman" w:hAnsi="Times New Roman" w:cs="Times New Roman"/>
          <w:color w:val="000000" w:themeColor="text1"/>
          <w:sz w:val="24"/>
          <w:szCs w:val="24"/>
        </w:rPr>
      </w:pPr>
    </w:p>
    <w:p w14:paraId="7D809CC3" w14:textId="4A0AF17B" w:rsidR="00370FF9" w:rsidRDefault="00370FF9" w:rsidP="00874736">
      <w:pPr>
        <w:suppressLineNumbers/>
        <w:jc w:val="both"/>
        <w:rPr>
          <w:rFonts w:ascii="Times New Roman" w:eastAsia="Times New Roman" w:hAnsi="Times New Roman" w:cs="Times New Roman"/>
          <w:color w:val="000000" w:themeColor="text1"/>
          <w:sz w:val="24"/>
          <w:szCs w:val="24"/>
        </w:rPr>
      </w:pPr>
    </w:p>
    <w:p w14:paraId="20DED347" w14:textId="1F5C0B3C" w:rsidR="00370FF9" w:rsidRDefault="00370FF9" w:rsidP="00874736">
      <w:pPr>
        <w:suppressLineNumbers/>
        <w:jc w:val="both"/>
        <w:rPr>
          <w:rFonts w:ascii="Times New Roman" w:eastAsia="Times New Roman" w:hAnsi="Times New Roman" w:cs="Times New Roman"/>
          <w:color w:val="000000" w:themeColor="text1"/>
          <w:sz w:val="24"/>
          <w:szCs w:val="24"/>
        </w:rPr>
      </w:pPr>
    </w:p>
    <w:p w14:paraId="2927B85E" w14:textId="73D8B122" w:rsidR="00370FF9" w:rsidRDefault="00370FF9" w:rsidP="00874736">
      <w:pPr>
        <w:suppressLineNumbers/>
        <w:jc w:val="both"/>
        <w:rPr>
          <w:rFonts w:ascii="Times New Roman" w:eastAsia="Times New Roman" w:hAnsi="Times New Roman" w:cs="Times New Roman"/>
          <w:color w:val="000000" w:themeColor="text1"/>
          <w:sz w:val="24"/>
          <w:szCs w:val="24"/>
        </w:rPr>
      </w:pPr>
    </w:p>
    <w:p w14:paraId="5B104E06" w14:textId="1B8E32F2" w:rsidR="00370FF9" w:rsidRDefault="00370FF9" w:rsidP="00874736">
      <w:pPr>
        <w:suppressLineNumbers/>
        <w:jc w:val="both"/>
        <w:rPr>
          <w:rFonts w:ascii="Times New Roman" w:eastAsia="Times New Roman" w:hAnsi="Times New Roman" w:cs="Times New Roman"/>
          <w:color w:val="000000" w:themeColor="text1"/>
          <w:sz w:val="24"/>
          <w:szCs w:val="24"/>
        </w:rPr>
      </w:pPr>
    </w:p>
    <w:p w14:paraId="39451D92" w14:textId="2B8C3199" w:rsidR="00370FF9" w:rsidRDefault="00370FF9" w:rsidP="00874736">
      <w:pPr>
        <w:suppressLineNumbers/>
        <w:jc w:val="both"/>
        <w:rPr>
          <w:rFonts w:ascii="Times New Roman" w:eastAsia="Times New Roman" w:hAnsi="Times New Roman" w:cs="Times New Roman"/>
          <w:color w:val="000000" w:themeColor="text1"/>
          <w:sz w:val="24"/>
          <w:szCs w:val="24"/>
        </w:rPr>
      </w:pPr>
    </w:p>
    <w:p w14:paraId="3C577FF7" w14:textId="03D50837" w:rsidR="00370FF9" w:rsidRDefault="00370FF9" w:rsidP="00874736">
      <w:pPr>
        <w:suppressLineNumbers/>
        <w:jc w:val="both"/>
        <w:rPr>
          <w:rFonts w:ascii="Times New Roman" w:eastAsia="Times New Roman" w:hAnsi="Times New Roman" w:cs="Times New Roman"/>
          <w:color w:val="000000" w:themeColor="text1"/>
          <w:sz w:val="24"/>
          <w:szCs w:val="24"/>
        </w:rPr>
      </w:pPr>
    </w:p>
    <w:p w14:paraId="1EA8E586" w14:textId="5079FA5B" w:rsidR="00370FF9" w:rsidRDefault="00370FF9" w:rsidP="00874736">
      <w:pPr>
        <w:suppressLineNumbers/>
        <w:jc w:val="both"/>
        <w:rPr>
          <w:rFonts w:ascii="Times New Roman" w:eastAsia="Times New Roman" w:hAnsi="Times New Roman" w:cs="Times New Roman"/>
          <w:color w:val="000000" w:themeColor="text1"/>
          <w:sz w:val="24"/>
          <w:szCs w:val="24"/>
        </w:rPr>
      </w:pPr>
    </w:p>
    <w:p w14:paraId="72864322" w14:textId="23CA5388" w:rsidR="00370FF9" w:rsidRDefault="00370FF9" w:rsidP="00874736">
      <w:pPr>
        <w:suppressLineNumbers/>
        <w:jc w:val="both"/>
        <w:rPr>
          <w:rFonts w:ascii="Times New Roman" w:eastAsia="Times New Roman" w:hAnsi="Times New Roman" w:cs="Times New Roman"/>
          <w:color w:val="000000" w:themeColor="text1"/>
          <w:sz w:val="24"/>
          <w:szCs w:val="24"/>
        </w:rPr>
      </w:pPr>
    </w:p>
    <w:p w14:paraId="23F35CB4" w14:textId="4A382621" w:rsidR="00370FF9" w:rsidRDefault="00370FF9" w:rsidP="00874736">
      <w:pPr>
        <w:suppressLineNumbers/>
        <w:jc w:val="both"/>
        <w:rPr>
          <w:rFonts w:ascii="Times New Roman" w:eastAsia="Times New Roman" w:hAnsi="Times New Roman" w:cs="Times New Roman"/>
          <w:color w:val="000000" w:themeColor="text1"/>
          <w:sz w:val="24"/>
          <w:szCs w:val="24"/>
        </w:rPr>
      </w:pPr>
    </w:p>
    <w:p w14:paraId="671B976D" w14:textId="288D2FD4" w:rsidR="00370FF9" w:rsidRDefault="00370FF9" w:rsidP="00874736">
      <w:pPr>
        <w:suppressLineNumbers/>
        <w:jc w:val="both"/>
        <w:rPr>
          <w:rFonts w:ascii="Times New Roman" w:eastAsia="Times New Roman" w:hAnsi="Times New Roman" w:cs="Times New Roman"/>
          <w:color w:val="000000" w:themeColor="text1"/>
          <w:sz w:val="24"/>
          <w:szCs w:val="24"/>
        </w:rPr>
      </w:pPr>
    </w:p>
    <w:p w14:paraId="4B709BD3" w14:textId="3A16D641" w:rsidR="00370FF9" w:rsidRDefault="00370FF9" w:rsidP="00874736">
      <w:pPr>
        <w:suppressLineNumbers/>
        <w:jc w:val="both"/>
        <w:rPr>
          <w:rFonts w:ascii="Times New Roman" w:eastAsia="Times New Roman" w:hAnsi="Times New Roman" w:cs="Times New Roman"/>
          <w:color w:val="000000" w:themeColor="text1"/>
          <w:sz w:val="24"/>
          <w:szCs w:val="24"/>
        </w:rPr>
      </w:pPr>
    </w:p>
    <w:p w14:paraId="2DB53CE0" w14:textId="1CED28AE" w:rsidR="00370FF9" w:rsidRDefault="00370FF9" w:rsidP="00874736">
      <w:pPr>
        <w:suppressLineNumbers/>
        <w:jc w:val="both"/>
        <w:rPr>
          <w:rFonts w:ascii="Times New Roman" w:eastAsia="Times New Roman" w:hAnsi="Times New Roman" w:cs="Times New Roman"/>
          <w:color w:val="000000" w:themeColor="text1"/>
          <w:sz w:val="24"/>
          <w:szCs w:val="24"/>
        </w:rPr>
      </w:pPr>
    </w:p>
    <w:p w14:paraId="513E6F3E" w14:textId="77777777" w:rsidR="00370FF9" w:rsidRDefault="00370FF9" w:rsidP="00874736">
      <w:pPr>
        <w:suppressLineNumbers/>
        <w:jc w:val="both"/>
      </w:pPr>
    </w:p>
    <w:p w14:paraId="70C84F64" w14:textId="0258855B" w:rsidR="76FA90FC" w:rsidRDefault="00874736" w:rsidP="00874736">
      <w:pPr>
        <w:suppressLineNumbers/>
        <w:jc w:val="both"/>
      </w:pPr>
      <w:r>
        <w:rPr>
          <w:rFonts w:ascii="Times New Roman" w:eastAsia="Times New Roman" w:hAnsi="Times New Roman" w:cs="Times New Roman"/>
          <w:color w:val="000000" w:themeColor="text1"/>
          <w:sz w:val="24"/>
          <w:szCs w:val="24"/>
          <w:lang w:val="en-GB"/>
        </w:rPr>
        <w:lastRenderedPageBreak/>
        <w:t>Additional File 1</w:t>
      </w:r>
      <w:r w:rsidR="00A63FFE">
        <w:rPr>
          <w:rFonts w:ascii="Times New Roman" w:eastAsia="Times New Roman" w:hAnsi="Times New Roman" w:cs="Times New Roman"/>
          <w:color w:val="000000" w:themeColor="text1"/>
          <w:sz w:val="24"/>
          <w:szCs w:val="24"/>
          <w:lang w:val="en-GB"/>
        </w:rPr>
        <w:t>,</w:t>
      </w:r>
      <w:r w:rsidR="76FA90FC" w:rsidRPr="37399AC2">
        <w:rPr>
          <w:rFonts w:ascii="Times New Roman" w:eastAsia="Times New Roman" w:hAnsi="Times New Roman" w:cs="Times New Roman"/>
          <w:color w:val="000000" w:themeColor="text1"/>
          <w:sz w:val="24"/>
          <w:szCs w:val="24"/>
          <w:lang w:val="en-GB"/>
        </w:rPr>
        <w:t xml:space="preserve"> Table 1: Demographic Characteristics of Participants with Satisfactory Spirometric Measurements of the PROMPT and CanCOLD participants</w:t>
      </w:r>
    </w:p>
    <w:tbl>
      <w:tblPr>
        <w:tblStyle w:val="TableGridLight"/>
        <w:tblW w:w="0" w:type="auto"/>
        <w:tblLayout w:type="fixed"/>
        <w:tblLook w:val="06A0" w:firstRow="1" w:lastRow="0" w:firstColumn="1" w:lastColumn="0" w:noHBand="1" w:noVBand="1"/>
      </w:tblPr>
      <w:tblGrid>
        <w:gridCol w:w="1872"/>
        <w:gridCol w:w="1872"/>
        <w:gridCol w:w="1872"/>
        <w:gridCol w:w="1872"/>
        <w:gridCol w:w="1872"/>
      </w:tblGrid>
      <w:tr w:rsidR="37399AC2" w14:paraId="48663EA5" w14:textId="77777777" w:rsidTr="37399AC2">
        <w:tc>
          <w:tcPr>
            <w:tcW w:w="1872" w:type="dxa"/>
          </w:tcPr>
          <w:p w14:paraId="2A942EF4" w14:textId="79A54373" w:rsidR="37399AC2" w:rsidRDefault="37399AC2" w:rsidP="00874736">
            <w:pPr>
              <w:suppressLineNumbers/>
              <w:jc w:val="center"/>
            </w:pPr>
            <w:r w:rsidRPr="37399AC2">
              <w:rPr>
                <w:rFonts w:ascii="Times New Roman" w:eastAsia="Times New Roman" w:hAnsi="Times New Roman" w:cs="Times New Roman"/>
                <w:b/>
                <w:bCs/>
                <w:color w:val="000000" w:themeColor="text1"/>
              </w:rPr>
              <w:t>Characteristic</w:t>
            </w:r>
          </w:p>
        </w:tc>
        <w:tc>
          <w:tcPr>
            <w:tcW w:w="1872" w:type="dxa"/>
          </w:tcPr>
          <w:p w14:paraId="0C610D30" w14:textId="7BB660A1" w:rsidR="37399AC2" w:rsidRDefault="37399AC2" w:rsidP="00874736">
            <w:pPr>
              <w:suppressLineNumbers/>
              <w:jc w:val="center"/>
            </w:pPr>
            <w:r w:rsidRPr="37399AC2">
              <w:rPr>
                <w:rFonts w:ascii="Times New Roman" w:eastAsia="Times New Roman" w:hAnsi="Times New Roman" w:cs="Times New Roman"/>
                <w:b/>
                <w:bCs/>
                <w:color w:val="000000" w:themeColor="text1"/>
              </w:rPr>
              <w:t>PROMPT Participants</w:t>
            </w:r>
          </w:p>
          <w:p w14:paraId="32EAD4AE" w14:textId="04DE178B" w:rsidR="37399AC2" w:rsidRDefault="37399AC2" w:rsidP="00874736">
            <w:pPr>
              <w:suppressLineNumbers/>
              <w:jc w:val="center"/>
            </w:pPr>
            <w:r w:rsidRPr="37399AC2">
              <w:rPr>
                <w:rFonts w:ascii="Times New Roman" w:eastAsia="Times New Roman" w:hAnsi="Times New Roman" w:cs="Times New Roman"/>
                <w:b/>
                <w:bCs/>
                <w:color w:val="000000" w:themeColor="text1"/>
              </w:rPr>
              <w:t>(n = 64)</w:t>
            </w:r>
          </w:p>
        </w:tc>
        <w:tc>
          <w:tcPr>
            <w:tcW w:w="1872" w:type="dxa"/>
          </w:tcPr>
          <w:p w14:paraId="60CA0AF9" w14:textId="795CC0C0" w:rsidR="37399AC2" w:rsidRDefault="37399AC2" w:rsidP="00874736">
            <w:pPr>
              <w:suppressLineNumbers/>
              <w:jc w:val="center"/>
            </w:pPr>
            <w:r w:rsidRPr="37399AC2">
              <w:rPr>
                <w:rFonts w:ascii="Times New Roman" w:eastAsia="Times New Roman" w:hAnsi="Times New Roman" w:cs="Times New Roman"/>
                <w:b/>
                <w:bCs/>
                <w:color w:val="000000" w:themeColor="text1"/>
              </w:rPr>
              <w:t>PROMPT Ever-Smokers</w:t>
            </w:r>
          </w:p>
          <w:p w14:paraId="0C38C9F7" w14:textId="7DEE510A" w:rsidR="37399AC2" w:rsidRDefault="37399AC2" w:rsidP="00874736">
            <w:pPr>
              <w:suppressLineNumbers/>
              <w:jc w:val="center"/>
            </w:pPr>
            <w:r w:rsidRPr="37399AC2">
              <w:rPr>
                <w:rFonts w:ascii="Times New Roman" w:eastAsia="Times New Roman" w:hAnsi="Times New Roman" w:cs="Times New Roman"/>
                <w:b/>
                <w:bCs/>
                <w:color w:val="000000" w:themeColor="text1"/>
              </w:rPr>
              <w:t>(n =64)</w:t>
            </w:r>
          </w:p>
        </w:tc>
        <w:tc>
          <w:tcPr>
            <w:tcW w:w="1872" w:type="dxa"/>
          </w:tcPr>
          <w:p w14:paraId="4D156E39" w14:textId="3B2DEF52" w:rsidR="37399AC2" w:rsidRDefault="37399AC2" w:rsidP="00874736">
            <w:pPr>
              <w:suppressLineNumbers/>
              <w:jc w:val="center"/>
            </w:pPr>
            <w:r w:rsidRPr="37399AC2">
              <w:rPr>
                <w:rFonts w:ascii="Times New Roman" w:eastAsia="Times New Roman" w:hAnsi="Times New Roman" w:cs="Times New Roman"/>
                <w:b/>
                <w:bCs/>
                <w:color w:val="000000" w:themeColor="text1"/>
              </w:rPr>
              <w:t>CanCOLD</w:t>
            </w:r>
          </w:p>
          <w:p w14:paraId="7E8A9356" w14:textId="319D9CC5" w:rsidR="37399AC2" w:rsidRDefault="37399AC2" w:rsidP="00874736">
            <w:pPr>
              <w:suppressLineNumbers/>
              <w:jc w:val="center"/>
            </w:pPr>
            <w:r w:rsidRPr="37399AC2">
              <w:rPr>
                <w:rFonts w:ascii="Times New Roman" w:eastAsia="Times New Roman" w:hAnsi="Times New Roman" w:cs="Times New Roman"/>
                <w:b/>
                <w:bCs/>
                <w:color w:val="000000" w:themeColor="text1"/>
              </w:rPr>
              <w:t>Participants</w:t>
            </w:r>
          </w:p>
          <w:p w14:paraId="042336E5" w14:textId="063D83A6" w:rsidR="37399AC2" w:rsidRDefault="37399AC2" w:rsidP="00874736">
            <w:pPr>
              <w:suppressLineNumbers/>
              <w:jc w:val="center"/>
            </w:pPr>
            <w:r w:rsidRPr="37399AC2">
              <w:rPr>
                <w:rFonts w:ascii="Times New Roman" w:eastAsia="Times New Roman" w:hAnsi="Times New Roman" w:cs="Times New Roman"/>
                <w:b/>
                <w:bCs/>
                <w:color w:val="000000" w:themeColor="text1"/>
              </w:rPr>
              <w:t>(n = 4893)*</w:t>
            </w:r>
          </w:p>
          <w:p w14:paraId="0754DDF3" w14:textId="2A6B5AD9" w:rsidR="37399AC2" w:rsidRDefault="37399AC2" w:rsidP="00874736">
            <w:pPr>
              <w:suppressLineNumbers/>
              <w:jc w:val="center"/>
            </w:pPr>
            <w:r w:rsidRPr="37399AC2">
              <w:rPr>
                <w:rFonts w:ascii="Times New Roman" w:eastAsia="Times New Roman" w:hAnsi="Times New Roman" w:cs="Times New Roman"/>
                <w:b/>
                <w:bCs/>
                <w:color w:val="000000" w:themeColor="text1"/>
              </w:rPr>
              <w:t>(Tan, 2015)</w:t>
            </w:r>
          </w:p>
        </w:tc>
        <w:tc>
          <w:tcPr>
            <w:tcW w:w="1872" w:type="dxa"/>
          </w:tcPr>
          <w:p w14:paraId="3F6A96CC" w14:textId="3D432821" w:rsidR="37399AC2" w:rsidRDefault="37399AC2" w:rsidP="00874736">
            <w:pPr>
              <w:suppressLineNumbers/>
              <w:jc w:val="center"/>
            </w:pPr>
            <w:r w:rsidRPr="37399AC2">
              <w:rPr>
                <w:rFonts w:ascii="Times New Roman" w:eastAsia="Times New Roman" w:hAnsi="Times New Roman" w:cs="Times New Roman"/>
                <w:b/>
                <w:bCs/>
                <w:color w:val="000000" w:themeColor="text1"/>
              </w:rPr>
              <w:t>CanCOLD</w:t>
            </w:r>
          </w:p>
          <w:p w14:paraId="30D516D5" w14:textId="49A826CE" w:rsidR="37399AC2" w:rsidRDefault="37399AC2" w:rsidP="00874736">
            <w:pPr>
              <w:suppressLineNumbers/>
              <w:jc w:val="center"/>
            </w:pPr>
            <w:r w:rsidRPr="37399AC2">
              <w:rPr>
                <w:rFonts w:ascii="Times New Roman" w:eastAsia="Times New Roman" w:hAnsi="Times New Roman" w:cs="Times New Roman"/>
                <w:b/>
                <w:bCs/>
                <w:color w:val="000000" w:themeColor="text1"/>
              </w:rPr>
              <w:t>Ever-Smokers</w:t>
            </w:r>
          </w:p>
          <w:p w14:paraId="76E904AC" w14:textId="1518AFC6" w:rsidR="37399AC2" w:rsidRDefault="37399AC2" w:rsidP="00874736">
            <w:pPr>
              <w:suppressLineNumbers/>
              <w:jc w:val="center"/>
            </w:pPr>
            <w:r w:rsidRPr="37399AC2">
              <w:rPr>
                <w:rFonts w:ascii="Times New Roman" w:eastAsia="Times New Roman" w:hAnsi="Times New Roman" w:cs="Times New Roman"/>
                <w:b/>
                <w:bCs/>
                <w:color w:val="000000" w:themeColor="text1"/>
              </w:rPr>
              <w:t>(n =2598)*</w:t>
            </w:r>
          </w:p>
          <w:p w14:paraId="5A162C9C" w14:textId="4882DAC6" w:rsidR="37399AC2" w:rsidRDefault="37399AC2" w:rsidP="00874736">
            <w:pPr>
              <w:suppressLineNumbers/>
              <w:jc w:val="center"/>
            </w:pPr>
            <w:r w:rsidRPr="37399AC2">
              <w:rPr>
                <w:rFonts w:ascii="Times New Roman" w:eastAsia="Times New Roman" w:hAnsi="Times New Roman" w:cs="Times New Roman"/>
                <w:b/>
                <w:bCs/>
                <w:color w:val="000000" w:themeColor="text1"/>
              </w:rPr>
              <w:t>(Tan, 2015)</w:t>
            </w:r>
          </w:p>
        </w:tc>
      </w:tr>
      <w:tr w:rsidR="37399AC2" w14:paraId="5C039CD0" w14:textId="77777777" w:rsidTr="37399AC2">
        <w:tc>
          <w:tcPr>
            <w:tcW w:w="1872" w:type="dxa"/>
          </w:tcPr>
          <w:p w14:paraId="05608CF3" w14:textId="25E67024" w:rsidR="37399AC2" w:rsidRDefault="00B535AA" w:rsidP="37399AC2">
            <w:pPr>
              <w:jc w:val="center"/>
            </w:pPr>
            <w:r>
              <w:rPr>
                <w:rFonts w:ascii="Times New Roman" w:eastAsia="Times New Roman" w:hAnsi="Times New Roman" w:cs="Times New Roman"/>
                <w:b/>
                <w:bCs/>
                <w:color w:val="000000" w:themeColor="text1"/>
              </w:rPr>
              <w:t>Sex</w:t>
            </w:r>
            <w:r w:rsidR="37399AC2" w:rsidRPr="37399AC2">
              <w:rPr>
                <w:rFonts w:ascii="Times New Roman" w:eastAsia="Times New Roman" w:hAnsi="Times New Roman" w:cs="Times New Roman"/>
                <w:b/>
                <w:bCs/>
                <w:color w:val="000000" w:themeColor="text1"/>
              </w:rPr>
              <w:t xml:space="preserve"> (Male)</w:t>
            </w:r>
          </w:p>
        </w:tc>
        <w:tc>
          <w:tcPr>
            <w:tcW w:w="1872" w:type="dxa"/>
          </w:tcPr>
          <w:p w14:paraId="6E913111" w14:textId="104392D6" w:rsidR="37399AC2" w:rsidRDefault="37399AC2" w:rsidP="37399AC2">
            <w:pPr>
              <w:jc w:val="center"/>
            </w:pPr>
            <w:r w:rsidRPr="37399AC2">
              <w:rPr>
                <w:rFonts w:ascii="Times New Roman" w:eastAsia="Times New Roman" w:hAnsi="Times New Roman" w:cs="Times New Roman"/>
                <w:color w:val="000000" w:themeColor="text1"/>
              </w:rPr>
              <w:t>44 (69%)</w:t>
            </w:r>
          </w:p>
        </w:tc>
        <w:tc>
          <w:tcPr>
            <w:tcW w:w="1872" w:type="dxa"/>
          </w:tcPr>
          <w:p w14:paraId="76E35CA3" w14:textId="4DF5CEC7" w:rsidR="37399AC2" w:rsidRDefault="37399AC2" w:rsidP="37399AC2">
            <w:pPr>
              <w:jc w:val="center"/>
            </w:pPr>
            <w:r w:rsidRPr="37399AC2">
              <w:rPr>
                <w:rFonts w:ascii="Times New Roman" w:eastAsia="Times New Roman" w:hAnsi="Times New Roman" w:cs="Times New Roman"/>
                <w:color w:val="000000" w:themeColor="text1"/>
              </w:rPr>
              <w:t>44 (70%)</w:t>
            </w:r>
          </w:p>
        </w:tc>
        <w:tc>
          <w:tcPr>
            <w:tcW w:w="1872" w:type="dxa"/>
          </w:tcPr>
          <w:p w14:paraId="4BDD72DA" w14:textId="766495AC" w:rsidR="37399AC2" w:rsidRDefault="37399AC2" w:rsidP="37399AC2">
            <w:pPr>
              <w:jc w:val="center"/>
            </w:pPr>
            <w:r w:rsidRPr="37399AC2">
              <w:rPr>
                <w:rFonts w:ascii="Times New Roman" w:eastAsia="Times New Roman" w:hAnsi="Times New Roman" w:cs="Times New Roman"/>
                <w:color w:val="000000" w:themeColor="text1"/>
              </w:rPr>
              <w:t>2096 (42.83%)*</w:t>
            </w:r>
          </w:p>
        </w:tc>
        <w:tc>
          <w:tcPr>
            <w:tcW w:w="1872" w:type="dxa"/>
          </w:tcPr>
          <w:p w14:paraId="2212878F" w14:textId="5201594C" w:rsidR="37399AC2" w:rsidRDefault="37399AC2" w:rsidP="37399AC2">
            <w:pPr>
              <w:jc w:val="center"/>
            </w:pPr>
            <w:r w:rsidRPr="37399AC2">
              <w:rPr>
                <w:rFonts w:ascii="Times New Roman" w:eastAsia="Times New Roman" w:hAnsi="Times New Roman" w:cs="Times New Roman"/>
                <w:color w:val="000000" w:themeColor="text1"/>
              </w:rPr>
              <w:t>1205 (46.38%)*</w:t>
            </w:r>
          </w:p>
        </w:tc>
      </w:tr>
      <w:tr w:rsidR="37399AC2" w14:paraId="000F2729" w14:textId="77777777" w:rsidTr="37399AC2">
        <w:tc>
          <w:tcPr>
            <w:tcW w:w="1872" w:type="dxa"/>
          </w:tcPr>
          <w:p w14:paraId="06F6042A" w14:textId="0A5C6758" w:rsidR="37399AC2" w:rsidRDefault="37399AC2" w:rsidP="37399AC2">
            <w:pPr>
              <w:jc w:val="center"/>
            </w:pPr>
            <w:r w:rsidRPr="37399AC2">
              <w:rPr>
                <w:rFonts w:ascii="Times New Roman" w:eastAsia="Times New Roman" w:hAnsi="Times New Roman" w:cs="Times New Roman"/>
                <w:b/>
                <w:bCs/>
                <w:color w:val="000000" w:themeColor="text1"/>
              </w:rPr>
              <w:t>Ethnicity (Caucasian)</w:t>
            </w:r>
          </w:p>
        </w:tc>
        <w:tc>
          <w:tcPr>
            <w:tcW w:w="1872" w:type="dxa"/>
          </w:tcPr>
          <w:p w14:paraId="3C6EEE0C" w14:textId="5552F8EB" w:rsidR="37399AC2" w:rsidRDefault="37399AC2" w:rsidP="37399AC2">
            <w:pPr>
              <w:jc w:val="center"/>
            </w:pPr>
            <w:r w:rsidRPr="37399AC2">
              <w:rPr>
                <w:rFonts w:ascii="Times New Roman" w:eastAsia="Times New Roman" w:hAnsi="Times New Roman" w:cs="Times New Roman"/>
                <w:color w:val="000000" w:themeColor="text1"/>
              </w:rPr>
              <w:t>62 (78%)</w:t>
            </w:r>
          </w:p>
        </w:tc>
        <w:tc>
          <w:tcPr>
            <w:tcW w:w="1872" w:type="dxa"/>
          </w:tcPr>
          <w:p w14:paraId="769EACE4" w14:textId="272AAAC4" w:rsidR="37399AC2" w:rsidRDefault="37399AC2" w:rsidP="37399AC2">
            <w:pPr>
              <w:jc w:val="center"/>
            </w:pPr>
            <w:r w:rsidRPr="37399AC2">
              <w:rPr>
                <w:rFonts w:ascii="Times New Roman" w:eastAsia="Times New Roman" w:hAnsi="Times New Roman" w:cs="Times New Roman"/>
                <w:color w:val="000000" w:themeColor="text1"/>
              </w:rPr>
              <w:t>62 (78%)</w:t>
            </w:r>
          </w:p>
        </w:tc>
        <w:tc>
          <w:tcPr>
            <w:tcW w:w="1872" w:type="dxa"/>
          </w:tcPr>
          <w:p w14:paraId="3860F1F8" w14:textId="55470241" w:rsidR="37399AC2" w:rsidRDefault="37399AC2" w:rsidP="37399AC2">
            <w:pPr>
              <w:jc w:val="center"/>
            </w:pPr>
            <w:r w:rsidRPr="37399AC2">
              <w:rPr>
                <w:rFonts w:ascii="Times New Roman" w:eastAsia="Times New Roman" w:hAnsi="Times New Roman" w:cs="Times New Roman"/>
                <w:color w:val="000000" w:themeColor="text1"/>
              </w:rPr>
              <w:t>4475 (91.46%)*</w:t>
            </w:r>
          </w:p>
        </w:tc>
        <w:tc>
          <w:tcPr>
            <w:tcW w:w="1872" w:type="dxa"/>
          </w:tcPr>
          <w:p w14:paraId="71261C60" w14:textId="75B721AF" w:rsidR="37399AC2" w:rsidRDefault="37399AC2" w:rsidP="37399AC2">
            <w:pPr>
              <w:jc w:val="center"/>
            </w:pPr>
            <w:r w:rsidRPr="37399AC2">
              <w:rPr>
                <w:rFonts w:ascii="Times New Roman" w:eastAsia="Times New Roman" w:hAnsi="Times New Roman" w:cs="Times New Roman"/>
                <w:color w:val="000000" w:themeColor="text1"/>
              </w:rPr>
              <w:t>2456 (94.5%)*</w:t>
            </w:r>
          </w:p>
        </w:tc>
      </w:tr>
      <w:tr w:rsidR="37399AC2" w14:paraId="1A7A858D" w14:textId="77777777" w:rsidTr="37399AC2">
        <w:tc>
          <w:tcPr>
            <w:tcW w:w="1872" w:type="dxa"/>
          </w:tcPr>
          <w:p w14:paraId="43DCB33A" w14:textId="1609B24A" w:rsidR="37399AC2" w:rsidRDefault="37399AC2" w:rsidP="37399AC2">
            <w:pPr>
              <w:jc w:val="center"/>
            </w:pPr>
            <w:r w:rsidRPr="37399AC2">
              <w:rPr>
                <w:rFonts w:ascii="Times New Roman" w:eastAsia="Times New Roman" w:hAnsi="Times New Roman" w:cs="Times New Roman"/>
                <w:b/>
                <w:bCs/>
                <w:color w:val="000000" w:themeColor="text1"/>
              </w:rPr>
              <w:t>Age, mean</w:t>
            </w:r>
          </w:p>
        </w:tc>
        <w:tc>
          <w:tcPr>
            <w:tcW w:w="1872" w:type="dxa"/>
          </w:tcPr>
          <w:p w14:paraId="25ECC8B4" w14:textId="62DDBDCD" w:rsidR="37399AC2" w:rsidRDefault="37399AC2" w:rsidP="37399AC2">
            <w:pPr>
              <w:jc w:val="center"/>
            </w:pPr>
            <w:r w:rsidRPr="37399AC2">
              <w:rPr>
                <w:rFonts w:ascii="Times New Roman" w:eastAsia="Times New Roman" w:hAnsi="Times New Roman" w:cs="Times New Roman"/>
                <w:color w:val="000000" w:themeColor="text1"/>
              </w:rPr>
              <w:t>43.91 (-)</w:t>
            </w:r>
          </w:p>
        </w:tc>
        <w:tc>
          <w:tcPr>
            <w:tcW w:w="1872" w:type="dxa"/>
          </w:tcPr>
          <w:p w14:paraId="77E67324" w14:textId="30093C1E" w:rsidR="37399AC2" w:rsidRDefault="37399AC2" w:rsidP="37399AC2">
            <w:pPr>
              <w:jc w:val="center"/>
            </w:pPr>
            <w:r w:rsidRPr="37399AC2">
              <w:rPr>
                <w:rFonts w:ascii="Times New Roman" w:eastAsia="Times New Roman" w:hAnsi="Times New Roman" w:cs="Times New Roman"/>
                <w:color w:val="000000" w:themeColor="text1"/>
              </w:rPr>
              <w:t>43.91 (-)</w:t>
            </w:r>
          </w:p>
        </w:tc>
        <w:tc>
          <w:tcPr>
            <w:tcW w:w="1872" w:type="dxa"/>
          </w:tcPr>
          <w:p w14:paraId="711BEC1F" w14:textId="07C2E3C6" w:rsidR="37399AC2" w:rsidRDefault="37399AC2" w:rsidP="37399AC2">
            <w:pPr>
              <w:jc w:val="center"/>
            </w:pPr>
            <w:r w:rsidRPr="37399AC2">
              <w:rPr>
                <w:rFonts w:ascii="Times New Roman" w:eastAsia="Times New Roman" w:hAnsi="Times New Roman" w:cs="Times New Roman"/>
                <w:color w:val="000000" w:themeColor="text1"/>
              </w:rPr>
              <w:t>56.94£ (-)</w:t>
            </w:r>
          </w:p>
        </w:tc>
        <w:tc>
          <w:tcPr>
            <w:tcW w:w="1872" w:type="dxa"/>
          </w:tcPr>
          <w:p w14:paraId="41774BDD" w14:textId="4547F58C" w:rsidR="37399AC2" w:rsidRDefault="37399AC2" w:rsidP="37399AC2">
            <w:pPr>
              <w:jc w:val="center"/>
            </w:pPr>
            <w:r w:rsidRPr="37399AC2">
              <w:rPr>
                <w:rFonts w:ascii="Times New Roman" w:eastAsia="Times New Roman" w:hAnsi="Times New Roman" w:cs="Times New Roman"/>
                <w:color w:val="000000" w:themeColor="text1"/>
              </w:rPr>
              <w:t>58.18* (-)</w:t>
            </w:r>
          </w:p>
        </w:tc>
      </w:tr>
      <w:tr w:rsidR="37399AC2" w14:paraId="05AA2640" w14:textId="77777777" w:rsidTr="37399AC2">
        <w:tc>
          <w:tcPr>
            <w:tcW w:w="1872" w:type="dxa"/>
          </w:tcPr>
          <w:p w14:paraId="449C6594" w14:textId="3F8BF470" w:rsidR="37399AC2" w:rsidRDefault="37399AC2" w:rsidP="37399AC2">
            <w:pPr>
              <w:jc w:val="center"/>
            </w:pPr>
            <w:r w:rsidRPr="37399AC2">
              <w:rPr>
                <w:rFonts w:ascii="Times New Roman" w:eastAsia="Times New Roman" w:hAnsi="Times New Roman" w:cs="Times New Roman"/>
                <w:b/>
                <w:bCs/>
                <w:color w:val="000000" w:themeColor="text1"/>
              </w:rPr>
              <w:t>Age</w:t>
            </w:r>
          </w:p>
          <w:p w14:paraId="5F5FB1C6" w14:textId="7148EBB4" w:rsidR="37399AC2" w:rsidRDefault="37399AC2" w:rsidP="37399AC2">
            <w:pPr>
              <w:jc w:val="center"/>
            </w:pPr>
            <w:r w:rsidRPr="37399AC2">
              <w:rPr>
                <w:rFonts w:ascii="Times New Roman" w:eastAsia="Times New Roman" w:hAnsi="Times New Roman" w:cs="Times New Roman"/>
                <w:b/>
                <w:bCs/>
                <w:color w:val="000000" w:themeColor="text1"/>
              </w:rPr>
              <w:t>&gt; 40</w:t>
            </w:r>
          </w:p>
          <w:p w14:paraId="2F39EB0B" w14:textId="58B88155" w:rsidR="37399AC2" w:rsidRDefault="37399AC2" w:rsidP="37399AC2">
            <w:pPr>
              <w:jc w:val="center"/>
            </w:pPr>
            <w:r w:rsidRPr="37399AC2">
              <w:rPr>
                <w:rFonts w:ascii="Times New Roman" w:eastAsia="Times New Roman" w:hAnsi="Times New Roman" w:cs="Times New Roman"/>
                <w:b/>
                <w:bCs/>
                <w:color w:val="000000" w:themeColor="text1"/>
              </w:rPr>
              <w:t>40-49</w:t>
            </w:r>
          </w:p>
          <w:p w14:paraId="6369A90D" w14:textId="18E04417" w:rsidR="37399AC2" w:rsidRDefault="37399AC2" w:rsidP="37399AC2">
            <w:pPr>
              <w:jc w:val="center"/>
            </w:pPr>
            <w:r w:rsidRPr="37399AC2">
              <w:rPr>
                <w:rFonts w:ascii="Times New Roman" w:eastAsia="Times New Roman" w:hAnsi="Times New Roman" w:cs="Times New Roman"/>
                <w:b/>
                <w:bCs/>
                <w:color w:val="000000" w:themeColor="text1"/>
              </w:rPr>
              <w:t>50-59</w:t>
            </w:r>
          </w:p>
          <w:p w14:paraId="6AD681F4" w14:textId="00010D27" w:rsidR="37399AC2" w:rsidRDefault="37399AC2" w:rsidP="37399AC2">
            <w:pPr>
              <w:jc w:val="center"/>
            </w:pPr>
            <w:r w:rsidRPr="37399AC2">
              <w:rPr>
                <w:rFonts w:ascii="Times New Roman" w:eastAsia="Times New Roman" w:hAnsi="Times New Roman" w:cs="Times New Roman"/>
                <w:b/>
                <w:bCs/>
                <w:color w:val="000000" w:themeColor="text1"/>
              </w:rPr>
              <w:t>60-69</w:t>
            </w:r>
          </w:p>
          <w:p w14:paraId="4B0F7657" w14:textId="10DD346E" w:rsidR="37399AC2" w:rsidRDefault="37399AC2" w:rsidP="37399AC2">
            <w:pPr>
              <w:jc w:val="center"/>
            </w:pPr>
            <w:r w:rsidRPr="37399AC2">
              <w:rPr>
                <w:rFonts w:ascii="Times New Roman" w:eastAsia="Times New Roman" w:hAnsi="Times New Roman" w:cs="Times New Roman"/>
                <w:b/>
                <w:bCs/>
                <w:color w:val="000000" w:themeColor="text1"/>
              </w:rPr>
              <w:t>70+</w:t>
            </w:r>
          </w:p>
        </w:tc>
        <w:tc>
          <w:tcPr>
            <w:tcW w:w="1872" w:type="dxa"/>
          </w:tcPr>
          <w:p w14:paraId="006B0866" w14:textId="65A276C5" w:rsidR="37399AC2" w:rsidRDefault="37399AC2" w:rsidP="37399AC2">
            <w:pPr>
              <w:jc w:val="center"/>
            </w:pPr>
            <w:r w:rsidRPr="37399AC2">
              <w:rPr>
                <w:rFonts w:ascii="Times New Roman" w:eastAsia="Times New Roman" w:hAnsi="Times New Roman" w:cs="Times New Roman"/>
                <w:color w:val="000000" w:themeColor="text1"/>
              </w:rPr>
              <w:t>15 (23.44%)</w:t>
            </w:r>
          </w:p>
          <w:p w14:paraId="3BD931A0" w14:textId="023B1673" w:rsidR="37399AC2" w:rsidRDefault="37399AC2" w:rsidP="37399AC2">
            <w:pPr>
              <w:jc w:val="center"/>
            </w:pPr>
            <w:r w:rsidRPr="37399AC2">
              <w:rPr>
                <w:rFonts w:ascii="Times New Roman" w:eastAsia="Times New Roman" w:hAnsi="Times New Roman" w:cs="Times New Roman"/>
                <w:color w:val="000000" w:themeColor="text1"/>
              </w:rPr>
              <w:t>25 (39.06%)</w:t>
            </w:r>
          </w:p>
          <w:p w14:paraId="6253C20C" w14:textId="5FB3985E" w:rsidR="37399AC2" w:rsidRDefault="37399AC2" w:rsidP="37399AC2">
            <w:pPr>
              <w:jc w:val="center"/>
            </w:pPr>
            <w:r w:rsidRPr="37399AC2">
              <w:rPr>
                <w:rFonts w:ascii="Times New Roman" w:eastAsia="Times New Roman" w:hAnsi="Times New Roman" w:cs="Times New Roman"/>
                <w:color w:val="000000" w:themeColor="text1"/>
              </w:rPr>
              <w:t>21 (32.81%)</w:t>
            </w:r>
          </w:p>
          <w:p w14:paraId="6A94CC45" w14:textId="33FB0BE8" w:rsidR="37399AC2" w:rsidRDefault="37399AC2" w:rsidP="37399AC2">
            <w:pPr>
              <w:jc w:val="center"/>
            </w:pPr>
            <w:r w:rsidRPr="37399AC2">
              <w:rPr>
                <w:rFonts w:ascii="Times New Roman" w:eastAsia="Times New Roman" w:hAnsi="Times New Roman" w:cs="Times New Roman"/>
                <w:color w:val="000000" w:themeColor="text1"/>
              </w:rPr>
              <w:t>3 (4.69%)</w:t>
            </w:r>
          </w:p>
          <w:p w14:paraId="6FB2E116" w14:textId="0FD8A095" w:rsidR="37399AC2" w:rsidRDefault="37399AC2" w:rsidP="37399AC2">
            <w:pPr>
              <w:jc w:val="center"/>
            </w:pPr>
            <w:r w:rsidRPr="37399AC2">
              <w:rPr>
                <w:rFonts w:ascii="Times New Roman" w:eastAsia="Times New Roman" w:hAnsi="Times New Roman" w:cs="Times New Roman"/>
                <w:color w:val="000000" w:themeColor="text1"/>
              </w:rPr>
              <w:t>0</w:t>
            </w:r>
          </w:p>
        </w:tc>
        <w:tc>
          <w:tcPr>
            <w:tcW w:w="1872" w:type="dxa"/>
          </w:tcPr>
          <w:p w14:paraId="7B8BDA20" w14:textId="00484066" w:rsidR="37399AC2" w:rsidRDefault="37399AC2" w:rsidP="37399AC2">
            <w:pPr>
              <w:jc w:val="center"/>
            </w:pPr>
            <w:r w:rsidRPr="37399AC2">
              <w:rPr>
                <w:rFonts w:ascii="Times New Roman" w:eastAsia="Times New Roman" w:hAnsi="Times New Roman" w:cs="Times New Roman"/>
                <w:color w:val="000000" w:themeColor="text1"/>
              </w:rPr>
              <w:t>15 (23.44%)</w:t>
            </w:r>
          </w:p>
          <w:p w14:paraId="0B48BF65" w14:textId="4A2A886D" w:rsidR="37399AC2" w:rsidRDefault="37399AC2" w:rsidP="37399AC2">
            <w:pPr>
              <w:jc w:val="center"/>
            </w:pPr>
            <w:r w:rsidRPr="37399AC2">
              <w:rPr>
                <w:rFonts w:ascii="Times New Roman" w:eastAsia="Times New Roman" w:hAnsi="Times New Roman" w:cs="Times New Roman"/>
                <w:color w:val="000000" w:themeColor="text1"/>
              </w:rPr>
              <w:t>25 (39.06%)</w:t>
            </w:r>
          </w:p>
          <w:p w14:paraId="626C2B6F" w14:textId="4C7FBEA2" w:rsidR="37399AC2" w:rsidRDefault="37399AC2" w:rsidP="37399AC2">
            <w:pPr>
              <w:jc w:val="center"/>
            </w:pPr>
            <w:r w:rsidRPr="37399AC2">
              <w:rPr>
                <w:rFonts w:ascii="Times New Roman" w:eastAsia="Times New Roman" w:hAnsi="Times New Roman" w:cs="Times New Roman"/>
                <w:color w:val="000000" w:themeColor="text1"/>
              </w:rPr>
              <w:t>21 (32.81%)</w:t>
            </w:r>
          </w:p>
          <w:p w14:paraId="09C6D0CD" w14:textId="0EDD5C70" w:rsidR="37399AC2" w:rsidRDefault="37399AC2" w:rsidP="37399AC2">
            <w:pPr>
              <w:jc w:val="center"/>
            </w:pPr>
            <w:r w:rsidRPr="37399AC2">
              <w:rPr>
                <w:rFonts w:ascii="Times New Roman" w:eastAsia="Times New Roman" w:hAnsi="Times New Roman" w:cs="Times New Roman"/>
                <w:color w:val="000000" w:themeColor="text1"/>
              </w:rPr>
              <w:t>3 (4.69%)</w:t>
            </w:r>
          </w:p>
          <w:p w14:paraId="2F88F981" w14:textId="01E47936" w:rsidR="37399AC2" w:rsidRDefault="37399AC2" w:rsidP="37399AC2">
            <w:pPr>
              <w:jc w:val="center"/>
            </w:pPr>
            <w:r w:rsidRPr="37399AC2">
              <w:rPr>
                <w:rFonts w:ascii="Times New Roman" w:eastAsia="Times New Roman" w:hAnsi="Times New Roman" w:cs="Times New Roman"/>
                <w:color w:val="000000" w:themeColor="text1"/>
              </w:rPr>
              <w:t>0</w:t>
            </w:r>
          </w:p>
        </w:tc>
        <w:tc>
          <w:tcPr>
            <w:tcW w:w="1872" w:type="dxa"/>
          </w:tcPr>
          <w:p w14:paraId="6B6E759A" w14:textId="16FF8870" w:rsidR="37399AC2" w:rsidRDefault="37399AC2" w:rsidP="37399AC2">
            <w:pPr>
              <w:jc w:val="center"/>
            </w:pPr>
            <w:r w:rsidRPr="37399AC2">
              <w:rPr>
                <w:rFonts w:ascii="Times New Roman" w:eastAsia="Times New Roman" w:hAnsi="Times New Roman" w:cs="Times New Roman"/>
                <w:color w:val="000000" w:themeColor="text1"/>
              </w:rPr>
              <w:t>0*</w:t>
            </w:r>
          </w:p>
          <w:p w14:paraId="38C7378B" w14:textId="14FB4F35" w:rsidR="37399AC2" w:rsidRDefault="37399AC2" w:rsidP="37399AC2">
            <w:pPr>
              <w:jc w:val="center"/>
            </w:pPr>
            <w:r w:rsidRPr="37399AC2">
              <w:rPr>
                <w:rFonts w:ascii="Times New Roman" w:eastAsia="Times New Roman" w:hAnsi="Times New Roman" w:cs="Times New Roman"/>
                <w:color w:val="000000" w:themeColor="text1"/>
              </w:rPr>
              <w:t>1374 (28.09%)*</w:t>
            </w:r>
          </w:p>
          <w:p w14:paraId="373FDC50" w14:textId="0649618F" w:rsidR="37399AC2" w:rsidRDefault="37399AC2" w:rsidP="37399AC2">
            <w:pPr>
              <w:jc w:val="center"/>
            </w:pPr>
            <w:r w:rsidRPr="37399AC2">
              <w:rPr>
                <w:rFonts w:ascii="Times New Roman" w:eastAsia="Times New Roman" w:hAnsi="Times New Roman" w:cs="Times New Roman"/>
                <w:color w:val="000000" w:themeColor="text1"/>
              </w:rPr>
              <w:t>1561 (31.90%)*</w:t>
            </w:r>
          </w:p>
          <w:p w14:paraId="4F75DA56" w14:textId="0C1EF855" w:rsidR="37399AC2" w:rsidRDefault="37399AC2" w:rsidP="37399AC2">
            <w:pPr>
              <w:jc w:val="center"/>
            </w:pPr>
            <w:r w:rsidRPr="37399AC2">
              <w:rPr>
                <w:rFonts w:ascii="Times New Roman" w:eastAsia="Times New Roman" w:hAnsi="Times New Roman" w:cs="Times New Roman"/>
                <w:color w:val="000000" w:themeColor="text1"/>
              </w:rPr>
              <w:t>1175 (24.01%)*</w:t>
            </w:r>
          </w:p>
          <w:p w14:paraId="618D41A6" w14:textId="1EB06EC5" w:rsidR="37399AC2" w:rsidRDefault="37399AC2" w:rsidP="37399AC2">
            <w:pPr>
              <w:jc w:val="center"/>
            </w:pPr>
            <w:r w:rsidRPr="37399AC2">
              <w:rPr>
                <w:rFonts w:ascii="Times New Roman" w:eastAsia="Times New Roman" w:hAnsi="Times New Roman" w:cs="Times New Roman"/>
                <w:color w:val="000000" w:themeColor="text1"/>
              </w:rPr>
              <w:t>783 (16.00%)*</w:t>
            </w:r>
          </w:p>
        </w:tc>
        <w:tc>
          <w:tcPr>
            <w:tcW w:w="1872" w:type="dxa"/>
          </w:tcPr>
          <w:p w14:paraId="3F89AF06" w14:textId="4A1B79ED" w:rsidR="37399AC2" w:rsidRDefault="37399AC2" w:rsidP="37399AC2">
            <w:pPr>
              <w:jc w:val="center"/>
            </w:pPr>
            <w:r w:rsidRPr="37399AC2">
              <w:rPr>
                <w:rFonts w:ascii="Times New Roman" w:eastAsia="Times New Roman" w:hAnsi="Times New Roman" w:cs="Times New Roman"/>
                <w:color w:val="000000" w:themeColor="text1"/>
              </w:rPr>
              <w:t>0*</w:t>
            </w:r>
          </w:p>
          <w:p w14:paraId="547480EB" w14:textId="7E1AABD0" w:rsidR="37399AC2" w:rsidRDefault="37399AC2" w:rsidP="37399AC2">
            <w:pPr>
              <w:jc w:val="center"/>
            </w:pPr>
            <w:r w:rsidRPr="37399AC2">
              <w:rPr>
                <w:rFonts w:ascii="Times New Roman" w:eastAsia="Times New Roman" w:hAnsi="Times New Roman" w:cs="Times New Roman"/>
                <w:color w:val="000000" w:themeColor="text1"/>
              </w:rPr>
              <w:t>672 (25.87%)*</w:t>
            </w:r>
          </w:p>
          <w:p w14:paraId="1ABD5162" w14:textId="1919D017" w:rsidR="37399AC2" w:rsidRDefault="37399AC2" w:rsidP="37399AC2">
            <w:pPr>
              <w:jc w:val="center"/>
            </w:pPr>
            <w:r w:rsidRPr="37399AC2">
              <w:rPr>
                <w:rFonts w:ascii="Times New Roman" w:eastAsia="Times New Roman" w:hAnsi="Times New Roman" w:cs="Times New Roman"/>
                <w:color w:val="000000" w:themeColor="text1"/>
              </w:rPr>
              <w:t>811 (31.22%)*</w:t>
            </w:r>
          </w:p>
          <w:p w14:paraId="2D3D67A0" w14:textId="319B862F" w:rsidR="37399AC2" w:rsidRDefault="37399AC2" w:rsidP="37399AC2">
            <w:pPr>
              <w:jc w:val="center"/>
            </w:pPr>
            <w:r w:rsidRPr="37399AC2">
              <w:rPr>
                <w:rFonts w:ascii="Times New Roman" w:eastAsia="Times New Roman" w:hAnsi="Times New Roman" w:cs="Times New Roman"/>
                <w:color w:val="000000" w:themeColor="text1"/>
              </w:rPr>
              <w:t>674 (25.94%)*</w:t>
            </w:r>
          </w:p>
          <w:p w14:paraId="353F753A" w14:textId="495CC1A7" w:rsidR="37399AC2" w:rsidRDefault="37399AC2" w:rsidP="37399AC2">
            <w:pPr>
              <w:jc w:val="center"/>
            </w:pPr>
            <w:r w:rsidRPr="37399AC2">
              <w:rPr>
                <w:rFonts w:ascii="Times New Roman" w:eastAsia="Times New Roman" w:hAnsi="Times New Roman" w:cs="Times New Roman"/>
                <w:color w:val="000000" w:themeColor="text1"/>
              </w:rPr>
              <w:t>411 (16.97%)*</w:t>
            </w:r>
          </w:p>
        </w:tc>
      </w:tr>
      <w:tr w:rsidR="37399AC2" w14:paraId="79DA27CC" w14:textId="77777777" w:rsidTr="37399AC2">
        <w:tc>
          <w:tcPr>
            <w:tcW w:w="1872" w:type="dxa"/>
          </w:tcPr>
          <w:p w14:paraId="4C52E060" w14:textId="08640463" w:rsidR="37399AC2" w:rsidRDefault="37399AC2" w:rsidP="37399AC2">
            <w:pPr>
              <w:jc w:val="center"/>
            </w:pPr>
            <w:r w:rsidRPr="37399AC2">
              <w:rPr>
                <w:rFonts w:ascii="Times New Roman" w:eastAsia="Times New Roman" w:hAnsi="Times New Roman" w:cs="Times New Roman"/>
                <w:b/>
                <w:bCs/>
                <w:color w:val="000000" w:themeColor="text1"/>
              </w:rPr>
              <w:t>BMI, kg/m2, mean</w:t>
            </w:r>
          </w:p>
        </w:tc>
        <w:tc>
          <w:tcPr>
            <w:tcW w:w="1872" w:type="dxa"/>
          </w:tcPr>
          <w:p w14:paraId="7F032059" w14:textId="02049EB5" w:rsidR="37399AC2" w:rsidRDefault="37399AC2" w:rsidP="37399AC2">
            <w:pPr>
              <w:jc w:val="center"/>
            </w:pPr>
            <w:r w:rsidRPr="37399AC2">
              <w:rPr>
                <w:rFonts w:ascii="Times New Roman" w:eastAsia="Times New Roman" w:hAnsi="Times New Roman" w:cs="Times New Roman"/>
                <w:color w:val="000000" w:themeColor="text1"/>
              </w:rPr>
              <w:t>25.96 (-)</w:t>
            </w:r>
          </w:p>
        </w:tc>
        <w:tc>
          <w:tcPr>
            <w:tcW w:w="1872" w:type="dxa"/>
          </w:tcPr>
          <w:p w14:paraId="59767857" w14:textId="11B90207" w:rsidR="37399AC2" w:rsidRDefault="37399AC2" w:rsidP="37399AC2">
            <w:pPr>
              <w:jc w:val="center"/>
            </w:pPr>
            <w:r w:rsidRPr="37399AC2">
              <w:rPr>
                <w:rFonts w:ascii="Times New Roman" w:eastAsia="Times New Roman" w:hAnsi="Times New Roman" w:cs="Times New Roman"/>
                <w:color w:val="000000" w:themeColor="text1"/>
              </w:rPr>
              <w:t>25.96 (-)</w:t>
            </w:r>
          </w:p>
        </w:tc>
        <w:tc>
          <w:tcPr>
            <w:tcW w:w="1872" w:type="dxa"/>
          </w:tcPr>
          <w:p w14:paraId="68359FA4" w14:textId="1EB994A9" w:rsidR="37399AC2" w:rsidRDefault="37399AC2" w:rsidP="37399AC2">
            <w:pPr>
              <w:jc w:val="center"/>
            </w:pPr>
            <w:r w:rsidRPr="37399AC2">
              <w:rPr>
                <w:rFonts w:ascii="Times New Roman" w:eastAsia="Times New Roman" w:hAnsi="Times New Roman" w:cs="Times New Roman"/>
                <w:color w:val="000000" w:themeColor="text1"/>
              </w:rPr>
              <w:t>27.89 (-)€</w:t>
            </w:r>
          </w:p>
        </w:tc>
        <w:tc>
          <w:tcPr>
            <w:tcW w:w="1872" w:type="dxa"/>
          </w:tcPr>
          <w:p w14:paraId="20BC8530" w14:textId="3C482C2A" w:rsidR="37399AC2" w:rsidRDefault="37399AC2" w:rsidP="37399AC2">
            <w:pPr>
              <w:jc w:val="center"/>
            </w:pPr>
            <w:r w:rsidRPr="37399AC2">
              <w:rPr>
                <w:rFonts w:ascii="Times New Roman" w:eastAsia="Times New Roman" w:hAnsi="Times New Roman" w:cs="Times New Roman"/>
                <w:color w:val="000000" w:themeColor="text1"/>
              </w:rPr>
              <w:t>28.27 (-)*</w:t>
            </w:r>
          </w:p>
        </w:tc>
      </w:tr>
      <w:tr w:rsidR="37399AC2" w14:paraId="4AE6CC6D" w14:textId="77777777" w:rsidTr="37399AC2">
        <w:tc>
          <w:tcPr>
            <w:tcW w:w="1872" w:type="dxa"/>
          </w:tcPr>
          <w:p w14:paraId="3AB363B5" w14:textId="5A641DFC" w:rsidR="37399AC2" w:rsidRDefault="37399AC2" w:rsidP="37399AC2">
            <w:pPr>
              <w:jc w:val="center"/>
            </w:pPr>
            <w:r w:rsidRPr="37399AC2">
              <w:rPr>
                <w:rFonts w:ascii="Times New Roman" w:eastAsia="Times New Roman" w:hAnsi="Times New Roman" w:cs="Times New Roman"/>
                <w:b/>
                <w:bCs/>
                <w:color w:val="000000" w:themeColor="text1"/>
              </w:rPr>
              <w:t>Pack years &gt; 20</w:t>
            </w:r>
          </w:p>
        </w:tc>
        <w:tc>
          <w:tcPr>
            <w:tcW w:w="1872" w:type="dxa"/>
          </w:tcPr>
          <w:p w14:paraId="2E86EEB4" w14:textId="324A34EB" w:rsidR="37399AC2" w:rsidRDefault="37399AC2" w:rsidP="37399AC2">
            <w:pPr>
              <w:jc w:val="center"/>
            </w:pPr>
            <w:r w:rsidRPr="37399AC2">
              <w:rPr>
                <w:rFonts w:ascii="Times New Roman" w:eastAsia="Times New Roman" w:hAnsi="Times New Roman" w:cs="Times New Roman"/>
                <w:color w:val="000000" w:themeColor="text1"/>
              </w:rPr>
              <w:t>33 (51.56%) †</w:t>
            </w:r>
          </w:p>
        </w:tc>
        <w:tc>
          <w:tcPr>
            <w:tcW w:w="1872" w:type="dxa"/>
          </w:tcPr>
          <w:p w14:paraId="42568516" w14:textId="3A7F677C" w:rsidR="37399AC2" w:rsidRDefault="37399AC2" w:rsidP="37399AC2">
            <w:pPr>
              <w:jc w:val="center"/>
            </w:pPr>
            <w:r w:rsidRPr="37399AC2">
              <w:rPr>
                <w:rFonts w:ascii="Times New Roman" w:eastAsia="Times New Roman" w:hAnsi="Times New Roman" w:cs="Times New Roman"/>
                <w:color w:val="000000" w:themeColor="text1"/>
              </w:rPr>
              <w:t>33 (51.56%) †</w:t>
            </w:r>
          </w:p>
        </w:tc>
        <w:tc>
          <w:tcPr>
            <w:tcW w:w="1872" w:type="dxa"/>
          </w:tcPr>
          <w:p w14:paraId="50FD8651" w14:textId="256BD7BB" w:rsidR="37399AC2" w:rsidRDefault="37399AC2" w:rsidP="37399AC2">
            <w:pPr>
              <w:jc w:val="center"/>
            </w:pPr>
            <w:r w:rsidRPr="37399AC2">
              <w:rPr>
                <w:rFonts w:ascii="Times New Roman" w:eastAsia="Times New Roman" w:hAnsi="Times New Roman" w:cs="Times New Roman"/>
                <w:color w:val="000000" w:themeColor="text1"/>
              </w:rPr>
              <w:t>1231 (25.16%)</w:t>
            </w:r>
          </w:p>
        </w:tc>
        <w:tc>
          <w:tcPr>
            <w:tcW w:w="1872" w:type="dxa"/>
          </w:tcPr>
          <w:p w14:paraId="0823EBFC" w14:textId="3CB51163" w:rsidR="37399AC2" w:rsidRDefault="37399AC2" w:rsidP="37399AC2">
            <w:pPr>
              <w:jc w:val="center"/>
            </w:pPr>
            <w:r w:rsidRPr="37399AC2">
              <w:rPr>
                <w:rFonts w:ascii="Times New Roman" w:eastAsia="Times New Roman" w:hAnsi="Times New Roman" w:cs="Times New Roman"/>
                <w:color w:val="000000" w:themeColor="text1"/>
              </w:rPr>
              <w:t>1231 (47.38%)*</w:t>
            </w:r>
          </w:p>
        </w:tc>
      </w:tr>
      <w:tr w:rsidR="37399AC2" w14:paraId="4B52B8F1" w14:textId="77777777" w:rsidTr="37399AC2">
        <w:tc>
          <w:tcPr>
            <w:tcW w:w="1872" w:type="dxa"/>
          </w:tcPr>
          <w:p w14:paraId="2CDCE5B9" w14:textId="4F5CC251" w:rsidR="37399AC2" w:rsidRDefault="37399AC2" w:rsidP="37399AC2">
            <w:pPr>
              <w:jc w:val="center"/>
            </w:pPr>
            <w:r w:rsidRPr="37399AC2">
              <w:rPr>
                <w:rFonts w:ascii="Times New Roman" w:eastAsia="Times New Roman" w:hAnsi="Times New Roman" w:cs="Times New Roman"/>
                <w:b/>
                <w:bCs/>
                <w:color w:val="000000" w:themeColor="text1"/>
              </w:rPr>
              <w:t>Education, years</w:t>
            </w:r>
          </w:p>
        </w:tc>
        <w:tc>
          <w:tcPr>
            <w:tcW w:w="1872" w:type="dxa"/>
          </w:tcPr>
          <w:p w14:paraId="13A598BF" w14:textId="0BDC2D15" w:rsidR="37399AC2" w:rsidRDefault="37399AC2" w:rsidP="37399AC2">
            <w:pPr>
              <w:jc w:val="center"/>
            </w:pPr>
            <w:r w:rsidRPr="37399AC2">
              <w:rPr>
                <w:rFonts w:ascii="Times New Roman" w:eastAsia="Times New Roman" w:hAnsi="Times New Roman" w:cs="Times New Roman"/>
                <w:color w:val="000000" w:themeColor="text1"/>
              </w:rPr>
              <w:t>-</w:t>
            </w:r>
          </w:p>
        </w:tc>
        <w:tc>
          <w:tcPr>
            <w:tcW w:w="1872" w:type="dxa"/>
          </w:tcPr>
          <w:p w14:paraId="5715C9AF" w14:textId="0BA7DB38" w:rsidR="37399AC2" w:rsidRDefault="37399AC2" w:rsidP="37399AC2">
            <w:pPr>
              <w:jc w:val="center"/>
            </w:pPr>
            <w:r w:rsidRPr="37399AC2">
              <w:rPr>
                <w:rFonts w:ascii="Times New Roman" w:eastAsia="Times New Roman" w:hAnsi="Times New Roman" w:cs="Times New Roman"/>
                <w:color w:val="000000" w:themeColor="text1"/>
              </w:rPr>
              <w:t>-</w:t>
            </w:r>
          </w:p>
        </w:tc>
        <w:tc>
          <w:tcPr>
            <w:tcW w:w="1872" w:type="dxa"/>
          </w:tcPr>
          <w:p w14:paraId="7AE7FFAB" w14:textId="383B788A" w:rsidR="37399AC2" w:rsidRDefault="37399AC2" w:rsidP="37399AC2">
            <w:pPr>
              <w:jc w:val="center"/>
            </w:pPr>
            <w:r w:rsidRPr="37399AC2">
              <w:rPr>
                <w:rFonts w:ascii="Times New Roman" w:eastAsia="Times New Roman" w:hAnsi="Times New Roman" w:cs="Times New Roman"/>
                <w:color w:val="000000" w:themeColor="text1"/>
              </w:rPr>
              <w:t>15.44 ‡</w:t>
            </w:r>
          </w:p>
        </w:tc>
        <w:tc>
          <w:tcPr>
            <w:tcW w:w="1872" w:type="dxa"/>
          </w:tcPr>
          <w:p w14:paraId="514A7763" w14:textId="0EB53FD4" w:rsidR="37399AC2" w:rsidRDefault="37399AC2" w:rsidP="37399AC2">
            <w:pPr>
              <w:jc w:val="center"/>
            </w:pPr>
            <w:r w:rsidRPr="37399AC2">
              <w:rPr>
                <w:rFonts w:ascii="Times New Roman" w:eastAsia="Times New Roman" w:hAnsi="Times New Roman" w:cs="Times New Roman"/>
                <w:color w:val="000000" w:themeColor="text1"/>
              </w:rPr>
              <w:t>14.81 (-)</w:t>
            </w:r>
          </w:p>
        </w:tc>
      </w:tr>
    </w:tbl>
    <w:p w14:paraId="0D4C22AD" w14:textId="63177A2B" w:rsidR="76FA90FC" w:rsidRDefault="76FA90FC" w:rsidP="37399AC2">
      <w:pPr>
        <w:jc w:val="both"/>
      </w:pPr>
      <w:r w:rsidRPr="37399AC2">
        <w:rPr>
          <w:rFonts w:ascii="Times New Roman" w:eastAsia="Times New Roman" w:hAnsi="Times New Roman" w:cs="Times New Roman"/>
          <w:color w:val="000000" w:themeColor="text1"/>
        </w:rPr>
        <w:t xml:space="preserve">4893/5176 participants in can COLD and 64/80 in PROMPT had spirometric measurements that satisfied ATS criteria. *CanCOLD References </w:t>
      </w:r>
      <w:r w:rsidR="002D1924">
        <w:rPr>
          <w:rFonts w:ascii="Times New Roman" w:eastAsia="Times New Roman" w:hAnsi="Times New Roman" w:cs="Times New Roman"/>
          <w:color w:val="000000" w:themeColor="text1"/>
          <w:vertAlign w:val="superscript"/>
        </w:rPr>
        <w:t>(4)</w:t>
      </w:r>
      <w:r w:rsidRPr="37399AC2">
        <w:rPr>
          <w:rFonts w:ascii="Times New Roman" w:eastAsia="Times New Roman" w:hAnsi="Times New Roman" w:cs="Times New Roman"/>
          <w:color w:val="000000" w:themeColor="text1"/>
        </w:rPr>
        <w:t xml:space="preserve">; </w:t>
      </w:r>
      <w:r w:rsidRPr="37399AC2">
        <w:rPr>
          <w:rFonts w:ascii="Times New Roman" w:eastAsia="Times New Roman" w:hAnsi="Times New Roman" w:cs="Times New Roman"/>
          <w:color w:val="000000" w:themeColor="text1"/>
          <w:vertAlign w:val="superscript"/>
        </w:rPr>
        <w:t xml:space="preserve">£ </w:t>
      </w:r>
      <w:r w:rsidRPr="37399AC2">
        <w:rPr>
          <w:rFonts w:ascii="Times New Roman" w:eastAsia="Times New Roman" w:hAnsi="Times New Roman" w:cs="Times New Roman"/>
          <w:color w:val="000000" w:themeColor="text1"/>
        </w:rPr>
        <w:t xml:space="preserve">average age calculated between average age of never-smokers and ever-smokers. </w:t>
      </w:r>
      <w:r w:rsidRPr="37399AC2">
        <w:rPr>
          <w:rFonts w:ascii="Times New Roman" w:eastAsia="Times New Roman" w:hAnsi="Times New Roman" w:cs="Times New Roman"/>
          <w:color w:val="000000" w:themeColor="text1"/>
          <w:vertAlign w:val="superscript"/>
        </w:rPr>
        <w:t xml:space="preserve">€ </w:t>
      </w:r>
      <w:r w:rsidRPr="37399AC2">
        <w:rPr>
          <w:rFonts w:ascii="Times New Roman" w:eastAsia="Times New Roman" w:hAnsi="Times New Roman" w:cs="Times New Roman"/>
          <w:color w:val="000000" w:themeColor="text1"/>
        </w:rPr>
        <w:t xml:space="preserve">average BMI calculated between average BMI’s of never-smokers and ever-smokers. </w:t>
      </w:r>
      <w:r w:rsidRPr="37399AC2">
        <w:rPr>
          <w:rFonts w:ascii="Times New Roman" w:eastAsia="Times New Roman" w:hAnsi="Times New Roman" w:cs="Times New Roman"/>
          <w:color w:val="666666"/>
          <w:vertAlign w:val="superscript"/>
        </w:rPr>
        <w:t xml:space="preserve">† </w:t>
      </w:r>
      <w:r w:rsidRPr="37399AC2">
        <w:rPr>
          <w:rFonts w:ascii="Times New Roman" w:eastAsia="Times New Roman" w:hAnsi="Times New Roman" w:cs="Times New Roman"/>
          <w:color w:val="000000" w:themeColor="text1"/>
        </w:rPr>
        <w:t xml:space="preserve">Pack years calculated from self-reported cigarettes/day and assuming 20 cigarettes/pack (# of packs/day x number of smoking years) </w:t>
      </w:r>
      <w:r w:rsidRPr="37399AC2">
        <w:rPr>
          <w:rFonts w:ascii="Times New Roman" w:eastAsia="Times New Roman" w:hAnsi="Times New Roman" w:cs="Times New Roman"/>
          <w:color w:val="666666"/>
          <w:vertAlign w:val="superscript"/>
        </w:rPr>
        <w:t>‡</w:t>
      </w:r>
      <w:r w:rsidRPr="37399AC2">
        <w:rPr>
          <w:rFonts w:ascii="Times New Roman" w:eastAsia="Times New Roman" w:hAnsi="Times New Roman" w:cs="Times New Roman"/>
          <w:b/>
          <w:bCs/>
          <w:color w:val="000000" w:themeColor="text1"/>
          <w:vertAlign w:val="superscript"/>
        </w:rPr>
        <w:t xml:space="preserve"> </w:t>
      </w:r>
      <w:r w:rsidRPr="37399AC2">
        <w:rPr>
          <w:rFonts w:ascii="Times New Roman" w:eastAsia="Times New Roman" w:hAnsi="Times New Roman" w:cs="Times New Roman"/>
          <w:color w:val="000000" w:themeColor="text1"/>
        </w:rPr>
        <w:t>average years of education calculated between average years of education between never-smokers and ever-smokers.</w:t>
      </w:r>
    </w:p>
    <w:p w14:paraId="7A221997" w14:textId="2F8F8563" w:rsidR="76FA90FC" w:rsidRDefault="76FA90FC" w:rsidP="37399AC2">
      <w:pPr>
        <w:jc w:val="both"/>
      </w:pPr>
      <w:r w:rsidRPr="37399AC2">
        <w:rPr>
          <w:rFonts w:ascii="Times New Roman" w:eastAsia="Times New Roman" w:hAnsi="Times New Roman" w:cs="Times New Roman"/>
          <w:color w:val="000000" w:themeColor="text1"/>
        </w:rPr>
        <w:t xml:space="preserve">           </w:t>
      </w:r>
    </w:p>
    <w:p w14:paraId="71DACD21" w14:textId="41603816" w:rsidR="76FA90FC" w:rsidRDefault="76FA90FC" w:rsidP="37399AC2">
      <w:pPr>
        <w:jc w:val="both"/>
      </w:pPr>
      <w:r w:rsidRPr="37399AC2">
        <w:rPr>
          <w:rFonts w:ascii="Times New Roman" w:eastAsia="Times New Roman" w:hAnsi="Times New Roman" w:cs="Times New Roman"/>
          <w:color w:val="000000" w:themeColor="text1"/>
        </w:rPr>
        <w:t xml:space="preserve"> </w:t>
      </w:r>
    </w:p>
    <w:p w14:paraId="0CD7E005" w14:textId="76361B09" w:rsidR="76FA90FC" w:rsidRDefault="76FA90FC" w:rsidP="37399AC2">
      <w:pPr>
        <w:jc w:val="both"/>
      </w:pPr>
      <w:r w:rsidRPr="37399AC2">
        <w:rPr>
          <w:rFonts w:ascii="Times New Roman" w:eastAsia="Times New Roman" w:hAnsi="Times New Roman" w:cs="Times New Roman"/>
          <w:color w:val="000000" w:themeColor="text1"/>
        </w:rPr>
        <w:t xml:space="preserve"> </w:t>
      </w:r>
    </w:p>
    <w:p w14:paraId="75B5E3EA" w14:textId="458C3D68" w:rsidR="76FA90FC" w:rsidRDefault="76FA90FC" w:rsidP="37399AC2">
      <w:pPr>
        <w:jc w:val="both"/>
      </w:pPr>
      <w:r w:rsidRPr="37399AC2">
        <w:rPr>
          <w:rFonts w:ascii="Times New Roman" w:eastAsia="Times New Roman" w:hAnsi="Times New Roman" w:cs="Times New Roman"/>
          <w:color w:val="000000" w:themeColor="text1"/>
        </w:rPr>
        <w:t xml:space="preserve"> </w:t>
      </w:r>
    </w:p>
    <w:p w14:paraId="2BF21DE9" w14:textId="7DEA9750" w:rsidR="76FA90FC" w:rsidRDefault="76FA90FC" w:rsidP="37399AC2">
      <w:pPr>
        <w:jc w:val="both"/>
      </w:pPr>
      <w:r w:rsidRPr="37399AC2">
        <w:rPr>
          <w:rFonts w:ascii="Times New Roman" w:eastAsia="Times New Roman" w:hAnsi="Times New Roman" w:cs="Times New Roman"/>
          <w:color w:val="000000" w:themeColor="text1"/>
        </w:rPr>
        <w:t xml:space="preserve"> </w:t>
      </w:r>
    </w:p>
    <w:p w14:paraId="67F02328" w14:textId="270A9CCB" w:rsidR="76FA90FC" w:rsidRDefault="76FA90FC" w:rsidP="37399AC2">
      <w:pPr>
        <w:jc w:val="both"/>
      </w:pPr>
      <w:r w:rsidRPr="37399AC2">
        <w:rPr>
          <w:rFonts w:ascii="Times New Roman" w:eastAsia="Times New Roman" w:hAnsi="Times New Roman" w:cs="Times New Roman"/>
          <w:color w:val="000000" w:themeColor="text1"/>
        </w:rPr>
        <w:t xml:space="preserve"> </w:t>
      </w:r>
    </w:p>
    <w:p w14:paraId="2E269CDF" w14:textId="27A2A9A0" w:rsidR="76FA90FC" w:rsidRDefault="76FA90FC" w:rsidP="37399AC2">
      <w:pPr>
        <w:jc w:val="both"/>
      </w:pPr>
      <w:r w:rsidRPr="37399AC2">
        <w:rPr>
          <w:rFonts w:ascii="Times New Roman" w:eastAsia="Times New Roman" w:hAnsi="Times New Roman" w:cs="Times New Roman"/>
          <w:color w:val="000000" w:themeColor="text1"/>
        </w:rPr>
        <w:t xml:space="preserve"> </w:t>
      </w:r>
    </w:p>
    <w:p w14:paraId="27273598" w14:textId="5A0B3427" w:rsidR="76FA90FC" w:rsidRDefault="76FA90FC" w:rsidP="37399AC2">
      <w:pPr>
        <w:jc w:val="both"/>
      </w:pPr>
      <w:r w:rsidRPr="37399AC2">
        <w:rPr>
          <w:rFonts w:ascii="Times New Roman" w:eastAsia="Times New Roman" w:hAnsi="Times New Roman" w:cs="Times New Roman"/>
          <w:color w:val="000000" w:themeColor="text1"/>
        </w:rPr>
        <w:t xml:space="preserve"> </w:t>
      </w:r>
    </w:p>
    <w:p w14:paraId="67B04943" w14:textId="17EF9698" w:rsidR="76FA90FC" w:rsidRDefault="76FA90FC" w:rsidP="37399AC2">
      <w:pPr>
        <w:jc w:val="both"/>
      </w:pPr>
      <w:r w:rsidRPr="37399AC2">
        <w:rPr>
          <w:rFonts w:ascii="Times New Roman" w:eastAsia="Times New Roman" w:hAnsi="Times New Roman" w:cs="Times New Roman"/>
          <w:color w:val="000000" w:themeColor="text1"/>
        </w:rPr>
        <w:t xml:space="preserve"> </w:t>
      </w:r>
    </w:p>
    <w:p w14:paraId="01D2EA56" w14:textId="5436FB32" w:rsidR="76FA90FC" w:rsidRDefault="76FA90FC" w:rsidP="37399AC2">
      <w:pPr>
        <w:jc w:val="both"/>
      </w:pPr>
      <w:r w:rsidRPr="37399AC2">
        <w:rPr>
          <w:rFonts w:ascii="Times New Roman" w:eastAsia="Times New Roman" w:hAnsi="Times New Roman" w:cs="Times New Roman"/>
          <w:color w:val="000000" w:themeColor="text1"/>
        </w:rPr>
        <w:t xml:space="preserve"> </w:t>
      </w:r>
    </w:p>
    <w:p w14:paraId="4CF90C59" w14:textId="4683ACAE" w:rsidR="76FA90FC" w:rsidRDefault="76FA90FC" w:rsidP="37399AC2">
      <w:pPr>
        <w:spacing w:line="360" w:lineRule="exact"/>
      </w:pPr>
      <w:r w:rsidRPr="37399AC2">
        <w:rPr>
          <w:rFonts w:ascii="Times New Roman" w:eastAsia="Times New Roman" w:hAnsi="Times New Roman" w:cs="Times New Roman"/>
          <w:color w:val="000000" w:themeColor="text1"/>
          <w:sz w:val="24"/>
          <w:szCs w:val="24"/>
          <w:lang w:val="en-GB"/>
        </w:rPr>
        <w:t xml:space="preserve"> </w:t>
      </w:r>
    </w:p>
    <w:p w14:paraId="41495B42" w14:textId="62E3B0D7" w:rsidR="76FA90FC" w:rsidRDefault="76FA90FC">
      <w:r w:rsidRPr="37399AC2">
        <w:rPr>
          <w:rFonts w:ascii="Times New Roman" w:eastAsia="Times New Roman" w:hAnsi="Times New Roman" w:cs="Times New Roman"/>
          <w:color w:val="000000" w:themeColor="text1"/>
          <w:sz w:val="24"/>
          <w:szCs w:val="24"/>
          <w:lang w:val="en-GB"/>
        </w:rPr>
        <w:t xml:space="preserve"> </w:t>
      </w:r>
    </w:p>
    <w:p w14:paraId="10D3FD54" w14:textId="4B3E7A79" w:rsidR="76FA90FC" w:rsidRDefault="76FA90FC" w:rsidP="00370FF9">
      <w:r w:rsidRPr="37399AC2">
        <w:rPr>
          <w:rFonts w:ascii="Times New Roman" w:eastAsia="Times New Roman" w:hAnsi="Times New Roman" w:cs="Times New Roman"/>
          <w:color w:val="000000" w:themeColor="text1"/>
          <w:sz w:val="24"/>
          <w:szCs w:val="24"/>
          <w:lang w:val="en-GB"/>
        </w:rPr>
        <w:t xml:space="preserve"> </w:t>
      </w:r>
    </w:p>
    <w:p w14:paraId="2DCD5650" w14:textId="1426485E" w:rsidR="76FA90FC" w:rsidRDefault="00A63FFE" w:rsidP="37399AC2">
      <w:pPr>
        <w:spacing w:line="360" w:lineRule="exact"/>
      </w:pPr>
      <w:r>
        <w:rPr>
          <w:rFonts w:ascii="Times New Roman" w:eastAsia="Times New Roman" w:hAnsi="Times New Roman" w:cs="Times New Roman"/>
          <w:color w:val="000000" w:themeColor="text1"/>
          <w:sz w:val="24"/>
          <w:szCs w:val="24"/>
          <w:lang w:val="en-GB"/>
        </w:rPr>
        <w:lastRenderedPageBreak/>
        <w:t>Additional File</w:t>
      </w:r>
      <w:r w:rsidR="76FA90FC" w:rsidRPr="37399AC2">
        <w:rPr>
          <w:rFonts w:ascii="Times New Roman" w:eastAsia="Times New Roman" w:hAnsi="Times New Roman" w:cs="Times New Roman"/>
          <w:color w:val="000000" w:themeColor="text1"/>
          <w:sz w:val="24"/>
          <w:szCs w:val="24"/>
          <w:lang w:val="en-GB"/>
        </w:rPr>
        <w:t xml:space="preserve"> Table 2: Comparison of CanCOLD data and PROMPT data on Obstructive Lung Disease prevalence, disease burden and Quality of Life questionnaire scores.</w:t>
      </w:r>
    </w:p>
    <w:tbl>
      <w:tblPr>
        <w:tblStyle w:val="PlainTable2"/>
        <w:tblW w:w="0" w:type="auto"/>
        <w:tblLayout w:type="fixed"/>
        <w:tblLook w:val="06A0" w:firstRow="1" w:lastRow="0" w:firstColumn="1" w:lastColumn="0" w:noHBand="1" w:noVBand="1"/>
      </w:tblPr>
      <w:tblGrid>
        <w:gridCol w:w="2340"/>
        <w:gridCol w:w="2340"/>
        <w:gridCol w:w="2340"/>
        <w:gridCol w:w="2340"/>
      </w:tblGrid>
      <w:tr w:rsidR="37399AC2" w14:paraId="07F2D821" w14:textId="77777777" w:rsidTr="680732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3C25058" w14:textId="1405DAE9" w:rsidR="37399AC2" w:rsidRDefault="37399AC2" w:rsidP="37399AC2">
            <w:pPr>
              <w:spacing w:line="253" w:lineRule="exact"/>
              <w:jc w:val="center"/>
            </w:pPr>
            <w:r w:rsidRPr="37399AC2">
              <w:rPr>
                <w:rFonts w:ascii="Times New Roman" w:eastAsia="Times New Roman" w:hAnsi="Times New Roman" w:cs="Times New Roman"/>
                <w:color w:val="000000" w:themeColor="text1"/>
              </w:rPr>
              <w:t>Variables</w:t>
            </w:r>
          </w:p>
        </w:tc>
        <w:tc>
          <w:tcPr>
            <w:tcW w:w="2340" w:type="dxa"/>
          </w:tcPr>
          <w:p w14:paraId="68BF8C9F" w14:textId="6B25BD20" w:rsidR="37399AC2" w:rsidRDefault="37399AC2" w:rsidP="37399AC2">
            <w:pPr>
              <w:spacing w:line="253" w:lineRule="exact"/>
              <w:jc w:val="center"/>
              <w:cnfStyle w:val="100000000000" w:firstRow="1"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CanCOLD Data (N=2598*)</w:t>
            </w:r>
          </w:p>
          <w:p w14:paraId="7A1E9582" w14:textId="1107C9F6" w:rsidR="37399AC2" w:rsidRDefault="37399AC2" w:rsidP="37399AC2">
            <w:pPr>
              <w:spacing w:line="253" w:lineRule="exact"/>
              <w:jc w:val="center"/>
              <w:cnfStyle w:val="100000000000" w:firstRow="1"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(Ever smokers)</w:t>
            </w:r>
          </w:p>
        </w:tc>
        <w:tc>
          <w:tcPr>
            <w:tcW w:w="2340" w:type="dxa"/>
          </w:tcPr>
          <w:p w14:paraId="1235B01A" w14:textId="5CF24A13" w:rsidR="37399AC2" w:rsidRDefault="37399AC2" w:rsidP="37399AC2">
            <w:pPr>
              <w:spacing w:line="253" w:lineRule="exact"/>
              <w:jc w:val="center"/>
              <w:cnfStyle w:val="100000000000" w:firstRow="1"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PROMPT data (n=64</w:t>
            </w:r>
            <w:r w:rsidRPr="37399AC2">
              <w:rPr>
                <w:rFonts w:ascii="Times New Roman" w:eastAsia="Times New Roman" w:hAnsi="Times New Roman" w:cs="Times New Roman"/>
                <w:color w:val="000000" w:themeColor="text1"/>
                <w:vertAlign w:val="superscript"/>
              </w:rPr>
              <w:t>1</w:t>
            </w:r>
            <w:r w:rsidRPr="37399AC2">
              <w:rPr>
                <w:rFonts w:ascii="Times New Roman" w:eastAsia="Times New Roman" w:hAnsi="Times New Roman" w:cs="Times New Roman"/>
                <w:color w:val="000000" w:themeColor="text1"/>
              </w:rPr>
              <w:t>)</w:t>
            </w:r>
          </w:p>
          <w:p w14:paraId="2DB6228E" w14:textId="71124E73" w:rsidR="37399AC2" w:rsidRDefault="37399AC2" w:rsidP="37399AC2">
            <w:pPr>
              <w:spacing w:line="253" w:lineRule="exact"/>
              <w:jc w:val="center"/>
              <w:cnfStyle w:val="100000000000" w:firstRow="1"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(Current smokers)</w:t>
            </w:r>
          </w:p>
        </w:tc>
        <w:tc>
          <w:tcPr>
            <w:tcW w:w="2340" w:type="dxa"/>
          </w:tcPr>
          <w:p w14:paraId="46472D86" w14:textId="0097F98F" w:rsidR="37399AC2" w:rsidRDefault="37399AC2" w:rsidP="37399AC2">
            <w:pPr>
              <w:spacing w:line="253" w:lineRule="exact"/>
              <w:jc w:val="center"/>
              <w:cnfStyle w:val="100000000000" w:firstRow="1"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Confidence Interval at 95% for PROMPT cohort with spirometry (N=64)</w:t>
            </w:r>
          </w:p>
        </w:tc>
      </w:tr>
      <w:tr w:rsidR="37399AC2" w14:paraId="7CE57B84" w14:textId="77777777" w:rsidTr="68073280">
        <w:tc>
          <w:tcPr>
            <w:cnfStyle w:val="001000000000" w:firstRow="0" w:lastRow="0" w:firstColumn="1" w:lastColumn="0" w:oddVBand="0" w:evenVBand="0" w:oddHBand="0" w:evenHBand="0" w:firstRowFirstColumn="0" w:firstRowLastColumn="0" w:lastRowFirstColumn="0" w:lastRowLastColumn="0"/>
            <w:tcW w:w="2340" w:type="dxa"/>
          </w:tcPr>
          <w:p w14:paraId="63AADFB1" w14:textId="53310628" w:rsidR="37399AC2" w:rsidRDefault="37399AC2" w:rsidP="37399AC2">
            <w:pPr>
              <w:jc w:val="both"/>
            </w:pPr>
            <w:r w:rsidRPr="37399AC2">
              <w:rPr>
                <w:rFonts w:ascii="Times New Roman" w:eastAsia="Times New Roman" w:hAnsi="Times New Roman" w:cs="Times New Roman"/>
                <w:color w:val="000000" w:themeColor="text1"/>
              </w:rPr>
              <w:t xml:space="preserve">COPD Prevalence    </w:t>
            </w:r>
          </w:p>
          <w:p w14:paraId="2F070B9A" w14:textId="539F2F7F" w:rsidR="37399AC2" w:rsidRDefault="37399AC2" w:rsidP="37399AC2">
            <w:pPr>
              <w:jc w:val="both"/>
            </w:pPr>
            <w:r w:rsidRPr="37399AC2">
              <w:rPr>
                <w:rFonts w:ascii="Times New Roman" w:eastAsia="Times New Roman" w:hAnsi="Times New Roman" w:cs="Times New Roman"/>
                <w:color w:val="000000" w:themeColor="text1"/>
              </w:rPr>
              <w:t>GOLD 1</w:t>
            </w:r>
          </w:p>
          <w:p w14:paraId="6878E3E8" w14:textId="595D2124" w:rsidR="37399AC2" w:rsidRDefault="37399AC2" w:rsidP="37399AC2">
            <w:pPr>
              <w:jc w:val="both"/>
            </w:pPr>
            <w:r w:rsidRPr="37399AC2">
              <w:rPr>
                <w:rFonts w:ascii="Times New Roman" w:eastAsia="Times New Roman" w:hAnsi="Times New Roman" w:cs="Times New Roman"/>
                <w:color w:val="000000" w:themeColor="text1"/>
              </w:rPr>
              <w:t xml:space="preserve">GOLD 2+                                   </w:t>
            </w:r>
          </w:p>
        </w:tc>
        <w:tc>
          <w:tcPr>
            <w:tcW w:w="2340" w:type="dxa"/>
          </w:tcPr>
          <w:p w14:paraId="0AC4419C" w14:textId="70EDE739"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17%</w:t>
            </w:r>
            <w:r w:rsidRPr="37399AC2">
              <w:rPr>
                <w:rFonts w:ascii="Times New Roman" w:eastAsia="Times New Roman" w:hAnsi="Times New Roman" w:cs="Times New Roman"/>
                <w:color w:val="000000" w:themeColor="text1"/>
                <w:vertAlign w:val="superscript"/>
              </w:rPr>
              <w:t>£</w:t>
            </w:r>
          </w:p>
          <w:p w14:paraId="3CDE705D" w14:textId="2C3CCCC0"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56%</w:t>
            </w:r>
            <w:r w:rsidRPr="37399AC2">
              <w:rPr>
                <w:rFonts w:ascii="Times New Roman" w:eastAsia="Times New Roman" w:hAnsi="Times New Roman" w:cs="Times New Roman"/>
                <w:color w:val="000000" w:themeColor="text1"/>
                <w:vertAlign w:val="superscript"/>
              </w:rPr>
              <w:t>€</w:t>
            </w:r>
          </w:p>
          <w:p w14:paraId="4F2F1BAA" w14:textId="02697E85"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44%</w:t>
            </w:r>
            <w:r w:rsidRPr="37399AC2">
              <w:rPr>
                <w:rFonts w:ascii="Times New Roman" w:eastAsia="Times New Roman" w:hAnsi="Times New Roman" w:cs="Times New Roman"/>
                <w:color w:val="000000" w:themeColor="text1"/>
                <w:vertAlign w:val="superscript"/>
              </w:rPr>
              <w:t>€</w:t>
            </w:r>
          </w:p>
        </w:tc>
        <w:tc>
          <w:tcPr>
            <w:tcW w:w="2340" w:type="dxa"/>
          </w:tcPr>
          <w:p w14:paraId="0744FDD2" w14:textId="3B35EAA3" w:rsidR="37399AC2" w:rsidRDefault="3EE78597" w:rsidP="37399AC2">
            <w:pPr>
              <w:jc w:val="center"/>
              <w:cnfStyle w:val="000000000000" w:firstRow="0" w:lastRow="0" w:firstColumn="0" w:lastColumn="0" w:oddVBand="0" w:evenVBand="0" w:oddHBand="0" w:evenHBand="0" w:firstRowFirstColumn="0" w:firstRowLastColumn="0" w:lastRowFirstColumn="0" w:lastRowLastColumn="0"/>
            </w:pPr>
            <w:r w:rsidRPr="68073280">
              <w:rPr>
                <w:rFonts w:ascii="Times New Roman" w:eastAsia="Times New Roman" w:hAnsi="Times New Roman" w:cs="Times New Roman"/>
                <w:color w:val="000000" w:themeColor="text1"/>
              </w:rPr>
              <w:t>44</w:t>
            </w:r>
            <w:r w:rsidR="7079E15A" w:rsidRPr="68073280">
              <w:rPr>
                <w:rFonts w:ascii="Times New Roman" w:eastAsia="Times New Roman" w:hAnsi="Times New Roman" w:cs="Times New Roman"/>
                <w:color w:val="000000" w:themeColor="text1"/>
              </w:rPr>
              <w:t>%</w:t>
            </w:r>
          </w:p>
          <w:p w14:paraId="1FFFC513" w14:textId="5CE924A1" w:rsidR="37399AC2" w:rsidRDefault="63549D65" w:rsidP="37399AC2">
            <w:pPr>
              <w:jc w:val="center"/>
              <w:cnfStyle w:val="000000000000" w:firstRow="0" w:lastRow="0" w:firstColumn="0" w:lastColumn="0" w:oddVBand="0" w:evenVBand="0" w:oddHBand="0" w:evenHBand="0" w:firstRowFirstColumn="0" w:firstRowLastColumn="0" w:lastRowFirstColumn="0" w:lastRowLastColumn="0"/>
            </w:pPr>
            <w:r w:rsidRPr="68073280">
              <w:rPr>
                <w:rFonts w:ascii="Times New Roman" w:eastAsia="Times New Roman" w:hAnsi="Times New Roman" w:cs="Times New Roman"/>
                <w:color w:val="000000" w:themeColor="text1"/>
              </w:rPr>
              <w:t>7</w:t>
            </w:r>
            <w:r w:rsidR="7079E15A" w:rsidRPr="68073280">
              <w:rPr>
                <w:rFonts w:ascii="Times New Roman" w:eastAsia="Times New Roman" w:hAnsi="Times New Roman" w:cs="Times New Roman"/>
                <w:color w:val="000000" w:themeColor="text1"/>
              </w:rPr>
              <w:t>%</w:t>
            </w:r>
          </w:p>
          <w:p w14:paraId="240BA52B" w14:textId="16775077" w:rsidR="37399AC2" w:rsidRDefault="471F6B5F" w:rsidP="37399AC2">
            <w:pPr>
              <w:jc w:val="center"/>
              <w:cnfStyle w:val="000000000000" w:firstRow="0" w:lastRow="0" w:firstColumn="0" w:lastColumn="0" w:oddVBand="0" w:evenVBand="0" w:oddHBand="0" w:evenHBand="0" w:firstRowFirstColumn="0" w:firstRowLastColumn="0" w:lastRowFirstColumn="0" w:lastRowLastColumn="0"/>
            </w:pPr>
            <w:r w:rsidRPr="68073280">
              <w:rPr>
                <w:rFonts w:ascii="Times New Roman" w:eastAsia="Times New Roman" w:hAnsi="Times New Roman" w:cs="Times New Roman"/>
                <w:color w:val="000000" w:themeColor="text1"/>
              </w:rPr>
              <w:t>93</w:t>
            </w:r>
            <w:r w:rsidR="7079E15A" w:rsidRPr="68073280">
              <w:rPr>
                <w:rFonts w:ascii="Times New Roman" w:eastAsia="Times New Roman" w:hAnsi="Times New Roman" w:cs="Times New Roman"/>
                <w:color w:val="000000" w:themeColor="text1"/>
              </w:rPr>
              <w:t>%</w:t>
            </w:r>
          </w:p>
        </w:tc>
        <w:tc>
          <w:tcPr>
            <w:tcW w:w="2340" w:type="dxa"/>
          </w:tcPr>
          <w:p w14:paraId="4B362B28" w14:textId="7A250F62" w:rsidR="37399AC2" w:rsidRDefault="74BDE2A1" w:rsidP="6807328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68073280">
              <w:rPr>
                <w:rFonts w:ascii="Times New Roman" w:eastAsia="Times New Roman" w:hAnsi="Times New Roman" w:cs="Times New Roman"/>
                <w:color w:val="000000" w:themeColor="text1"/>
              </w:rPr>
              <w:t>33</w:t>
            </w:r>
            <w:r w:rsidR="7079E15A" w:rsidRPr="68073280">
              <w:rPr>
                <w:rFonts w:ascii="Times New Roman" w:eastAsia="Times New Roman" w:hAnsi="Times New Roman" w:cs="Times New Roman"/>
                <w:color w:val="000000" w:themeColor="text1"/>
              </w:rPr>
              <w:t>-</w:t>
            </w:r>
            <w:r w:rsidR="121AD09B" w:rsidRPr="68073280">
              <w:rPr>
                <w:rFonts w:ascii="Times New Roman" w:eastAsia="Times New Roman" w:hAnsi="Times New Roman" w:cs="Times New Roman"/>
                <w:color w:val="000000" w:themeColor="text1"/>
              </w:rPr>
              <w:t>55</w:t>
            </w:r>
            <w:r w:rsidR="7079E15A" w:rsidRPr="68073280">
              <w:rPr>
                <w:rFonts w:ascii="Times New Roman" w:eastAsia="Times New Roman" w:hAnsi="Times New Roman" w:cs="Times New Roman"/>
                <w:color w:val="000000" w:themeColor="text1"/>
              </w:rPr>
              <w:t>%</w:t>
            </w:r>
          </w:p>
        </w:tc>
      </w:tr>
      <w:tr w:rsidR="37399AC2" w14:paraId="4ACFE364" w14:textId="77777777" w:rsidTr="68073280">
        <w:tc>
          <w:tcPr>
            <w:cnfStyle w:val="001000000000" w:firstRow="0" w:lastRow="0" w:firstColumn="1" w:lastColumn="0" w:oddVBand="0" w:evenVBand="0" w:oddHBand="0" w:evenHBand="0" w:firstRowFirstColumn="0" w:firstRowLastColumn="0" w:lastRowFirstColumn="0" w:lastRowLastColumn="0"/>
            <w:tcW w:w="2340" w:type="dxa"/>
          </w:tcPr>
          <w:p w14:paraId="3133F152" w14:textId="2C8B23E0" w:rsidR="37399AC2" w:rsidRDefault="37399AC2" w:rsidP="37399AC2">
            <w:pPr>
              <w:jc w:val="both"/>
            </w:pPr>
            <w:r w:rsidRPr="37399AC2">
              <w:rPr>
                <w:rFonts w:ascii="Times New Roman" w:eastAsia="Times New Roman" w:hAnsi="Times New Roman" w:cs="Times New Roman"/>
                <w:color w:val="000000" w:themeColor="text1"/>
              </w:rPr>
              <w:t>Asthma Prevalence</w:t>
            </w:r>
          </w:p>
        </w:tc>
        <w:tc>
          <w:tcPr>
            <w:tcW w:w="2340" w:type="dxa"/>
          </w:tcPr>
          <w:p w14:paraId="3729D66A" w14:textId="2628FBD0"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16%*</w:t>
            </w:r>
          </w:p>
        </w:tc>
        <w:tc>
          <w:tcPr>
            <w:tcW w:w="2340" w:type="dxa"/>
          </w:tcPr>
          <w:p w14:paraId="4482277E" w14:textId="10F76E3C"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16%</w:t>
            </w:r>
          </w:p>
        </w:tc>
        <w:tc>
          <w:tcPr>
            <w:tcW w:w="2340" w:type="dxa"/>
          </w:tcPr>
          <w:p w14:paraId="1F84DC52" w14:textId="5EC21329"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7-25%</w:t>
            </w:r>
          </w:p>
        </w:tc>
      </w:tr>
      <w:tr w:rsidR="37399AC2" w14:paraId="218D7630" w14:textId="77777777" w:rsidTr="68073280">
        <w:tc>
          <w:tcPr>
            <w:cnfStyle w:val="001000000000" w:firstRow="0" w:lastRow="0" w:firstColumn="1" w:lastColumn="0" w:oddVBand="0" w:evenVBand="0" w:oddHBand="0" w:evenHBand="0" w:firstRowFirstColumn="0" w:firstRowLastColumn="0" w:lastRowFirstColumn="0" w:lastRowLastColumn="0"/>
            <w:tcW w:w="2340" w:type="dxa"/>
          </w:tcPr>
          <w:p w14:paraId="616BE5E9" w14:textId="6001311A" w:rsidR="37399AC2" w:rsidRDefault="37399AC2">
            <w:r w:rsidRPr="37399AC2">
              <w:rPr>
                <w:rFonts w:ascii="Times New Roman" w:eastAsia="Times New Roman" w:hAnsi="Times New Roman" w:cs="Times New Roman"/>
                <w:color w:val="000000" w:themeColor="text1"/>
              </w:rPr>
              <w:t>Overall OLD Prevalence</w:t>
            </w:r>
          </w:p>
        </w:tc>
        <w:tc>
          <w:tcPr>
            <w:tcW w:w="2340" w:type="dxa"/>
          </w:tcPr>
          <w:p w14:paraId="0A77E3F0" w14:textId="40015550"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30%</w:t>
            </w:r>
            <w:r w:rsidRPr="37399AC2">
              <w:rPr>
                <w:rFonts w:ascii="Times New Roman" w:eastAsia="Times New Roman" w:hAnsi="Times New Roman" w:cs="Times New Roman"/>
                <w:color w:val="000000" w:themeColor="text1"/>
                <w:vertAlign w:val="superscript"/>
              </w:rPr>
              <w:t>€</w:t>
            </w:r>
          </w:p>
        </w:tc>
        <w:tc>
          <w:tcPr>
            <w:tcW w:w="2340" w:type="dxa"/>
          </w:tcPr>
          <w:p w14:paraId="3A19093C" w14:textId="31B17885"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59%</w:t>
            </w:r>
          </w:p>
        </w:tc>
        <w:tc>
          <w:tcPr>
            <w:tcW w:w="2340" w:type="dxa"/>
          </w:tcPr>
          <w:p w14:paraId="2B6B80BD" w14:textId="63A131F9"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44-74%</w:t>
            </w:r>
          </w:p>
        </w:tc>
      </w:tr>
      <w:tr w:rsidR="37399AC2" w14:paraId="0CD75FD0" w14:textId="77777777" w:rsidTr="68073280">
        <w:tc>
          <w:tcPr>
            <w:cnfStyle w:val="001000000000" w:firstRow="0" w:lastRow="0" w:firstColumn="1" w:lastColumn="0" w:oddVBand="0" w:evenVBand="0" w:oddHBand="0" w:evenHBand="0" w:firstRowFirstColumn="0" w:firstRowLastColumn="0" w:lastRowFirstColumn="0" w:lastRowLastColumn="0"/>
            <w:tcW w:w="2340" w:type="dxa"/>
          </w:tcPr>
          <w:p w14:paraId="6C2015E2" w14:textId="203E0CD9" w:rsidR="37399AC2" w:rsidRDefault="37399AC2" w:rsidP="37399AC2">
            <w:pPr>
              <w:jc w:val="both"/>
            </w:pPr>
            <w:r w:rsidRPr="37399AC2">
              <w:rPr>
                <w:rFonts w:ascii="Times New Roman" w:eastAsia="Times New Roman" w:hAnsi="Times New Roman" w:cs="Times New Roman"/>
                <w:color w:val="000000" w:themeColor="text1"/>
              </w:rPr>
              <w:t>Disease Burden</w:t>
            </w:r>
          </w:p>
        </w:tc>
        <w:tc>
          <w:tcPr>
            <w:tcW w:w="2340" w:type="dxa"/>
          </w:tcPr>
          <w:p w14:paraId="6F4FF65C" w14:textId="3A40E951" w:rsidR="37399AC2" w:rsidRDefault="37399AC2">
            <w:pPr>
              <w:cnfStyle w:val="000000000000" w:firstRow="0" w:lastRow="0" w:firstColumn="0" w:lastColumn="0" w:oddVBand="0" w:evenVBand="0" w:oddHBand="0" w:evenHBand="0" w:firstRowFirstColumn="0" w:firstRowLastColumn="0" w:lastRowFirstColumn="0" w:lastRowLastColumn="0"/>
            </w:pPr>
          </w:p>
        </w:tc>
        <w:tc>
          <w:tcPr>
            <w:tcW w:w="2340" w:type="dxa"/>
          </w:tcPr>
          <w:p w14:paraId="1B044BD5" w14:textId="1AC05896" w:rsidR="37399AC2" w:rsidRDefault="37399AC2">
            <w:pPr>
              <w:cnfStyle w:val="000000000000" w:firstRow="0" w:lastRow="0" w:firstColumn="0" w:lastColumn="0" w:oddVBand="0" w:evenVBand="0" w:oddHBand="0" w:evenHBand="0" w:firstRowFirstColumn="0" w:firstRowLastColumn="0" w:lastRowFirstColumn="0" w:lastRowLastColumn="0"/>
            </w:pPr>
          </w:p>
        </w:tc>
        <w:tc>
          <w:tcPr>
            <w:tcW w:w="2340" w:type="dxa"/>
          </w:tcPr>
          <w:p w14:paraId="203530D0" w14:textId="0C4F89DB" w:rsidR="37399AC2" w:rsidRDefault="37399AC2">
            <w:pP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sz w:val="24"/>
                <w:szCs w:val="24"/>
              </w:rPr>
              <w:t xml:space="preserve"> </w:t>
            </w:r>
          </w:p>
        </w:tc>
      </w:tr>
      <w:tr w:rsidR="37399AC2" w14:paraId="4DD3EDC1" w14:textId="77777777" w:rsidTr="68073280">
        <w:tc>
          <w:tcPr>
            <w:cnfStyle w:val="001000000000" w:firstRow="0" w:lastRow="0" w:firstColumn="1" w:lastColumn="0" w:oddVBand="0" w:evenVBand="0" w:oddHBand="0" w:evenHBand="0" w:firstRowFirstColumn="0" w:firstRowLastColumn="0" w:lastRowFirstColumn="0" w:lastRowLastColumn="0"/>
            <w:tcW w:w="2340" w:type="dxa"/>
          </w:tcPr>
          <w:p w14:paraId="6DDE83F5" w14:textId="3A2BFA56" w:rsidR="37399AC2" w:rsidRDefault="37399AC2" w:rsidP="37399AC2">
            <w:pPr>
              <w:jc w:val="both"/>
            </w:pPr>
            <w:r w:rsidRPr="37399AC2">
              <w:rPr>
                <w:rFonts w:ascii="Times New Roman" w:eastAsia="Times New Roman" w:hAnsi="Times New Roman" w:cs="Times New Roman"/>
                <w:color w:val="000000" w:themeColor="text1"/>
              </w:rPr>
              <w:t xml:space="preserve">Cough                                                                                                                                                  </w:t>
            </w:r>
          </w:p>
        </w:tc>
        <w:tc>
          <w:tcPr>
            <w:tcW w:w="2340" w:type="dxa"/>
          </w:tcPr>
          <w:p w14:paraId="2ED99A80" w14:textId="79B0CBC2"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22%</w:t>
            </w:r>
            <w:r w:rsidRPr="37399AC2">
              <w:rPr>
                <w:rFonts w:ascii="Times New Roman" w:eastAsia="Times New Roman" w:hAnsi="Times New Roman" w:cs="Times New Roman"/>
                <w:color w:val="000000" w:themeColor="text1"/>
                <w:vertAlign w:val="superscript"/>
              </w:rPr>
              <w:t>£</w:t>
            </w:r>
          </w:p>
        </w:tc>
        <w:tc>
          <w:tcPr>
            <w:tcW w:w="2340" w:type="dxa"/>
          </w:tcPr>
          <w:p w14:paraId="6B9552B8" w14:textId="205CB552"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64%</w:t>
            </w:r>
          </w:p>
        </w:tc>
        <w:tc>
          <w:tcPr>
            <w:tcW w:w="2340" w:type="dxa"/>
          </w:tcPr>
          <w:p w14:paraId="665933E7" w14:textId="4F60C687"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51-77%</w:t>
            </w:r>
          </w:p>
        </w:tc>
      </w:tr>
      <w:tr w:rsidR="37399AC2" w14:paraId="60F7A544" w14:textId="77777777" w:rsidTr="68073280">
        <w:tc>
          <w:tcPr>
            <w:cnfStyle w:val="001000000000" w:firstRow="0" w:lastRow="0" w:firstColumn="1" w:lastColumn="0" w:oddVBand="0" w:evenVBand="0" w:oddHBand="0" w:evenHBand="0" w:firstRowFirstColumn="0" w:firstRowLastColumn="0" w:lastRowFirstColumn="0" w:lastRowLastColumn="0"/>
            <w:tcW w:w="2340" w:type="dxa"/>
          </w:tcPr>
          <w:p w14:paraId="3DB5EDCF" w14:textId="4CFCAF8B" w:rsidR="37399AC2" w:rsidRDefault="37399AC2" w:rsidP="37399AC2">
            <w:pPr>
              <w:jc w:val="both"/>
            </w:pPr>
            <w:r w:rsidRPr="37399AC2">
              <w:rPr>
                <w:rFonts w:ascii="Times New Roman" w:eastAsia="Times New Roman" w:hAnsi="Times New Roman" w:cs="Times New Roman"/>
                <w:color w:val="000000" w:themeColor="text1"/>
              </w:rPr>
              <w:t xml:space="preserve">Phlegm </w:t>
            </w:r>
          </w:p>
        </w:tc>
        <w:tc>
          <w:tcPr>
            <w:tcW w:w="2340" w:type="dxa"/>
          </w:tcPr>
          <w:p w14:paraId="60D48E50" w14:textId="73B72313"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19%</w:t>
            </w:r>
            <w:r w:rsidRPr="37399AC2">
              <w:rPr>
                <w:rFonts w:ascii="Times New Roman" w:eastAsia="Times New Roman" w:hAnsi="Times New Roman" w:cs="Times New Roman"/>
                <w:color w:val="000000" w:themeColor="text1"/>
                <w:vertAlign w:val="superscript"/>
              </w:rPr>
              <w:t>£</w:t>
            </w:r>
          </w:p>
        </w:tc>
        <w:tc>
          <w:tcPr>
            <w:tcW w:w="2340" w:type="dxa"/>
          </w:tcPr>
          <w:p w14:paraId="6682E3B9" w14:textId="65B43C77"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70%</w:t>
            </w:r>
          </w:p>
        </w:tc>
        <w:tc>
          <w:tcPr>
            <w:tcW w:w="2340" w:type="dxa"/>
          </w:tcPr>
          <w:p w14:paraId="09C3E8B3" w14:textId="3C8FC18E"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58-82%</w:t>
            </w:r>
          </w:p>
        </w:tc>
      </w:tr>
      <w:tr w:rsidR="37399AC2" w14:paraId="48526DCB" w14:textId="77777777" w:rsidTr="68073280">
        <w:tc>
          <w:tcPr>
            <w:cnfStyle w:val="001000000000" w:firstRow="0" w:lastRow="0" w:firstColumn="1" w:lastColumn="0" w:oddVBand="0" w:evenVBand="0" w:oddHBand="0" w:evenHBand="0" w:firstRowFirstColumn="0" w:firstRowLastColumn="0" w:lastRowFirstColumn="0" w:lastRowLastColumn="0"/>
            <w:tcW w:w="2340" w:type="dxa"/>
          </w:tcPr>
          <w:p w14:paraId="74557855" w14:textId="0CB1978A" w:rsidR="37399AC2" w:rsidRDefault="37399AC2" w:rsidP="37399AC2">
            <w:pPr>
              <w:jc w:val="both"/>
            </w:pPr>
            <w:r w:rsidRPr="37399AC2">
              <w:rPr>
                <w:rFonts w:ascii="Times New Roman" w:eastAsia="Times New Roman" w:hAnsi="Times New Roman" w:cs="Times New Roman"/>
                <w:color w:val="000000" w:themeColor="text1"/>
              </w:rPr>
              <w:t>Shortness of breath</w:t>
            </w:r>
          </w:p>
        </w:tc>
        <w:tc>
          <w:tcPr>
            <w:tcW w:w="2340" w:type="dxa"/>
          </w:tcPr>
          <w:p w14:paraId="7F8C686D" w14:textId="15A983B1"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38%</w:t>
            </w:r>
            <w:r w:rsidRPr="37399AC2">
              <w:rPr>
                <w:rFonts w:ascii="Times New Roman" w:eastAsia="Times New Roman" w:hAnsi="Times New Roman" w:cs="Times New Roman"/>
                <w:color w:val="000000" w:themeColor="text1"/>
                <w:vertAlign w:val="superscript"/>
              </w:rPr>
              <w:t>£</w:t>
            </w:r>
          </w:p>
        </w:tc>
        <w:tc>
          <w:tcPr>
            <w:tcW w:w="2340" w:type="dxa"/>
          </w:tcPr>
          <w:p w14:paraId="6AC6829D" w14:textId="205ECF53"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39%</w:t>
            </w:r>
          </w:p>
        </w:tc>
        <w:tc>
          <w:tcPr>
            <w:tcW w:w="2340" w:type="dxa"/>
          </w:tcPr>
          <w:p w14:paraId="33D58631" w14:textId="6D36A018"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27-51%</w:t>
            </w:r>
          </w:p>
        </w:tc>
      </w:tr>
      <w:tr w:rsidR="37399AC2" w14:paraId="2199E713" w14:textId="77777777" w:rsidTr="68073280">
        <w:tc>
          <w:tcPr>
            <w:cnfStyle w:val="001000000000" w:firstRow="0" w:lastRow="0" w:firstColumn="1" w:lastColumn="0" w:oddVBand="0" w:evenVBand="0" w:oddHBand="0" w:evenHBand="0" w:firstRowFirstColumn="0" w:firstRowLastColumn="0" w:lastRowFirstColumn="0" w:lastRowLastColumn="0"/>
            <w:tcW w:w="2340" w:type="dxa"/>
          </w:tcPr>
          <w:p w14:paraId="39A7B971" w14:textId="116D5456" w:rsidR="37399AC2" w:rsidRDefault="37399AC2" w:rsidP="37399AC2">
            <w:pPr>
              <w:jc w:val="both"/>
            </w:pPr>
            <w:r w:rsidRPr="37399AC2">
              <w:rPr>
                <w:rFonts w:ascii="Times New Roman" w:eastAsia="Times New Roman" w:hAnsi="Times New Roman" w:cs="Times New Roman"/>
                <w:color w:val="000000" w:themeColor="text1"/>
              </w:rPr>
              <w:t>Wheezing</w:t>
            </w:r>
          </w:p>
        </w:tc>
        <w:tc>
          <w:tcPr>
            <w:tcW w:w="2340" w:type="dxa"/>
          </w:tcPr>
          <w:p w14:paraId="23E93804" w14:textId="7D6335D6"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45%</w:t>
            </w:r>
            <w:r w:rsidRPr="37399AC2">
              <w:rPr>
                <w:rFonts w:ascii="Times New Roman" w:eastAsia="Times New Roman" w:hAnsi="Times New Roman" w:cs="Times New Roman"/>
                <w:color w:val="000000" w:themeColor="text1"/>
                <w:vertAlign w:val="superscript"/>
              </w:rPr>
              <w:t>£</w:t>
            </w:r>
          </w:p>
        </w:tc>
        <w:tc>
          <w:tcPr>
            <w:tcW w:w="2340" w:type="dxa"/>
          </w:tcPr>
          <w:p w14:paraId="7CCB0072" w14:textId="4C90CA9F"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71%</w:t>
            </w:r>
          </w:p>
        </w:tc>
        <w:tc>
          <w:tcPr>
            <w:tcW w:w="2340" w:type="dxa"/>
          </w:tcPr>
          <w:p w14:paraId="33D153C6" w14:textId="50A5AE93"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59-83%</w:t>
            </w:r>
          </w:p>
        </w:tc>
      </w:tr>
      <w:tr w:rsidR="37399AC2" w14:paraId="2B150786" w14:textId="77777777" w:rsidTr="68073280">
        <w:tc>
          <w:tcPr>
            <w:cnfStyle w:val="001000000000" w:firstRow="0" w:lastRow="0" w:firstColumn="1" w:lastColumn="0" w:oddVBand="0" w:evenVBand="0" w:oddHBand="0" w:evenHBand="0" w:firstRowFirstColumn="0" w:firstRowLastColumn="0" w:lastRowFirstColumn="0" w:lastRowLastColumn="0"/>
            <w:tcW w:w="2340" w:type="dxa"/>
          </w:tcPr>
          <w:p w14:paraId="28DE19F5" w14:textId="460A92FA" w:rsidR="37399AC2" w:rsidRDefault="37399AC2">
            <w:r w:rsidRPr="37399AC2">
              <w:rPr>
                <w:rFonts w:ascii="Times New Roman" w:eastAsia="Times New Roman" w:hAnsi="Times New Roman" w:cs="Times New Roman"/>
                <w:color w:val="000000" w:themeColor="text1"/>
              </w:rPr>
              <w:t>CAT Score</w:t>
            </w:r>
          </w:p>
        </w:tc>
        <w:tc>
          <w:tcPr>
            <w:tcW w:w="2340" w:type="dxa"/>
          </w:tcPr>
          <w:p w14:paraId="262593C4" w14:textId="77A71BA7"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 xml:space="preserve">7.8 </w:t>
            </w:r>
            <w:r w:rsidRPr="37399AC2">
              <w:rPr>
                <w:rFonts w:ascii="Times New Roman" w:eastAsia="Times New Roman" w:hAnsi="Times New Roman" w:cs="Times New Roman"/>
                <w:color w:val="000000" w:themeColor="text1"/>
                <w:vertAlign w:val="superscript"/>
              </w:rPr>
              <w:t>€</w:t>
            </w:r>
          </w:p>
        </w:tc>
        <w:tc>
          <w:tcPr>
            <w:tcW w:w="2340" w:type="dxa"/>
          </w:tcPr>
          <w:p w14:paraId="461320EA" w14:textId="404D1C6D"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25.78</w:t>
            </w:r>
          </w:p>
        </w:tc>
        <w:tc>
          <w:tcPr>
            <w:tcW w:w="2340" w:type="dxa"/>
          </w:tcPr>
          <w:p w14:paraId="6DA25543" w14:textId="3AE34BA1" w:rsidR="37399AC2" w:rsidRDefault="37399AC2" w:rsidP="37399AC2">
            <w:pPr>
              <w:jc w:val="center"/>
              <w:cnfStyle w:val="000000000000" w:firstRow="0" w:lastRow="0" w:firstColumn="0" w:lastColumn="0" w:oddVBand="0" w:evenVBand="0" w:oddHBand="0" w:evenHBand="0" w:firstRowFirstColumn="0" w:firstRowLastColumn="0" w:lastRowFirstColumn="0" w:lastRowLastColumn="0"/>
            </w:pPr>
            <w:r w:rsidRPr="37399AC2">
              <w:rPr>
                <w:rFonts w:ascii="Times New Roman" w:eastAsia="Times New Roman" w:hAnsi="Times New Roman" w:cs="Times New Roman"/>
                <w:color w:val="000000" w:themeColor="text1"/>
              </w:rPr>
              <w:t>-</w:t>
            </w:r>
          </w:p>
        </w:tc>
      </w:tr>
    </w:tbl>
    <w:p w14:paraId="6D8C644A" w14:textId="7A92E76A" w:rsidR="76FA90FC" w:rsidRDefault="76FA90FC" w:rsidP="37399AC2">
      <w:pPr>
        <w:jc w:val="both"/>
      </w:pPr>
      <w:r w:rsidRPr="37399AC2">
        <w:rPr>
          <w:rFonts w:ascii="Times New Roman" w:eastAsia="Times New Roman" w:hAnsi="Times New Roman" w:cs="Times New Roman"/>
          <w:color w:val="000000" w:themeColor="text1"/>
          <w:sz w:val="20"/>
          <w:szCs w:val="20"/>
        </w:rPr>
        <w:t>CanCOLD References: *(</w:t>
      </w:r>
      <w:r w:rsidR="00F92FC1">
        <w:rPr>
          <w:rFonts w:ascii="Times New Roman" w:eastAsia="Times New Roman" w:hAnsi="Times New Roman" w:cs="Times New Roman"/>
          <w:color w:val="000000" w:themeColor="text1"/>
          <w:sz w:val="20"/>
          <w:szCs w:val="20"/>
        </w:rPr>
        <w:t>4</w:t>
      </w:r>
      <w:r w:rsidRPr="37399AC2">
        <w:rPr>
          <w:rFonts w:ascii="Times New Roman" w:eastAsia="Times New Roman" w:hAnsi="Times New Roman" w:cs="Times New Roman"/>
          <w:color w:val="000000" w:themeColor="text1"/>
          <w:sz w:val="20"/>
          <w:szCs w:val="20"/>
        </w:rPr>
        <w:t xml:space="preserve">); </w:t>
      </w:r>
      <w:r w:rsidRPr="37399AC2">
        <w:rPr>
          <w:rFonts w:ascii="Times New Roman" w:eastAsia="Times New Roman" w:hAnsi="Times New Roman" w:cs="Times New Roman"/>
          <w:color w:val="000000" w:themeColor="text1"/>
          <w:sz w:val="20"/>
          <w:szCs w:val="20"/>
          <w:vertAlign w:val="superscript"/>
        </w:rPr>
        <w:t>£</w:t>
      </w:r>
      <w:r w:rsidRPr="37399AC2">
        <w:rPr>
          <w:rFonts w:ascii="Times New Roman" w:eastAsia="Times New Roman" w:hAnsi="Times New Roman" w:cs="Times New Roman"/>
          <w:color w:val="000000" w:themeColor="text1"/>
          <w:sz w:val="20"/>
          <w:szCs w:val="20"/>
        </w:rPr>
        <w:t>(</w:t>
      </w:r>
      <w:r w:rsidR="00F92FC1">
        <w:rPr>
          <w:rFonts w:ascii="Times New Roman" w:eastAsia="Times New Roman" w:hAnsi="Times New Roman" w:cs="Times New Roman"/>
          <w:color w:val="000000" w:themeColor="text1"/>
          <w:sz w:val="20"/>
          <w:szCs w:val="20"/>
        </w:rPr>
        <w:t>2</w:t>
      </w:r>
      <w:r w:rsidRPr="37399AC2">
        <w:rPr>
          <w:rFonts w:ascii="Times New Roman" w:eastAsia="Times New Roman" w:hAnsi="Times New Roman" w:cs="Times New Roman"/>
          <w:color w:val="000000" w:themeColor="text1"/>
          <w:sz w:val="20"/>
          <w:szCs w:val="20"/>
        </w:rPr>
        <w:t>);</w:t>
      </w:r>
      <w:r w:rsidRPr="37399AC2">
        <w:rPr>
          <w:rFonts w:ascii="Times New Roman" w:eastAsia="Times New Roman" w:hAnsi="Times New Roman" w:cs="Times New Roman"/>
          <w:color w:val="000000" w:themeColor="text1"/>
          <w:sz w:val="20"/>
          <w:szCs w:val="20"/>
          <w:vertAlign w:val="superscript"/>
        </w:rPr>
        <w:t>€</w:t>
      </w:r>
      <w:r w:rsidRPr="37399AC2">
        <w:rPr>
          <w:rFonts w:ascii="Times New Roman" w:eastAsia="Times New Roman" w:hAnsi="Times New Roman" w:cs="Times New Roman"/>
          <w:color w:val="000000" w:themeColor="text1"/>
          <w:sz w:val="20"/>
          <w:szCs w:val="20"/>
        </w:rPr>
        <w:t>(</w:t>
      </w:r>
      <w:r w:rsidR="00F92FC1">
        <w:rPr>
          <w:rFonts w:ascii="Times New Roman" w:eastAsia="Times New Roman" w:hAnsi="Times New Roman" w:cs="Times New Roman"/>
          <w:color w:val="000000" w:themeColor="text1"/>
          <w:sz w:val="20"/>
          <w:szCs w:val="20"/>
        </w:rPr>
        <w:t>3</w:t>
      </w:r>
      <w:r w:rsidRPr="37399AC2">
        <w:rPr>
          <w:rFonts w:ascii="Times New Roman" w:eastAsia="Times New Roman" w:hAnsi="Times New Roman" w:cs="Times New Roman"/>
          <w:color w:val="000000" w:themeColor="text1"/>
          <w:sz w:val="20"/>
          <w:szCs w:val="20"/>
        </w:rPr>
        <w:t xml:space="preserve">), </w:t>
      </w:r>
      <w:r w:rsidRPr="37399AC2">
        <w:rPr>
          <w:rFonts w:ascii="Times New Roman" w:eastAsia="Times New Roman" w:hAnsi="Times New Roman" w:cs="Times New Roman"/>
          <w:color w:val="000000" w:themeColor="text1"/>
          <w:sz w:val="20"/>
          <w:szCs w:val="20"/>
          <w:vertAlign w:val="superscript"/>
        </w:rPr>
        <w:t>1</w:t>
      </w:r>
      <w:r w:rsidRPr="37399AC2">
        <w:rPr>
          <w:rFonts w:ascii="Times New Roman" w:eastAsia="Times New Roman" w:hAnsi="Times New Roman" w:cs="Times New Roman"/>
          <w:color w:val="000000" w:themeColor="text1"/>
          <w:sz w:val="20"/>
          <w:szCs w:val="20"/>
        </w:rPr>
        <w:t>COPD, asthma and overall OLD prevalence percentage is based on   participants who completed spirometry measurements (N=64)</w:t>
      </w:r>
    </w:p>
    <w:p w14:paraId="6E5CA1CE" w14:textId="49AFF43C" w:rsidR="37399AC2" w:rsidRDefault="37399AC2" w:rsidP="37399AC2"/>
    <w:sectPr w:rsidR="37399AC2" w:rsidSect="00A63F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6FBCAB"/>
    <w:rsid w:val="0006119D"/>
    <w:rsid w:val="0018052F"/>
    <w:rsid w:val="002D1924"/>
    <w:rsid w:val="00370FF9"/>
    <w:rsid w:val="007C6B23"/>
    <w:rsid w:val="00874736"/>
    <w:rsid w:val="00A63FFE"/>
    <w:rsid w:val="00B12B51"/>
    <w:rsid w:val="00B535AA"/>
    <w:rsid w:val="00CB17C6"/>
    <w:rsid w:val="00DC3731"/>
    <w:rsid w:val="00F92FC1"/>
    <w:rsid w:val="0D6FBCAB"/>
    <w:rsid w:val="120BD029"/>
    <w:rsid w:val="121AD09B"/>
    <w:rsid w:val="3331A12B"/>
    <w:rsid w:val="37399AC2"/>
    <w:rsid w:val="3EE78597"/>
    <w:rsid w:val="40063A6B"/>
    <w:rsid w:val="471F6B5F"/>
    <w:rsid w:val="52E9DF0E"/>
    <w:rsid w:val="63549D65"/>
    <w:rsid w:val="68073280"/>
    <w:rsid w:val="70581F37"/>
    <w:rsid w:val="7079E15A"/>
    <w:rsid w:val="74BDE2A1"/>
    <w:rsid w:val="76FA90FC"/>
    <w:rsid w:val="7DF44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3A37"/>
  <w15:chartTrackingRefBased/>
  <w15:docId w15:val="{54C18BEC-D809-4186-9A18-912C56CE6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874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13C09C6F5714AB81EAF5AB58D9164" ma:contentTypeVersion="14" ma:contentTypeDescription="Create a new document." ma:contentTypeScope="" ma:versionID="3a79354134e933eeeb9fa2dcde8760f8">
  <xsd:schema xmlns:xsd="http://www.w3.org/2001/XMLSchema" xmlns:xs="http://www.w3.org/2001/XMLSchema" xmlns:p="http://schemas.microsoft.com/office/2006/metadata/properties" xmlns:ns1="http://schemas.microsoft.com/sharepoint/v3" xmlns:ns2="924c2d8c-e6db-4a2b-a4d2-9404c16f0083" xmlns:ns3="03600cd6-9a4c-4380-b013-a5c3c18fe89b" targetNamespace="http://schemas.microsoft.com/office/2006/metadata/properties" ma:root="true" ma:fieldsID="becfe53c6ec8f49070bde5484bb4cc0e" ns1:_="" ns2:_="" ns3:_="">
    <xsd:import namespace="http://schemas.microsoft.com/sharepoint/v3"/>
    <xsd:import namespace="924c2d8c-e6db-4a2b-a4d2-9404c16f0083"/>
    <xsd:import namespace="03600cd6-9a4c-4380-b013-a5c3c18fe8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4c2d8c-e6db-4a2b-a4d2-9404c16f0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00cd6-9a4c-4380-b013-a5c3c18fe89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5AC229-746E-44B7-9463-3CF7D2D1B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c2d8c-e6db-4a2b-a4d2-9404c16f0083"/>
    <ds:schemaRef ds:uri="03600cd6-9a4c-4380-b013-a5c3c18fe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717D89-2EBF-4944-B781-1F516D56E6C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6A22A15-4FAD-B541-8F01-25DC1EC6D1C8}">
  <ds:schemaRefs>
    <ds:schemaRef ds:uri="http://schemas.openxmlformats.org/officeDocument/2006/bibliography"/>
  </ds:schemaRefs>
</ds:datastoreItem>
</file>

<file path=customXml/itemProps4.xml><?xml version="1.0" encoding="utf-8"?>
<ds:datastoreItem xmlns:ds="http://schemas.openxmlformats.org/officeDocument/2006/customXml" ds:itemID="{AFD75145-42EB-4705-87B6-FAD12C9C20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Saania</dc:creator>
  <cp:keywords/>
  <dc:description/>
  <cp:lastModifiedBy>Saania Tariq</cp:lastModifiedBy>
  <cp:revision>13</cp:revision>
  <dcterms:created xsi:type="dcterms:W3CDTF">2020-03-30T22:53:00Z</dcterms:created>
  <dcterms:modified xsi:type="dcterms:W3CDTF">2021-01-06T16:52:00Z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0x010100DAD13C09C6F5714AB81EAF5AB58D9164</vt:lpwstr>
  </property>
  <property fmtid="{D5CDD505-2E9C-101B-9397-08002B2CF9AE}" pid="3" name="Mendeley Document_1">
    <vt:lpwstr>True</vt:lpwstr>
  </property>
  <property fmtid="{D5CDD505-2E9C-101B-9397-08002B2CF9AE}" pid="4" name="Mendeley Unique User Id_1">
    <vt:lpwstr>5035cb6b-30f4-3e16-9470-c12fe0a18291</vt:lpwstr>
  </property>
  <property fmtid="{D5CDD505-2E9C-101B-9397-08002B2CF9AE}" pid="5" name="Mendeley Citation Style_1">
    <vt:lpwstr>http://www.zotero.org/styles/national-library-of-medicine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8th edition</vt:lpwstr>
  </property>
  <property fmtid="{D5CDD505-2E9C-101B-9397-08002B2CF9AE}" pid="22" name="Mendeley Recent Style Id 8_1">
    <vt:lpwstr>http://www.zotero.org/styles/national-library-of-medicine</vt:lpwstr>
  </property>
  <property fmtid="{D5CDD505-2E9C-101B-9397-08002B2CF9AE}" pid="23" name="Mendeley Recent Style Name 8_1">
    <vt:lpwstr>National Library of Medicine</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