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24C" w:rsidRPr="000D0404" w:rsidRDefault="0019724C" w:rsidP="0019724C">
      <w:pPr>
        <w:spacing w:after="0"/>
        <w:jc w:val="both"/>
        <w:rPr>
          <w:b/>
          <w:i/>
          <w:lang w:val="en-US"/>
        </w:rPr>
      </w:pPr>
      <w:r w:rsidRPr="000D0404">
        <w:rPr>
          <w:b/>
          <w:i/>
          <w:lang w:val="en-US"/>
        </w:rPr>
        <w:t>Lymphoma subtypes included in the study: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Mature B-cell neoplasms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Splenic marginal zone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Splenic B-cell lymphoma/leukemia, unclassifiable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Splenic diffuse red pulp small B-cell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Extranodal marginal zone lymphoma of mucosa-associated lymphoid tissue (MALT lymphoma)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Nodal marginal zone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Pediatric nodal marginal zone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Follicular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In situ follicular neoplasia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Duodenal-type follicular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Pediatric-type follicular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Large B-cell lymphoma with IRF4 rearrangement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Primary cutaneous follicle center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Mantle 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In situ mantle cell neoplasia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Diffuse large B-cell lymphoma (DLBCL), NOS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Germinal center B-cell type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Activated B-cell type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T-cell/histiocyte-rich large B-cell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Primary cutaneous DLBCL, leg type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EBV+ DLBCL, NOS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EBV+ mucocutaneous ulcer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DLBCL associated with chronic inflammation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Lymphomatoid granulomatosis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Primary mediastinal (thymic) large B-cell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Intravascular large B-cell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ALK+ large B-cell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Plasmablastic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Primary effusion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HHV8+ DLBCL, NOS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Burkitt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Burkitt-like ly</w:t>
      </w:r>
      <w:bookmarkStart w:id="0" w:name="_GoBack"/>
      <w:bookmarkEnd w:id="0"/>
      <w:r w:rsidRPr="00520E13">
        <w:rPr>
          <w:lang w:val="en-US"/>
        </w:rPr>
        <w:t>mphoma with 11q aberration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High-grade B-cell lymphoma, with MYC and BCL2 and/or BCL6 rearrangements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High-grade B-cell lymphoma, NOS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B-cell lymphoma, unclassifiable, with features intermediate between DLBCL and classical Hodgkin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Mature T and NK neoplasms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T-cell prolymphocytic leukemia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Aggressive NK-cell leukemia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Adult T-cell leukemia/lymphoma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Extranodal NK-/T-cell lymphoma, nasal type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Enteropathy-associated T-cell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Monomorphic epitheliotropic intestinal T-cell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Indolent T-cell lymphoproliferative disorder of the GI tract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lastRenderedPageBreak/>
        <w:t>Hepatosplenic T-cell lymphoma</w:t>
      </w:r>
    </w:p>
    <w:p w:rsidR="0019724C" w:rsidRPr="00520E13" w:rsidRDefault="0019724C" w:rsidP="0019724C">
      <w:pPr>
        <w:spacing w:after="0"/>
        <w:jc w:val="both"/>
      </w:pPr>
      <w:r w:rsidRPr="00520E13">
        <w:t>Subcutaneous panniculitis-like T-cell lymphoma</w:t>
      </w:r>
    </w:p>
    <w:p w:rsidR="0019724C" w:rsidRPr="00520E13" w:rsidRDefault="0019724C" w:rsidP="0019724C">
      <w:pPr>
        <w:spacing w:after="0"/>
        <w:jc w:val="both"/>
      </w:pPr>
      <w:r w:rsidRPr="00520E13">
        <w:t>Peripheral T-cell lymphoma, NOS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Angioimmunoblastic T-cell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Follicular T-cell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Nodal peripheral T-cell lymphoma with TFH phenotype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Anaplastic large-cell lymphoma, ALK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Anaplastic large-cell lymphoma, ALK−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Breast implant–associated anaplastic large-cell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Hodgkin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Nodular lymphocyte predominant Hodgkin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Classical Hodgkin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Nodular sclerosis classical Hodgkin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Lymphocyte-rich classical Hodgkin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Mixed cellularity classical Hodgkin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  <w:r w:rsidRPr="00520E13">
        <w:rPr>
          <w:lang w:val="en-US"/>
        </w:rPr>
        <w:t>Lymphocyte-depleted classical Hodgkin lymphoma</w:t>
      </w:r>
    </w:p>
    <w:p w:rsidR="0019724C" w:rsidRPr="00520E13" w:rsidRDefault="0019724C" w:rsidP="0019724C">
      <w:pPr>
        <w:spacing w:after="0"/>
        <w:jc w:val="both"/>
        <w:rPr>
          <w:lang w:val="en-US"/>
        </w:rPr>
      </w:pPr>
    </w:p>
    <w:p w:rsidR="0019724C" w:rsidRPr="000D0404" w:rsidRDefault="0019724C" w:rsidP="0019724C">
      <w:pPr>
        <w:spacing w:after="0"/>
        <w:jc w:val="both"/>
        <w:rPr>
          <w:b/>
          <w:i/>
          <w:lang w:val="en-US"/>
        </w:rPr>
      </w:pPr>
      <w:r w:rsidRPr="000D0404">
        <w:rPr>
          <w:b/>
          <w:i/>
          <w:lang w:val="en-US"/>
        </w:rPr>
        <w:t xml:space="preserve">Lymphoma subtypes </w:t>
      </w:r>
      <w:r>
        <w:rPr>
          <w:b/>
          <w:i/>
          <w:lang w:val="en-US"/>
        </w:rPr>
        <w:t>ex</w:t>
      </w:r>
      <w:r w:rsidRPr="000D0404">
        <w:rPr>
          <w:b/>
          <w:i/>
          <w:lang w:val="en-US"/>
        </w:rPr>
        <w:t xml:space="preserve">cluded </w:t>
      </w:r>
      <w:r>
        <w:rPr>
          <w:b/>
          <w:i/>
          <w:lang w:val="en-US"/>
        </w:rPr>
        <w:t>of</w:t>
      </w:r>
      <w:r w:rsidRPr="000D0404">
        <w:rPr>
          <w:b/>
          <w:i/>
          <w:lang w:val="en-US"/>
        </w:rPr>
        <w:t xml:space="preserve"> the study:</w:t>
      </w:r>
    </w:p>
    <w:p w:rsidR="0019724C" w:rsidRDefault="0019724C" w:rsidP="0019724C">
      <w:pPr>
        <w:spacing w:after="0"/>
        <w:jc w:val="both"/>
        <w:rPr>
          <w:lang w:val="en-US"/>
        </w:rPr>
      </w:pPr>
      <w:r>
        <w:rPr>
          <w:lang w:val="en-US"/>
        </w:rPr>
        <w:t>C</w:t>
      </w:r>
      <w:r w:rsidRPr="00C35C31">
        <w:rPr>
          <w:lang w:val="en-US"/>
        </w:rPr>
        <w:t>hronic lymphocytic leukemia/small lymphocytic lymphoma</w:t>
      </w:r>
    </w:p>
    <w:p w:rsidR="0019724C" w:rsidRDefault="0019724C" w:rsidP="0019724C">
      <w:pPr>
        <w:spacing w:after="0"/>
        <w:jc w:val="both"/>
        <w:rPr>
          <w:lang w:val="en-US"/>
        </w:rPr>
      </w:pPr>
      <w:r>
        <w:rPr>
          <w:lang w:val="en-US"/>
        </w:rPr>
        <w:t xml:space="preserve"> H</w:t>
      </w:r>
      <w:r w:rsidRPr="00C35C31">
        <w:rPr>
          <w:lang w:val="en-US"/>
        </w:rPr>
        <w:t>airy cell leukemia and variant</w:t>
      </w:r>
      <w:r>
        <w:rPr>
          <w:lang w:val="en-US"/>
        </w:rPr>
        <w:t xml:space="preserve"> </w:t>
      </w:r>
    </w:p>
    <w:p w:rsidR="0019724C" w:rsidRDefault="0019724C" w:rsidP="0019724C">
      <w:pPr>
        <w:spacing w:after="0"/>
        <w:jc w:val="both"/>
        <w:rPr>
          <w:lang w:val="en-US"/>
        </w:rPr>
      </w:pPr>
      <w:r>
        <w:rPr>
          <w:lang w:val="en-US"/>
        </w:rPr>
        <w:t>L</w:t>
      </w:r>
      <w:r w:rsidRPr="00C35C31">
        <w:rPr>
          <w:lang w:val="en-US"/>
        </w:rPr>
        <w:t xml:space="preserve">ymphoplasmacytic lymphoma </w:t>
      </w:r>
    </w:p>
    <w:p w:rsidR="0019724C" w:rsidRDefault="0019724C" w:rsidP="0019724C">
      <w:pPr>
        <w:spacing w:after="0"/>
        <w:jc w:val="both"/>
        <w:rPr>
          <w:lang w:val="en-US"/>
        </w:rPr>
      </w:pPr>
      <w:r w:rsidRPr="00C35C31">
        <w:rPr>
          <w:lang w:val="en-US"/>
        </w:rPr>
        <w:t>Waldenström macroglobulinemia</w:t>
      </w:r>
    </w:p>
    <w:p w:rsidR="0019724C" w:rsidRDefault="0019724C" w:rsidP="0019724C">
      <w:pPr>
        <w:spacing w:after="0"/>
        <w:jc w:val="both"/>
        <w:rPr>
          <w:lang w:val="en-US"/>
        </w:rPr>
      </w:pPr>
      <w:r>
        <w:rPr>
          <w:lang w:val="en-US"/>
        </w:rPr>
        <w:t>P</w:t>
      </w:r>
      <w:r w:rsidRPr="00C35C31">
        <w:rPr>
          <w:lang w:val="en-US"/>
        </w:rPr>
        <w:t xml:space="preserve">rimary DLBCL of </w:t>
      </w:r>
      <w:r>
        <w:rPr>
          <w:lang w:val="en-US"/>
        </w:rPr>
        <w:t xml:space="preserve">the central nervous system </w:t>
      </w:r>
    </w:p>
    <w:p w:rsidR="0019724C" w:rsidRDefault="0019724C" w:rsidP="0019724C">
      <w:pPr>
        <w:spacing w:after="0"/>
        <w:jc w:val="both"/>
        <w:rPr>
          <w:lang w:val="en-US"/>
        </w:rPr>
      </w:pPr>
      <w:r w:rsidRPr="00C35C31">
        <w:rPr>
          <w:lang w:val="en-US"/>
        </w:rPr>
        <w:t>T-cell large granular lymphocytic leukemia</w:t>
      </w:r>
      <w:r>
        <w:rPr>
          <w:lang w:val="en-US"/>
        </w:rPr>
        <w:t xml:space="preserve"> </w:t>
      </w:r>
    </w:p>
    <w:p w:rsidR="0019724C" w:rsidRDefault="0019724C" w:rsidP="0019724C">
      <w:pPr>
        <w:spacing w:after="0"/>
        <w:jc w:val="both"/>
        <w:rPr>
          <w:lang w:val="en-US"/>
        </w:rPr>
      </w:pPr>
      <w:r>
        <w:rPr>
          <w:lang w:val="en-US"/>
        </w:rPr>
        <w:t>C</w:t>
      </w:r>
      <w:r w:rsidRPr="00C35C31">
        <w:rPr>
          <w:lang w:val="en-US"/>
        </w:rPr>
        <w:t xml:space="preserve">hronic lymphoproliferative disorder of NK cells </w:t>
      </w:r>
    </w:p>
    <w:p w:rsidR="0019724C" w:rsidRDefault="0019724C" w:rsidP="0019724C">
      <w:pPr>
        <w:spacing w:after="0"/>
        <w:jc w:val="both"/>
        <w:rPr>
          <w:lang w:val="en-US"/>
        </w:rPr>
      </w:pPr>
      <w:r>
        <w:rPr>
          <w:lang w:val="en-US"/>
        </w:rPr>
        <w:t>M</w:t>
      </w:r>
      <w:r w:rsidRPr="00C35C31">
        <w:rPr>
          <w:lang w:val="en-US"/>
        </w:rPr>
        <w:t xml:space="preserve">ycosis fungoides </w:t>
      </w:r>
    </w:p>
    <w:p w:rsidR="0019724C" w:rsidRDefault="0019724C" w:rsidP="0019724C">
      <w:pPr>
        <w:spacing w:after="0"/>
        <w:jc w:val="both"/>
        <w:rPr>
          <w:lang w:val="en-US"/>
        </w:rPr>
      </w:pPr>
      <w:r w:rsidRPr="00C35C31">
        <w:rPr>
          <w:lang w:val="en-US"/>
        </w:rPr>
        <w:t xml:space="preserve">Sézary syndrome </w:t>
      </w:r>
    </w:p>
    <w:p w:rsidR="0019724C" w:rsidRDefault="0019724C" w:rsidP="0019724C">
      <w:pPr>
        <w:spacing w:after="0"/>
        <w:jc w:val="both"/>
        <w:rPr>
          <w:lang w:val="en-US"/>
        </w:rPr>
      </w:pPr>
      <w:r>
        <w:rPr>
          <w:lang w:val="en-US"/>
        </w:rPr>
        <w:t>P</w:t>
      </w:r>
      <w:r w:rsidRPr="00C35C31">
        <w:rPr>
          <w:lang w:val="en-US"/>
        </w:rPr>
        <w:t>rimary cutaneous T cell lymphomas</w:t>
      </w:r>
    </w:p>
    <w:p w:rsidR="0019724C" w:rsidRDefault="0019724C" w:rsidP="0019724C">
      <w:pPr>
        <w:spacing w:after="0"/>
        <w:jc w:val="both"/>
        <w:rPr>
          <w:lang w:val="en-US"/>
        </w:rPr>
      </w:pPr>
      <w:r>
        <w:rPr>
          <w:lang w:val="en-US"/>
        </w:rPr>
        <w:t>P</w:t>
      </w:r>
      <w:r w:rsidRPr="00C35C31">
        <w:rPr>
          <w:lang w:val="en-US"/>
        </w:rPr>
        <w:t>ost-transplant lymp</w:t>
      </w:r>
      <w:r>
        <w:rPr>
          <w:lang w:val="en-US"/>
        </w:rPr>
        <w:t>hoproliferative disorders</w:t>
      </w:r>
    </w:p>
    <w:p w:rsidR="00E33790" w:rsidRDefault="00E33790" w:rsidP="0019724C">
      <w:pPr>
        <w:jc w:val="both"/>
      </w:pPr>
    </w:p>
    <w:sectPr w:rsidR="00E337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24C"/>
    <w:rsid w:val="0019724C"/>
    <w:rsid w:val="00E3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24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24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2305</Characters>
  <Application>Microsoft Office Word</Application>
  <DocSecurity>0</DocSecurity>
  <Lines>19</Lines>
  <Paragraphs>5</Paragraphs>
  <ScaleCrop>false</ScaleCrop>
  <Company>Microsoft</Company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Adeline Bernier</dc:creator>
  <cp:lastModifiedBy>Adeline Bernier</cp:lastModifiedBy>
  <cp:revision>1</cp:revision>
  <dcterms:created xsi:type="dcterms:W3CDTF">2020-08-06T11:16:00Z</dcterms:created>
  <dcterms:modified xsi:type="dcterms:W3CDTF">2020-08-06T11:16:00Z</dcterms:modified>
</cp:coreProperties>
</file>