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DC427" w14:textId="564053DA" w:rsidR="009143F6" w:rsidRPr="00522C02" w:rsidRDefault="004C6EE6" w:rsidP="009143F6">
      <w:pPr>
        <w:spacing w:line="480" w:lineRule="auto"/>
        <w:rPr>
          <w:rFonts w:ascii="Times New Roman" w:hAnsi="Times New Roman" w:cs="Times New Roman"/>
          <w:b/>
          <w:sz w:val="24"/>
          <w:szCs w:val="24"/>
        </w:rPr>
      </w:pPr>
      <w:r w:rsidRPr="00522C02">
        <w:rPr>
          <w:rFonts w:ascii="Times New Roman" w:hAnsi="Times New Roman" w:cs="Times New Roman"/>
          <w:b/>
          <w:sz w:val="24"/>
          <w:szCs w:val="24"/>
        </w:rPr>
        <w:t xml:space="preserve">Supplementary </w:t>
      </w:r>
      <w:r w:rsidR="009143F6" w:rsidRPr="00522C02">
        <w:rPr>
          <w:rFonts w:ascii="Times New Roman" w:hAnsi="Times New Roman" w:cs="Times New Roman"/>
          <w:b/>
          <w:sz w:val="24"/>
          <w:szCs w:val="24"/>
        </w:rPr>
        <w:t xml:space="preserve">file </w:t>
      </w:r>
      <w:r w:rsidRPr="00522C02">
        <w:rPr>
          <w:rFonts w:ascii="Times New Roman" w:hAnsi="Times New Roman" w:cs="Times New Roman"/>
          <w:b/>
          <w:sz w:val="24"/>
          <w:szCs w:val="24"/>
        </w:rPr>
        <w:t>2</w:t>
      </w:r>
      <w:r w:rsidR="009143F6" w:rsidRPr="00522C02">
        <w:rPr>
          <w:rFonts w:ascii="Times New Roman" w:hAnsi="Times New Roman" w:cs="Times New Roman"/>
          <w:b/>
          <w:sz w:val="24"/>
          <w:szCs w:val="24"/>
        </w:rPr>
        <w:t>.</w:t>
      </w:r>
      <w:r w:rsidR="009143F6" w:rsidRPr="00522C02">
        <w:rPr>
          <w:rFonts w:ascii="Times New Roman" w:hAnsi="Times New Roman" w:cs="Times New Roman"/>
          <w:b/>
          <w:color w:val="333333"/>
          <w:sz w:val="24"/>
          <w:szCs w:val="24"/>
        </w:rPr>
        <w:t xml:space="preserve"> Description of the covariates.</w:t>
      </w:r>
    </w:p>
    <w:p w14:paraId="139AE470" w14:textId="77777777" w:rsidR="009143F6" w:rsidRPr="00522C02" w:rsidRDefault="009143F6" w:rsidP="009143F6">
      <w:pPr>
        <w:spacing w:line="480" w:lineRule="auto"/>
        <w:rPr>
          <w:rFonts w:ascii="Times New Roman" w:hAnsi="Times New Roman" w:cs="Times New Roman"/>
          <w:sz w:val="24"/>
          <w:szCs w:val="24"/>
        </w:rPr>
      </w:pPr>
      <w:r w:rsidRPr="00522C02">
        <w:rPr>
          <w:rFonts w:ascii="Times New Roman" w:hAnsi="Times New Roman" w:cs="Times New Roman"/>
          <w:sz w:val="24"/>
          <w:szCs w:val="24"/>
        </w:rPr>
        <w:t xml:space="preserve">Age, body mass index (BMI), level of education and marital status were elicited in 2011 and used as covariates. Weight was measured with a digital scale and height with wall-mounted stadiometer. BMI was calculated as </w:t>
      </w:r>
      <w:r w:rsidRPr="00522C02">
        <w:rPr>
          <w:rFonts w:ascii="Times New Roman" w:eastAsia="Times New Roman" w:hAnsi="Times New Roman" w:cs="Times New Roman"/>
          <w:color w:val="000000"/>
          <w:sz w:val="24"/>
          <w:szCs w:val="24"/>
          <w:lang w:eastAsia="fi-FI"/>
        </w:rPr>
        <w:t>kg/m</w:t>
      </w:r>
      <w:r w:rsidRPr="00522C02">
        <w:rPr>
          <w:rFonts w:ascii="Times New Roman" w:eastAsia="Times New Roman" w:hAnsi="Times New Roman" w:cs="Times New Roman"/>
          <w:color w:val="000000"/>
          <w:sz w:val="24"/>
          <w:szCs w:val="24"/>
          <w:vertAlign w:val="superscript"/>
          <w:lang w:eastAsia="fi-FI"/>
        </w:rPr>
        <w:t>2</w:t>
      </w:r>
      <w:r w:rsidRPr="00522C02">
        <w:rPr>
          <w:rFonts w:ascii="Times New Roman" w:hAnsi="Times New Roman" w:cs="Times New Roman"/>
          <w:sz w:val="24"/>
          <w:szCs w:val="24"/>
        </w:rPr>
        <w:t xml:space="preserve">. Self-reported number of years of education was used as a proxy for socioeconomic status. Marital status was dichotomized: 1=unmarried, divorced, legally separated or widowed, and 2=married, in a registered relationship or cohabiting. Total energy intake was assessed based on the food frequency questionnaire in 2011 </w:t>
      </w:r>
      <w:r w:rsidRPr="00522C02">
        <w:rPr>
          <w:rFonts w:ascii="Times New Roman" w:hAnsi="Times New Roman" w:cs="Times New Roman"/>
          <w:sz w:val="24"/>
          <w:szCs w:val="24"/>
        </w:rPr>
        <w:fldChar w:fldCharType="begin" w:fldLock="1"/>
      </w:r>
      <w:r w:rsidRPr="00522C02">
        <w:rPr>
          <w:rFonts w:ascii="Times New Roman" w:hAnsi="Times New Roman" w:cs="Times New Roman"/>
          <w:sz w:val="24"/>
          <w:szCs w:val="24"/>
        </w:rPr>
        <w:instrText>ADDIN CSL_CITATION {"citationItems":[{"id":"ITEM-1","itemData":{"DOI":"10.1016/j.jclinepi.2006.01.002","ISBN":"0895-4356","ISSN":"08954356","PMID":"16895824","abstract":"Background and Objective: The validity of food frequency questionnaires (FFQs) in measuring food consumption and nutrient intake has to be assessed. The objective of this study was to assess the validity of a 128-item FFQ in specific subgroups of Finnish adults. Methods: The study included 294 subjects (137 men and 157 women). A 3-day food record was used as the reference method. Results: The mean intake of all nutrients except alcohol was higher measured with the FFQ than with the food records. In general, the Pearson correlations for energy adjusted nutrients between the FFQ and the food records were higher in women than in men. The correlations ranged from 0.14 (retinol) to 0.66 (fiber and alcohol) in men, and from 0.20 (long-chain n-3 fatty acids) to 0.70 (alcohol) in women. The results in subgroups showed that measuring nutrient intakes is more difficult among younger (30-50 years) women and overweight men and women than among others. Conclusions: The study showed that the FFQ is a useful tool in epidemiologic studies in measuring the diet of Finnish adults given that the problems among specific subgroups are taken into account in interpretation. © 2006 Elsevier Inc. All rights reserved.","author":[{"dropping-particle":"","family":"Paalanen","given":"Laura","non-dropping-particle":"","parse-names":false,"suffix":""},{"dropping-particle":"","family":"Männistö","given":"Satu","non-dropping-particle":"","parse-names":false,"suffix":""},{"dropping-particle":"","family":"Virtanen","given":"Mikko J.","non-dropping-particle":"","parse-names":false,"suffix":""},{"dropping-particle":"","family":"Knekt","given":"Paul","non-dropping-particle":"","parse-names":false,"suffix":""},{"dropping-particle":"","family":"Räsänen","given":"Leena","non-dropping-particle":"","parse-names":false,"suffix":""},{"dropping-particle":"","family":"Montonen","given":"Jukka","non-dropping-particle":"","parse-names":false,"suffix":""},{"dropping-particle":"","family":"Pietinen","given":"Pirjo","non-dropping-particle":"","parse-names":false,"suffix":""}],"container-title":"Journal of Clinical Epidemiology","id":"ITEM-1","issue":"9","issued":{"date-parts":[["2006"]]},"page":"994-1001","title":"Validity of a food frequency questionnaire varied by age and body mass index","type":"article-journal","volume":"59"},"uris":["http://www.mendeley.com/documents/?uuid=a0e900d5-6290-437f-abe5-a8d310f4ed3e"]}],"mendeley":{"formattedCitation":"[4]","plainTextFormattedCitation":"[4]","previouslyFormattedCitation":"[27]"},"properties":{"noteIndex":0},"schema":"https://github.com/citation-style-language/schema/raw/master/csl-citation.json"}</w:instrText>
      </w:r>
      <w:r w:rsidRPr="00522C02">
        <w:rPr>
          <w:rFonts w:ascii="Times New Roman" w:hAnsi="Times New Roman" w:cs="Times New Roman"/>
          <w:sz w:val="24"/>
          <w:szCs w:val="24"/>
        </w:rPr>
        <w:fldChar w:fldCharType="separate"/>
      </w:r>
      <w:r w:rsidRPr="00522C02">
        <w:rPr>
          <w:rFonts w:ascii="Times New Roman" w:hAnsi="Times New Roman" w:cs="Times New Roman"/>
          <w:noProof/>
          <w:sz w:val="24"/>
          <w:szCs w:val="24"/>
        </w:rPr>
        <w:t>[4]</w:t>
      </w:r>
      <w:r w:rsidRPr="00522C02">
        <w:rPr>
          <w:rFonts w:ascii="Times New Roman" w:hAnsi="Times New Roman" w:cs="Times New Roman"/>
          <w:sz w:val="24"/>
          <w:szCs w:val="24"/>
        </w:rPr>
        <w:fldChar w:fldCharType="end"/>
      </w:r>
      <w:r w:rsidRPr="00522C02">
        <w:rPr>
          <w:rFonts w:ascii="Times New Roman" w:hAnsi="Times New Roman" w:cs="Times New Roman"/>
          <w:sz w:val="24"/>
          <w:szCs w:val="24"/>
        </w:rPr>
        <w:t xml:space="preserve"> and used as a covariate for </w:t>
      </w:r>
      <w:r w:rsidRPr="00522C02">
        <w:rPr>
          <w:rFonts w:ascii="Times New Roman" w:hAnsi="Times New Roman" w:cs="Times New Roman"/>
          <w:color w:val="000000" w:themeColor="text1"/>
          <w:sz w:val="24"/>
          <w:szCs w:val="24"/>
        </w:rPr>
        <w:t>dietary behavior</w:t>
      </w:r>
      <w:r w:rsidRPr="00522C02">
        <w:rPr>
          <w:rFonts w:ascii="Times New Roman" w:hAnsi="Times New Roman" w:cs="Times New Roman"/>
          <w:sz w:val="24"/>
          <w:szCs w:val="24"/>
        </w:rPr>
        <w:t xml:space="preserve"> in the analyses.</w:t>
      </w:r>
    </w:p>
    <w:p w14:paraId="383A4F1D" w14:textId="77777777" w:rsidR="009143F6" w:rsidRPr="00522C02" w:rsidRDefault="009143F6" w:rsidP="009143F6">
      <w:pPr>
        <w:spacing w:line="480" w:lineRule="auto"/>
        <w:ind w:right="-165"/>
        <w:rPr>
          <w:rFonts w:ascii="Times New Roman" w:hAnsi="Times New Roman" w:cs="Times New Roman"/>
          <w:sz w:val="24"/>
          <w:szCs w:val="24"/>
        </w:rPr>
      </w:pPr>
      <w:r w:rsidRPr="00522C02">
        <w:rPr>
          <w:rFonts w:ascii="Times New Roman" w:hAnsi="Times New Roman" w:cs="Times New Roman"/>
          <w:sz w:val="24"/>
          <w:szCs w:val="24"/>
        </w:rPr>
        <w:t>In addition, health behaviors in childhood, adolescence or young adulthood were used as covariates for the corresponding outcome health behaviors in adulthood. A healthy diet index was created from the 1989 data, with food items differing slightly from those in the 2011 index as the questionnaire had been modified and improved during the intervening years. Food items defined as healthy were fruits, vegetables, fish, and vegetable fats; unhealthy items were sausage dishes, sugared beverages, sweets, pastry and ice cream. Consumption frequencies of different food items per month were assessed on a scale from 1 to 6. For the healthy foods, 6=daily consumption of the item and 1=never or nearly never. For the unhealthy foods, the scale was reversed. The points were summed to create an index ranging from 9 to 54, with higher values indicating a healthier diet.</w:t>
      </w:r>
    </w:p>
    <w:p w14:paraId="2FF9EEBE" w14:textId="77777777" w:rsidR="00727365" w:rsidRPr="00522C02" w:rsidRDefault="009143F6" w:rsidP="009143F6">
      <w:pPr>
        <w:spacing w:line="480" w:lineRule="auto"/>
        <w:ind w:right="-165"/>
        <w:rPr>
          <w:rFonts w:ascii="Times New Roman" w:hAnsi="Times New Roman" w:cs="Times New Roman"/>
          <w:sz w:val="24"/>
          <w:szCs w:val="24"/>
        </w:rPr>
      </w:pPr>
      <w:r w:rsidRPr="00522C02">
        <w:rPr>
          <w:rFonts w:ascii="Times New Roman" w:hAnsi="Times New Roman" w:cs="Times New Roman"/>
          <w:sz w:val="24"/>
          <w:szCs w:val="24"/>
        </w:rPr>
        <w:t xml:space="preserve">Finally, the following variables were used as covariates when studying the associations between the corresponding adulthood behaviors and LTPA trajectories: screen time assessed in 2001 (television and computer time in hours per day), smoking in 1989 (scale from 1=non-smoker to 4=regular smoker), total of binge drinking occasions in 1989 (scale from 1=none to 5=over 10 occasions), meeting the sleep recommendations (7-9 hours of sleep/night) in 1986 and feeling fatigue (scale from 1=rarely/never to 4=daily) in 1986. The participants were aged </w:t>
      </w:r>
      <w:r w:rsidRPr="00522C02">
        <w:rPr>
          <w:rFonts w:ascii="Times New Roman" w:hAnsi="Times New Roman" w:cs="Times New Roman"/>
          <w:sz w:val="24"/>
          <w:szCs w:val="24"/>
        </w:rPr>
        <w:lastRenderedPageBreak/>
        <w:t xml:space="preserve">12-27 years in 1989 and 24-39 years in 2001. Sleep duration and fatigue were assessed from a subsample of the 18-, 21- and 24-year-old participants in 1986. </w:t>
      </w:r>
    </w:p>
    <w:p w14:paraId="2248B562" w14:textId="77777777" w:rsidR="00E67CFC" w:rsidRPr="00522C02" w:rsidRDefault="00C67E50" w:rsidP="009143F6">
      <w:pPr>
        <w:spacing w:line="480" w:lineRule="auto"/>
        <w:ind w:right="-165"/>
        <w:rPr>
          <w:rFonts w:ascii="Times New Roman" w:hAnsi="Times New Roman" w:cs="Times New Roman"/>
          <w:sz w:val="24"/>
          <w:szCs w:val="24"/>
        </w:rPr>
      </w:pPr>
      <w:r w:rsidRPr="00522C02">
        <w:rPr>
          <w:rFonts w:ascii="Times New Roman" w:hAnsi="Times New Roman" w:cs="Times New Roman"/>
          <w:sz w:val="24"/>
          <w:szCs w:val="24"/>
        </w:rPr>
        <w:t xml:space="preserve">The year </w:t>
      </w:r>
      <w:r w:rsidR="00520483" w:rsidRPr="00522C02">
        <w:rPr>
          <w:rFonts w:ascii="Times New Roman" w:hAnsi="Times New Roman" w:cs="Times New Roman"/>
          <w:sz w:val="24"/>
          <w:szCs w:val="24"/>
        </w:rPr>
        <w:t xml:space="preserve">1989 was </w:t>
      </w:r>
      <w:r w:rsidRPr="00522C02">
        <w:rPr>
          <w:rFonts w:ascii="Times New Roman" w:hAnsi="Times New Roman" w:cs="Times New Roman"/>
          <w:sz w:val="24"/>
          <w:szCs w:val="24"/>
        </w:rPr>
        <w:t>the first follow-up year when smoking and alcohol consumption were queried from all six age cohorts</w:t>
      </w:r>
      <w:r w:rsidR="000B1F4A" w:rsidRPr="00522C02">
        <w:rPr>
          <w:rFonts w:ascii="Times New Roman" w:hAnsi="Times New Roman" w:cs="Times New Roman"/>
          <w:sz w:val="24"/>
          <w:szCs w:val="24"/>
        </w:rPr>
        <w:t xml:space="preserve"> in the Cardiovascular Risk in Young Finns Study</w:t>
      </w:r>
      <w:r w:rsidRPr="00522C02">
        <w:rPr>
          <w:rFonts w:ascii="Times New Roman" w:hAnsi="Times New Roman" w:cs="Times New Roman"/>
          <w:sz w:val="24"/>
          <w:szCs w:val="24"/>
        </w:rPr>
        <w:t xml:space="preserve">. </w:t>
      </w:r>
      <w:r w:rsidR="000B1F4A" w:rsidRPr="00522C02">
        <w:rPr>
          <w:rFonts w:ascii="Times New Roman" w:hAnsi="Times New Roman" w:cs="Times New Roman"/>
          <w:sz w:val="24"/>
          <w:szCs w:val="24"/>
        </w:rPr>
        <w:t>In order to use as big sample as possible,</w:t>
      </w:r>
      <w:r w:rsidRPr="00522C02">
        <w:rPr>
          <w:rFonts w:ascii="Times New Roman" w:hAnsi="Times New Roman" w:cs="Times New Roman"/>
          <w:sz w:val="24"/>
          <w:szCs w:val="24"/>
        </w:rPr>
        <w:t xml:space="preserve"> data collected in 1989 concerning previous smoking and binge drinking was used</w:t>
      </w:r>
      <w:r w:rsidR="00C0436A" w:rsidRPr="00522C02">
        <w:rPr>
          <w:rFonts w:ascii="Times New Roman" w:hAnsi="Times New Roman" w:cs="Times New Roman"/>
          <w:sz w:val="24"/>
          <w:szCs w:val="24"/>
        </w:rPr>
        <w:t xml:space="preserve">. </w:t>
      </w:r>
      <w:r w:rsidR="000B1F4A" w:rsidRPr="00522C02">
        <w:rPr>
          <w:rFonts w:ascii="Times New Roman" w:hAnsi="Times New Roman" w:cs="Times New Roman"/>
          <w:sz w:val="24"/>
          <w:szCs w:val="24"/>
        </w:rPr>
        <w:t xml:space="preserve">Also, data on dietary behavior </w:t>
      </w:r>
      <w:r w:rsidR="00DF14C7" w:rsidRPr="00522C02">
        <w:rPr>
          <w:rFonts w:ascii="Times New Roman" w:hAnsi="Times New Roman" w:cs="Times New Roman"/>
          <w:sz w:val="24"/>
          <w:szCs w:val="24"/>
        </w:rPr>
        <w:t>was</w:t>
      </w:r>
      <w:r w:rsidR="000B1F4A" w:rsidRPr="00522C02">
        <w:rPr>
          <w:rFonts w:ascii="Times New Roman" w:hAnsi="Times New Roman" w:cs="Times New Roman"/>
          <w:sz w:val="24"/>
          <w:szCs w:val="24"/>
        </w:rPr>
        <w:t xml:space="preserve"> collected in 1989 and therefore was used as covariate. </w:t>
      </w:r>
      <w:r w:rsidR="0060687E" w:rsidRPr="00522C02">
        <w:rPr>
          <w:rFonts w:ascii="Times New Roman" w:hAnsi="Times New Roman" w:cs="Times New Roman"/>
          <w:sz w:val="24"/>
          <w:szCs w:val="24"/>
        </w:rPr>
        <w:t>S</w:t>
      </w:r>
      <w:r w:rsidR="00727365" w:rsidRPr="00522C02">
        <w:rPr>
          <w:rFonts w:ascii="Times New Roman" w:hAnsi="Times New Roman" w:cs="Times New Roman"/>
          <w:sz w:val="24"/>
          <w:szCs w:val="24"/>
        </w:rPr>
        <w:t xml:space="preserve">creen time </w:t>
      </w:r>
      <w:r w:rsidR="00C0436A" w:rsidRPr="00522C02">
        <w:rPr>
          <w:rFonts w:ascii="Times New Roman" w:hAnsi="Times New Roman" w:cs="Times New Roman"/>
          <w:sz w:val="24"/>
          <w:szCs w:val="24"/>
        </w:rPr>
        <w:t>and</w:t>
      </w:r>
      <w:r w:rsidR="00727365" w:rsidRPr="00522C02">
        <w:rPr>
          <w:rFonts w:ascii="Times New Roman" w:hAnsi="Times New Roman" w:cs="Times New Roman"/>
          <w:sz w:val="24"/>
          <w:szCs w:val="24"/>
        </w:rPr>
        <w:t xml:space="preserve"> sleeping</w:t>
      </w:r>
      <w:r w:rsidR="00C0436A" w:rsidRPr="00522C02">
        <w:rPr>
          <w:rFonts w:ascii="Times New Roman" w:hAnsi="Times New Roman" w:cs="Times New Roman"/>
          <w:sz w:val="24"/>
          <w:szCs w:val="24"/>
        </w:rPr>
        <w:t xml:space="preserve"> </w:t>
      </w:r>
      <w:r w:rsidRPr="00522C02">
        <w:rPr>
          <w:rFonts w:ascii="Times New Roman" w:hAnsi="Times New Roman" w:cs="Times New Roman"/>
          <w:sz w:val="24"/>
          <w:szCs w:val="24"/>
        </w:rPr>
        <w:t xml:space="preserve">were </w:t>
      </w:r>
      <w:r w:rsidR="000B1F4A" w:rsidRPr="00522C02">
        <w:rPr>
          <w:rFonts w:ascii="Times New Roman" w:hAnsi="Times New Roman" w:cs="Times New Roman"/>
          <w:sz w:val="24"/>
          <w:szCs w:val="24"/>
        </w:rPr>
        <w:t xml:space="preserve">not queried in 1989. Screen time </w:t>
      </w:r>
      <w:r w:rsidR="0060687E" w:rsidRPr="00522C02">
        <w:rPr>
          <w:rFonts w:ascii="Times New Roman" w:hAnsi="Times New Roman" w:cs="Times New Roman"/>
          <w:sz w:val="24"/>
          <w:szCs w:val="24"/>
        </w:rPr>
        <w:t xml:space="preserve">was queried in year 2001 for the first time </w:t>
      </w:r>
      <w:r w:rsidR="000B1F4A" w:rsidRPr="00522C02">
        <w:rPr>
          <w:rFonts w:ascii="Times New Roman" w:hAnsi="Times New Roman" w:cs="Times New Roman"/>
          <w:sz w:val="24"/>
          <w:szCs w:val="24"/>
        </w:rPr>
        <w:t xml:space="preserve">and sleeping behavior in 1986 from a subsample and then again in 2001, 2007 and 2011 from the whole study sample. This </w:t>
      </w:r>
      <w:r w:rsidR="00C0436A" w:rsidRPr="00522C02">
        <w:rPr>
          <w:rFonts w:ascii="Times New Roman" w:hAnsi="Times New Roman" w:cs="Times New Roman"/>
          <w:sz w:val="24"/>
          <w:szCs w:val="24"/>
        </w:rPr>
        <w:t xml:space="preserve">is why data </w:t>
      </w:r>
      <w:r w:rsidRPr="00522C02">
        <w:rPr>
          <w:rFonts w:ascii="Times New Roman" w:hAnsi="Times New Roman" w:cs="Times New Roman"/>
          <w:sz w:val="24"/>
          <w:szCs w:val="24"/>
        </w:rPr>
        <w:t>concerning</w:t>
      </w:r>
      <w:r w:rsidR="00C0436A" w:rsidRPr="00522C02">
        <w:rPr>
          <w:rFonts w:ascii="Times New Roman" w:hAnsi="Times New Roman" w:cs="Times New Roman"/>
          <w:sz w:val="24"/>
          <w:szCs w:val="24"/>
        </w:rPr>
        <w:t xml:space="preserve"> </w:t>
      </w:r>
      <w:r w:rsidR="000B1F4A" w:rsidRPr="00522C02">
        <w:rPr>
          <w:rFonts w:ascii="Times New Roman" w:hAnsi="Times New Roman" w:cs="Times New Roman"/>
          <w:sz w:val="24"/>
          <w:szCs w:val="24"/>
        </w:rPr>
        <w:t xml:space="preserve">previous </w:t>
      </w:r>
      <w:r w:rsidR="00C0436A" w:rsidRPr="00522C02">
        <w:rPr>
          <w:rFonts w:ascii="Times New Roman" w:hAnsi="Times New Roman" w:cs="Times New Roman"/>
          <w:sz w:val="24"/>
          <w:szCs w:val="24"/>
        </w:rPr>
        <w:t>s</w:t>
      </w:r>
      <w:r w:rsidR="00727365" w:rsidRPr="00522C02">
        <w:rPr>
          <w:rFonts w:ascii="Times New Roman" w:hAnsi="Times New Roman" w:cs="Times New Roman"/>
          <w:sz w:val="24"/>
          <w:szCs w:val="24"/>
        </w:rPr>
        <w:t xml:space="preserve">leeping behavior was </w:t>
      </w:r>
      <w:r w:rsidR="00C0436A" w:rsidRPr="00522C02">
        <w:rPr>
          <w:rFonts w:ascii="Times New Roman" w:hAnsi="Times New Roman" w:cs="Times New Roman"/>
          <w:sz w:val="24"/>
          <w:szCs w:val="24"/>
        </w:rPr>
        <w:t>from the year</w:t>
      </w:r>
      <w:r w:rsidR="00727365" w:rsidRPr="00522C02">
        <w:rPr>
          <w:rFonts w:ascii="Times New Roman" w:hAnsi="Times New Roman" w:cs="Times New Roman"/>
          <w:sz w:val="24"/>
          <w:szCs w:val="24"/>
        </w:rPr>
        <w:t xml:space="preserve"> 1986 and screen time </w:t>
      </w:r>
      <w:r w:rsidR="00C0436A" w:rsidRPr="00522C02">
        <w:rPr>
          <w:rFonts w:ascii="Times New Roman" w:hAnsi="Times New Roman" w:cs="Times New Roman"/>
          <w:sz w:val="24"/>
          <w:szCs w:val="24"/>
        </w:rPr>
        <w:t xml:space="preserve">from </w:t>
      </w:r>
      <w:r w:rsidR="00727365" w:rsidRPr="00522C02">
        <w:rPr>
          <w:rFonts w:ascii="Times New Roman" w:hAnsi="Times New Roman" w:cs="Times New Roman"/>
          <w:sz w:val="24"/>
          <w:szCs w:val="24"/>
        </w:rPr>
        <w:t>2001</w:t>
      </w:r>
      <w:r w:rsidR="00C0436A" w:rsidRPr="00522C02">
        <w:rPr>
          <w:rFonts w:ascii="Times New Roman" w:hAnsi="Times New Roman" w:cs="Times New Roman"/>
          <w:sz w:val="24"/>
          <w:szCs w:val="24"/>
        </w:rPr>
        <w:t>.</w:t>
      </w:r>
    </w:p>
    <w:p w14:paraId="5A633995" w14:textId="77777777" w:rsidR="009143F6" w:rsidRPr="00522C02" w:rsidRDefault="009143F6" w:rsidP="009143F6">
      <w:pPr>
        <w:spacing w:line="480" w:lineRule="auto"/>
        <w:ind w:right="-165"/>
        <w:rPr>
          <w:rFonts w:ascii="Times New Roman" w:hAnsi="Times New Roman" w:cs="Times New Roman"/>
          <w:b/>
          <w:sz w:val="24"/>
          <w:szCs w:val="24"/>
        </w:rPr>
      </w:pPr>
      <w:r w:rsidRPr="00522C02">
        <w:rPr>
          <w:rFonts w:ascii="Times New Roman" w:hAnsi="Times New Roman" w:cs="Times New Roman"/>
          <w:b/>
          <w:sz w:val="24"/>
          <w:szCs w:val="24"/>
        </w:rPr>
        <w:t>References</w:t>
      </w:r>
    </w:p>
    <w:p w14:paraId="2BA4DFD3"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rPr>
      </w:pPr>
      <w:r w:rsidRPr="00522C02">
        <w:rPr>
          <w:rFonts w:ascii="Times New Roman" w:hAnsi="Times New Roman" w:cs="Times New Roman"/>
          <w:sz w:val="24"/>
          <w:szCs w:val="24"/>
        </w:rPr>
        <w:fldChar w:fldCharType="begin" w:fldLock="1"/>
      </w:r>
      <w:r w:rsidRPr="00522C02">
        <w:rPr>
          <w:rFonts w:ascii="Times New Roman" w:hAnsi="Times New Roman" w:cs="Times New Roman"/>
          <w:sz w:val="24"/>
          <w:szCs w:val="24"/>
        </w:rPr>
        <w:instrText xml:space="preserve">ADDIN Mendeley Bibliography CSL_BIBLIOGRAPHY </w:instrText>
      </w:r>
      <w:r w:rsidRPr="00522C02">
        <w:rPr>
          <w:rFonts w:ascii="Times New Roman" w:hAnsi="Times New Roman" w:cs="Times New Roman"/>
          <w:sz w:val="24"/>
          <w:szCs w:val="24"/>
        </w:rPr>
        <w:fldChar w:fldCharType="separate"/>
      </w:r>
      <w:r w:rsidRPr="00522C02">
        <w:rPr>
          <w:rFonts w:ascii="Times New Roman" w:hAnsi="Times New Roman" w:cs="Times New Roman"/>
          <w:noProof/>
          <w:sz w:val="24"/>
          <w:szCs w:val="24"/>
        </w:rPr>
        <w:t>1. Poortinga W. The prevalence and clustering of four major lifestyle risk factors in an English adult population. Prev Med (Baltim). 2007;44:124–8.</w:t>
      </w:r>
    </w:p>
    <w:p w14:paraId="6F2B5B32"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rPr>
      </w:pPr>
      <w:r w:rsidRPr="00522C02">
        <w:rPr>
          <w:rFonts w:ascii="Times New Roman" w:hAnsi="Times New Roman" w:cs="Times New Roman"/>
          <w:noProof/>
          <w:sz w:val="24"/>
          <w:szCs w:val="24"/>
        </w:rPr>
        <w:t>2. Oftedal S, Vandelanotte C, Duncan MJ. Patterns of diet, physical activity, sitting and sleep are associated with socio-demographic, behavioural, and health-risk indicators in adults. Int J Environ Res Public Health. 2019;16:1–14.</w:t>
      </w:r>
    </w:p>
    <w:p w14:paraId="6D567A2F"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lang w:val="fi-FI"/>
        </w:rPr>
      </w:pPr>
      <w:r w:rsidRPr="00522C02">
        <w:rPr>
          <w:rFonts w:ascii="Times New Roman" w:hAnsi="Times New Roman" w:cs="Times New Roman"/>
          <w:noProof/>
          <w:sz w:val="24"/>
          <w:szCs w:val="24"/>
        </w:rPr>
        <w:t xml:space="preserve">3. Lahti-Koski M, Pirjo Pietinen MH, Vartiainen E. Associations of body mass index and obesity with physical activity, food choices, alcohol intake, and smoking in the 1982–1997 FINRISK Studies. </w:t>
      </w:r>
      <w:r w:rsidRPr="00522C02">
        <w:rPr>
          <w:rFonts w:ascii="Times New Roman" w:hAnsi="Times New Roman" w:cs="Times New Roman"/>
          <w:noProof/>
          <w:sz w:val="24"/>
          <w:szCs w:val="24"/>
          <w:lang w:val="fi-FI"/>
        </w:rPr>
        <w:t>Am J Clin Nutr. 2002;75:809–17.</w:t>
      </w:r>
    </w:p>
    <w:p w14:paraId="299A4201"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rPr>
      </w:pPr>
      <w:r w:rsidRPr="00522C02">
        <w:rPr>
          <w:rFonts w:ascii="Times New Roman" w:hAnsi="Times New Roman" w:cs="Times New Roman"/>
          <w:noProof/>
          <w:sz w:val="24"/>
          <w:szCs w:val="24"/>
          <w:lang w:val="fi-FI"/>
        </w:rPr>
        <w:t xml:space="preserve">4. Paalanen L, Männistö S, Virtanen MJ, Knekt P, Räsänen L, Montonen J, et al. </w:t>
      </w:r>
      <w:r w:rsidRPr="00522C02">
        <w:rPr>
          <w:rFonts w:ascii="Times New Roman" w:hAnsi="Times New Roman" w:cs="Times New Roman"/>
          <w:noProof/>
          <w:sz w:val="24"/>
          <w:szCs w:val="24"/>
        </w:rPr>
        <w:t>Validity of a food frequency questionnaire varied by age and body mass index. J Clin Epidemiol. 2006;59:994–1001.</w:t>
      </w:r>
    </w:p>
    <w:p w14:paraId="1DE2ED9E"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rPr>
      </w:pPr>
      <w:r w:rsidRPr="00522C02">
        <w:rPr>
          <w:rFonts w:ascii="Times New Roman" w:hAnsi="Times New Roman" w:cs="Times New Roman"/>
          <w:noProof/>
          <w:sz w:val="24"/>
          <w:szCs w:val="24"/>
        </w:rPr>
        <w:t xml:space="preserve">5. Telama R. Tracking of physical activity from childhood to adulthood: A review. Obes </w:t>
      </w:r>
      <w:r w:rsidRPr="00522C02">
        <w:rPr>
          <w:rFonts w:ascii="Times New Roman" w:hAnsi="Times New Roman" w:cs="Times New Roman"/>
          <w:noProof/>
          <w:sz w:val="24"/>
          <w:szCs w:val="24"/>
        </w:rPr>
        <w:lastRenderedPageBreak/>
        <w:t>Facts. 2009;2:187–95.</w:t>
      </w:r>
    </w:p>
    <w:p w14:paraId="25C2844B"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szCs w:val="24"/>
        </w:rPr>
      </w:pPr>
      <w:r w:rsidRPr="00522C02">
        <w:rPr>
          <w:rFonts w:ascii="Times New Roman" w:hAnsi="Times New Roman" w:cs="Times New Roman"/>
          <w:noProof/>
          <w:sz w:val="24"/>
          <w:szCs w:val="24"/>
        </w:rPr>
        <w:t>6. te Velde SJ, Twisk JWR, Brug J. Tracking of fruit and vegetable consumption from adolescence into adulthood and its longitudinal association with overweight. Br J Nutr. 2007;98:431–8.</w:t>
      </w:r>
    </w:p>
    <w:p w14:paraId="3259E612" w14:textId="77777777" w:rsidR="009143F6" w:rsidRPr="00522C02" w:rsidRDefault="009143F6" w:rsidP="009143F6">
      <w:pPr>
        <w:widowControl w:val="0"/>
        <w:autoSpaceDE w:val="0"/>
        <w:autoSpaceDN w:val="0"/>
        <w:adjustRightInd w:val="0"/>
        <w:spacing w:line="480" w:lineRule="auto"/>
        <w:rPr>
          <w:rFonts w:ascii="Times New Roman" w:hAnsi="Times New Roman" w:cs="Times New Roman"/>
          <w:noProof/>
          <w:sz w:val="24"/>
        </w:rPr>
      </w:pPr>
      <w:r w:rsidRPr="00522C02">
        <w:rPr>
          <w:rFonts w:ascii="Times New Roman" w:hAnsi="Times New Roman" w:cs="Times New Roman"/>
          <w:noProof/>
          <w:sz w:val="24"/>
          <w:szCs w:val="24"/>
        </w:rPr>
        <w:t>7. Paavola M, Vartiainen E, Haukkala A. Smoking, alcohol use, and physical activity: A 13-year longitudinal study ranging from adolescence into adulthood. J Adolesc Heal. 2004;35:238–44.</w:t>
      </w:r>
    </w:p>
    <w:p w14:paraId="3DDC1C8D" w14:textId="77777777" w:rsidR="009143F6" w:rsidRPr="009143F6" w:rsidRDefault="009143F6" w:rsidP="009143F6">
      <w:pPr>
        <w:spacing w:line="480" w:lineRule="auto"/>
        <w:ind w:right="-165"/>
        <w:rPr>
          <w:rFonts w:ascii="Times New Roman" w:hAnsi="Times New Roman" w:cs="Times New Roman"/>
          <w:sz w:val="24"/>
          <w:szCs w:val="24"/>
        </w:rPr>
      </w:pPr>
      <w:r w:rsidRPr="00522C02">
        <w:rPr>
          <w:rFonts w:ascii="Times New Roman" w:hAnsi="Times New Roman" w:cs="Times New Roman"/>
          <w:sz w:val="24"/>
          <w:szCs w:val="24"/>
        </w:rPr>
        <w:fldChar w:fldCharType="end"/>
      </w:r>
    </w:p>
    <w:sectPr w:rsidR="009143F6" w:rsidRPr="009143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80E53"/>
    <w:multiLevelType w:val="hybridMultilevel"/>
    <w:tmpl w:val="ADA05DAA"/>
    <w:lvl w:ilvl="0" w:tplc="6246714A">
      <w:start w:val="24"/>
      <w:numFmt w:val="bullet"/>
      <w:lvlText w:val="-"/>
      <w:lvlJc w:val="left"/>
      <w:pPr>
        <w:ind w:left="405" w:hanging="360"/>
      </w:pPr>
      <w:rPr>
        <w:rFonts w:ascii="Calibri" w:eastAsia="Times New Roman" w:hAnsi="Calibri" w:cs="Calibri" w:hint="default"/>
      </w:rPr>
    </w:lvl>
    <w:lvl w:ilvl="1" w:tplc="040B0003" w:tentative="1">
      <w:start w:val="1"/>
      <w:numFmt w:val="bullet"/>
      <w:lvlText w:val="o"/>
      <w:lvlJc w:val="left"/>
      <w:pPr>
        <w:ind w:left="1125" w:hanging="360"/>
      </w:pPr>
      <w:rPr>
        <w:rFonts w:ascii="Courier New" w:hAnsi="Courier New" w:cs="Courier New" w:hint="default"/>
      </w:rPr>
    </w:lvl>
    <w:lvl w:ilvl="2" w:tplc="040B0005" w:tentative="1">
      <w:start w:val="1"/>
      <w:numFmt w:val="bullet"/>
      <w:lvlText w:val=""/>
      <w:lvlJc w:val="left"/>
      <w:pPr>
        <w:ind w:left="1845" w:hanging="360"/>
      </w:pPr>
      <w:rPr>
        <w:rFonts w:ascii="Wingdings" w:hAnsi="Wingdings" w:hint="default"/>
      </w:rPr>
    </w:lvl>
    <w:lvl w:ilvl="3" w:tplc="040B0001" w:tentative="1">
      <w:start w:val="1"/>
      <w:numFmt w:val="bullet"/>
      <w:lvlText w:val=""/>
      <w:lvlJc w:val="left"/>
      <w:pPr>
        <w:ind w:left="2565" w:hanging="360"/>
      </w:pPr>
      <w:rPr>
        <w:rFonts w:ascii="Symbol" w:hAnsi="Symbol" w:hint="default"/>
      </w:rPr>
    </w:lvl>
    <w:lvl w:ilvl="4" w:tplc="040B0003" w:tentative="1">
      <w:start w:val="1"/>
      <w:numFmt w:val="bullet"/>
      <w:lvlText w:val="o"/>
      <w:lvlJc w:val="left"/>
      <w:pPr>
        <w:ind w:left="3285" w:hanging="360"/>
      </w:pPr>
      <w:rPr>
        <w:rFonts w:ascii="Courier New" w:hAnsi="Courier New" w:cs="Courier New" w:hint="default"/>
      </w:rPr>
    </w:lvl>
    <w:lvl w:ilvl="5" w:tplc="040B0005" w:tentative="1">
      <w:start w:val="1"/>
      <w:numFmt w:val="bullet"/>
      <w:lvlText w:val=""/>
      <w:lvlJc w:val="left"/>
      <w:pPr>
        <w:ind w:left="4005" w:hanging="360"/>
      </w:pPr>
      <w:rPr>
        <w:rFonts w:ascii="Wingdings" w:hAnsi="Wingdings" w:hint="default"/>
      </w:rPr>
    </w:lvl>
    <w:lvl w:ilvl="6" w:tplc="040B0001" w:tentative="1">
      <w:start w:val="1"/>
      <w:numFmt w:val="bullet"/>
      <w:lvlText w:val=""/>
      <w:lvlJc w:val="left"/>
      <w:pPr>
        <w:ind w:left="4725" w:hanging="360"/>
      </w:pPr>
      <w:rPr>
        <w:rFonts w:ascii="Symbol" w:hAnsi="Symbol" w:hint="default"/>
      </w:rPr>
    </w:lvl>
    <w:lvl w:ilvl="7" w:tplc="040B0003" w:tentative="1">
      <w:start w:val="1"/>
      <w:numFmt w:val="bullet"/>
      <w:lvlText w:val="o"/>
      <w:lvlJc w:val="left"/>
      <w:pPr>
        <w:ind w:left="5445" w:hanging="360"/>
      </w:pPr>
      <w:rPr>
        <w:rFonts w:ascii="Courier New" w:hAnsi="Courier New" w:cs="Courier New" w:hint="default"/>
      </w:rPr>
    </w:lvl>
    <w:lvl w:ilvl="8" w:tplc="040B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3F6"/>
    <w:rsid w:val="000207D2"/>
    <w:rsid w:val="00035418"/>
    <w:rsid w:val="00091B2D"/>
    <w:rsid w:val="000963B0"/>
    <w:rsid w:val="000A1FFD"/>
    <w:rsid w:val="000A3C24"/>
    <w:rsid w:val="000B1F4A"/>
    <w:rsid w:val="000B7709"/>
    <w:rsid w:val="000B7A61"/>
    <w:rsid w:val="000C38F0"/>
    <w:rsid w:val="000C4447"/>
    <w:rsid w:val="000F36A9"/>
    <w:rsid w:val="001058D8"/>
    <w:rsid w:val="0011490A"/>
    <w:rsid w:val="0012726B"/>
    <w:rsid w:val="001445D5"/>
    <w:rsid w:val="0016019F"/>
    <w:rsid w:val="00197629"/>
    <w:rsid w:val="001A5E52"/>
    <w:rsid w:val="001B5E02"/>
    <w:rsid w:val="001C5409"/>
    <w:rsid w:val="00217A10"/>
    <w:rsid w:val="002378FC"/>
    <w:rsid w:val="002409E1"/>
    <w:rsid w:val="0024538F"/>
    <w:rsid w:val="00275043"/>
    <w:rsid w:val="002A0690"/>
    <w:rsid w:val="002B116D"/>
    <w:rsid w:val="002B521D"/>
    <w:rsid w:val="00306230"/>
    <w:rsid w:val="003501F3"/>
    <w:rsid w:val="003609E0"/>
    <w:rsid w:val="00373291"/>
    <w:rsid w:val="0037410E"/>
    <w:rsid w:val="00376527"/>
    <w:rsid w:val="0038183F"/>
    <w:rsid w:val="003B016C"/>
    <w:rsid w:val="003B4B97"/>
    <w:rsid w:val="003E0FF1"/>
    <w:rsid w:val="003E4A85"/>
    <w:rsid w:val="0042133A"/>
    <w:rsid w:val="00436F74"/>
    <w:rsid w:val="004612DC"/>
    <w:rsid w:val="00485218"/>
    <w:rsid w:val="004A7D23"/>
    <w:rsid w:val="004C3BA9"/>
    <w:rsid w:val="004C6EE6"/>
    <w:rsid w:val="004E2FF6"/>
    <w:rsid w:val="00520483"/>
    <w:rsid w:val="00522C02"/>
    <w:rsid w:val="00563029"/>
    <w:rsid w:val="005B41A5"/>
    <w:rsid w:val="005B5748"/>
    <w:rsid w:val="005D4484"/>
    <w:rsid w:val="005E7E34"/>
    <w:rsid w:val="0060687E"/>
    <w:rsid w:val="006662D9"/>
    <w:rsid w:val="00673FA6"/>
    <w:rsid w:val="006C01DC"/>
    <w:rsid w:val="006C2498"/>
    <w:rsid w:val="006D1878"/>
    <w:rsid w:val="006E549F"/>
    <w:rsid w:val="007066EA"/>
    <w:rsid w:val="00727365"/>
    <w:rsid w:val="007344B2"/>
    <w:rsid w:val="0073764D"/>
    <w:rsid w:val="007C7048"/>
    <w:rsid w:val="007D773D"/>
    <w:rsid w:val="00834618"/>
    <w:rsid w:val="0084097E"/>
    <w:rsid w:val="00841683"/>
    <w:rsid w:val="00844572"/>
    <w:rsid w:val="0086041D"/>
    <w:rsid w:val="008C0ACF"/>
    <w:rsid w:val="00903BDD"/>
    <w:rsid w:val="009143F6"/>
    <w:rsid w:val="00935AEA"/>
    <w:rsid w:val="0095344D"/>
    <w:rsid w:val="00984060"/>
    <w:rsid w:val="00996F0C"/>
    <w:rsid w:val="009E6C76"/>
    <w:rsid w:val="00A0633C"/>
    <w:rsid w:val="00A15BD3"/>
    <w:rsid w:val="00A420C7"/>
    <w:rsid w:val="00A50BFF"/>
    <w:rsid w:val="00A70CA1"/>
    <w:rsid w:val="00A955D7"/>
    <w:rsid w:val="00B01FE7"/>
    <w:rsid w:val="00B06D79"/>
    <w:rsid w:val="00B33518"/>
    <w:rsid w:val="00B34277"/>
    <w:rsid w:val="00B42D98"/>
    <w:rsid w:val="00B50684"/>
    <w:rsid w:val="00B94571"/>
    <w:rsid w:val="00C0436A"/>
    <w:rsid w:val="00C228D4"/>
    <w:rsid w:val="00C42CA0"/>
    <w:rsid w:val="00C6418F"/>
    <w:rsid w:val="00C67E50"/>
    <w:rsid w:val="00C73F11"/>
    <w:rsid w:val="00C91944"/>
    <w:rsid w:val="00CD0E34"/>
    <w:rsid w:val="00CE3E52"/>
    <w:rsid w:val="00D3648B"/>
    <w:rsid w:val="00D5139F"/>
    <w:rsid w:val="00DF14C7"/>
    <w:rsid w:val="00DF2F8C"/>
    <w:rsid w:val="00E422DB"/>
    <w:rsid w:val="00E67CFC"/>
    <w:rsid w:val="00E90F29"/>
    <w:rsid w:val="00ED61C0"/>
    <w:rsid w:val="00EF24E8"/>
    <w:rsid w:val="00F14BA0"/>
    <w:rsid w:val="00F34738"/>
    <w:rsid w:val="00F52485"/>
    <w:rsid w:val="00FA49E1"/>
    <w:rsid w:val="00FF50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7DEDC"/>
  <w15:chartTrackingRefBased/>
  <w15:docId w15:val="{E6190B96-5A08-42C7-B714-BD720D6BD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143F6"/>
    <w:rPr>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Kommentinviite">
    <w:name w:val="annotation reference"/>
    <w:basedOn w:val="Kappaleenoletusfontti"/>
    <w:uiPriority w:val="99"/>
    <w:semiHidden/>
    <w:unhideWhenUsed/>
    <w:rsid w:val="00C0436A"/>
    <w:rPr>
      <w:sz w:val="16"/>
      <w:szCs w:val="16"/>
    </w:rPr>
  </w:style>
  <w:style w:type="paragraph" w:styleId="Kommentinteksti">
    <w:name w:val="annotation text"/>
    <w:basedOn w:val="Normaali"/>
    <w:link w:val="KommentintekstiChar"/>
    <w:uiPriority w:val="99"/>
    <w:semiHidden/>
    <w:unhideWhenUsed/>
    <w:rsid w:val="00C0436A"/>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C0436A"/>
    <w:rPr>
      <w:sz w:val="20"/>
      <w:szCs w:val="20"/>
      <w:lang w:val="en-US"/>
    </w:rPr>
  </w:style>
  <w:style w:type="paragraph" w:styleId="Kommentinotsikko">
    <w:name w:val="annotation subject"/>
    <w:basedOn w:val="Kommentinteksti"/>
    <w:next w:val="Kommentinteksti"/>
    <w:link w:val="KommentinotsikkoChar"/>
    <w:uiPriority w:val="99"/>
    <w:semiHidden/>
    <w:unhideWhenUsed/>
    <w:rsid w:val="00C0436A"/>
    <w:rPr>
      <w:b/>
      <w:bCs/>
    </w:rPr>
  </w:style>
  <w:style w:type="character" w:customStyle="1" w:styleId="KommentinotsikkoChar">
    <w:name w:val="Kommentin otsikko Char"/>
    <w:basedOn w:val="KommentintekstiChar"/>
    <w:link w:val="Kommentinotsikko"/>
    <w:uiPriority w:val="99"/>
    <w:semiHidden/>
    <w:rsid w:val="00C0436A"/>
    <w:rPr>
      <w:b/>
      <w:bCs/>
      <w:sz w:val="20"/>
      <w:szCs w:val="20"/>
      <w:lang w:val="en-US"/>
    </w:rPr>
  </w:style>
  <w:style w:type="paragraph" w:styleId="Seliteteksti">
    <w:name w:val="Balloon Text"/>
    <w:basedOn w:val="Normaali"/>
    <w:link w:val="SelitetekstiChar"/>
    <w:uiPriority w:val="99"/>
    <w:semiHidden/>
    <w:unhideWhenUsed/>
    <w:rsid w:val="00C0436A"/>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0436A"/>
    <w:rPr>
      <w:rFonts w:ascii="Segoe UI" w:hAnsi="Segoe UI" w:cs="Segoe UI"/>
      <w:sz w:val="18"/>
      <w:szCs w:val="18"/>
      <w:lang w:val="en-US"/>
    </w:rPr>
  </w:style>
  <w:style w:type="paragraph" w:styleId="Luettelokappale">
    <w:name w:val="List Paragraph"/>
    <w:basedOn w:val="Normaali"/>
    <w:uiPriority w:val="34"/>
    <w:qFormat/>
    <w:rsid w:val="000B1F4A"/>
    <w:pPr>
      <w:spacing w:after="0" w:line="240" w:lineRule="auto"/>
      <w:ind w:left="720"/>
      <w:contextualSpacing/>
    </w:pPr>
    <w:rPr>
      <w:sz w:val="24"/>
      <w:szCs w:val="24"/>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219F7-D4B1-4DEB-B8C1-73261E8F7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Lounassalo, Irinja</dc:creator>
  <cp:keywords/>
  <dc:description/>
  <cp:lastModifiedBy>Lounassalo Irinja</cp:lastModifiedBy>
  <cp:revision>5</cp:revision>
  <dcterms:created xsi:type="dcterms:W3CDTF">2021-02-28T11:16:00Z</dcterms:created>
  <dcterms:modified xsi:type="dcterms:W3CDTF">2021-02-28T11:16:00Z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http://www.zotero.org/styles/biomed-central</vt:lpwstr>
  </property>
  <property fmtid="{D5CDD505-2E9C-101B-9397-08002B2CF9AE}" pid="7" name="Mendeley Recent Style Name 2_1">
    <vt:lpwstr>BioMed Central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c52d9a5a-156e-3467-acb4-d4664362fddd</vt:lpwstr>
  </property>
  <property fmtid="{D5CDD505-2E9C-101B-9397-08002B2CF9AE}" pid="24" name="Mendeley Citation Style_1">
    <vt:lpwstr>http://www.zotero.org/styles/biomed-central</vt:lpwstr>
  </property>
</Properties>
</file>