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line="480" w:lineRule="auto"/>
        <w:ind w:right="19" w:rightChars="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The risk model and nomogram for high-frequency hearing loss in noise-exposed workers</w:t>
      </w:r>
    </w:p>
    <w:p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Ruican Sun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sz w:val="24"/>
        </w:rPr>
        <w:t>, Weiwei Shang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>, Yingqiong Cao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>, Yajia Lan</w:t>
      </w:r>
      <w:r>
        <w:rPr>
          <w:rFonts w:ascii="Times New Roman" w:hAnsi="Times New Roman"/>
          <w:sz w:val="24"/>
          <w:vertAlign w:val="superscript"/>
        </w:rPr>
        <w:t>1*</w:t>
      </w:r>
    </w:p>
    <w:p>
      <w:pPr>
        <w:spacing w:line="480" w:lineRule="auto"/>
        <w:ind w:left="-172" w:leftChars="-82"/>
        <w:rPr>
          <w:rFonts w:ascii="Times New Roman" w:hAnsi="Times New Roman"/>
          <w:sz w:val="24"/>
        </w:rPr>
      </w:pPr>
    </w:p>
    <w:p>
      <w:pPr>
        <w:widowControl/>
        <w:numPr>
          <w:ilvl w:val="0"/>
          <w:numId w:val="1"/>
        </w:numPr>
        <w:adjustRightInd w:val="0"/>
        <w:snapToGrid w:val="0"/>
        <w:spacing w:line="480" w:lineRule="auto"/>
        <w:ind w:left="197" w:hanging="196" w:hangingChars="8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Department of Occupational and Environmental Health, West China School of Public Health and West China Fourth Hospital, Sichuan University, Chengdu, Sichuan, China </w:t>
      </w:r>
    </w:p>
    <w:p>
      <w:pPr>
        <w:widowControl/>
        <w:numPr>
          <w:ilvl w:val="0"/>
          <w:numId w:val="1"/>
        </w:numPr>
        <w:adjustRightInd w:val="0"/>
        <w:snapToGrid w:val="0"/>
        <w:spacing w:line="480" w:lineRule="auto"/>
        <w:ind w:left="197" w:hanging="196" w:hangingChars="8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Department of Occupational Health and Radial Control, Sichuan Center for Disease Control and Prevention, Chengdu, Sichuan, China</w:t>
      </w:r>
    </w:p>
    <w:p>
      <w:pPr>
        <w:widowControl/>
        <w:numPr>
          <w:ilvl w:val="0"/>
          <w:numId w:val="1"/>
        </w:numPr>
        <w:adjustRightInd w:val="0"/>
        <w:snapToGrid w:val="0"/>
        <w:spacing w:line="480" w:lineRule="auto"/>
        <w:ind w:left="197" w:hanging="196" w:hangingChars="8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Department of Occupational Disease Prevention and Control, </w:t>
      </w:r>
      <w:bookmarkStart w:id="0" w:name="OLE_LINK2"/>
      <w:bookmarkStart w:id="1" w:name="OLE_LINK10"/>
      <w:r>
        <w:rPr>
          <w:rFonts w:ascii="Times New Roman" w:hAnsi="Times New Roman"/>
          <w:sz w:val="24"/>
        </w:rPr>
        <w:t>Pidu District Center for Disease Control and Prevention, Chengdu, Sichuan, China</w:t>
      </w:r>
      <w:bookmarkEnd w:id="0"/>
      <w:bookmarkEnd w:id="1"/>
    </w:p>
    <w:p>
      <w:pPr>
        <w:spacing w:line="480" w:lineRule="auto"/>
        <w:ind w:left="240" w:hanging="240" w:hangingChars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*</w:t>
      </w:r>
      <w:r>
        <w:rPr>
          <w:rFonts w:ascii="Times New Roman" w:hAnsi="Times New Roman" w:eastAsia="宋体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Correspondence and request of materials should be addressed to Yajia Lan (e-mail: </w:t>
      </w:r>
      <w:r>
        <w:fldChar w:fldCharType="begin"/>
      </w:r>
      <w:r>
        <w:instrText xml:space="preserve"> HYPERLINK "yajialan501@126.com" </w:instrText>
      </w:r>
      <w:r>
        <w:fldChar w:fldCharType="separate"/>
      </w:r>
      <w:r>
        <w:rPr>
          <w:rFonts w:ascii="Times New Roman" w:hAnsi="Times New Roman"/>
          <w:sz w:val="24"/>
        </w:rPr>
        <w:t>yajialan501@126.com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).</w:t>
      </w:r>
    </w:p>
    <w:p>
      <w:pPr>
        <w:spacing w:line="480" w:lineRule="auto"/>
        <w:rPr>
          <w:rFonts w:ascii="Times New Roman" w:hAnsi="Times New Roman"/>
          <w:b/>
          <w:sz w:val="24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</w:pPr>
    </w:p>
    <w:p>
      <w:pPr>
        <w:widowControl/>
        <w:rPr>
          <w:rFonts w:ascii="Times New Roman" w:hAnsi="Times New Roman" w:eastAsia="等线" w:cs="Times New Roman"/>
          <w:sz w:val="24"/>
        </w:rPr>
      </w:pPr>
      <w:r>
        <w:rPr>
          <w:rFonts w:ascii="Times New Roman" w:hAnsi="Times New Roman" w:eastAsia="Palatino Linotype" w:cs="Times New Roman"/>
          <w:b/>
          <w:color w:val="000000"/>
          <w:kern w:val="0"/>
          <w:sz w:val="24"/>
          <w:lang w:bidi="ar"/>
        </w:rPr>
        <w:t>Supplementary Materia</w: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24"/>
          <w:lang w:val="en-US" w:eastAsia="zh-CN" w:bidi="ar"/>
        </w:rPr>
        <w:t>l</w:t>
      </w:r>
      <w:r>
        <w:rPr>
          <w:rFonts w:ascii="Times New Roman" w:hAnsi="Times New Roman" w:eastAsia="宋体" w:cs="Times New Roman"/>
          <w:b/>
          <w:color w:val="000000"/>
          <w:kern w:val="0"/>
          <w:sz w:val="24"/>
          <w:lang w:bidi="ar"/>
        </w:rPr>
        <w:t>-</w:t>
      </w:r>
      <w:r>
        <w:rPr>
          <w:rFonts w:ascii="Times New Roman" w:hAnsi="Times New Roman" w:eastAsia="等线" w:cs="Times New Roman"/>
          <w:b/>
          <w:color w:val="000000"/>
          <w:kern w:val="0"/>
          <w:sz w:val="24"/>
          <w:lang w:bidi="ar"/>
        </w:rPr>
        <w:t>Table 1.</w:t>
      </w:r>
      <w:r>
        <w:rPr>
          <w:rFonts w:ascii="Times New Roman" w:hAnsi="Times New Roman" w:eastAsia="等线" w:cs="Times New Roman"/>
          <w:color w:val="000000"/>
          <w:kern w:val="0"/>
          <w:sz w:val="24"/>
          <w:lang w:bidi="ar"/>
        </w:rPr>
        <w:t xml:space="preserve"> The selected values of the statistical distribution of hearing threshold levels </w:t>
      </w:r>
    </w:p>
    <w:p>
      <w:pPr>
        <w:widowControl/>
        <w:spacing w:line="480" w:lineRule="auto"/>
        <w:jc w:val="center"/>
        <w:rPr>
          <w:rFonts w:ascii="Times New Roman" w:hAnsi="Times New Roman" w:eastAsia="等线" w:cs="Times New Roman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drawing>
          <wp:inline distT="0" distB="0" distL="114300" distR="114300">
            <wp:extent cx="3967480" cy="2383790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70361" cy="238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等线" w:cs="Times New Roman"/>
          <w:color w:val="000000"/>
          <w:kern w:val="0"/>
          <w:sz w:val="24"/>
          <w:lang w:bidi="ar"/>
        </w:rPr>
        <w:t xml:space="preserve"> </w:t>
      </w:r>
    </w:p>
    <w:p>
      <w:pPr>
        <w:widowControl/>
        <w:ind w:left="12" w:right="132" w:rightChars="63" w:hanging="12" w:hangingChars="5"/>
        <w:rPr>
          <w:rFonts w:ascii="Times New Roman" w:hAnsi="Times New Roman" w:eastAsia="Palatino Linotype" w:cs="Times New Roman"/>
          <w:snapToGrid w:val="0"/>
          <w:sz w:val="24"/>
          <w:lang w:bidi="en-US"/>
        </w:rPr>
      </w:pPr>
      <w:r>
        <w:rPr>
          <w:rFonts w:ascii="Times New Roman" w:hAnsi="Times New Roman" w:eastAsia="Palatino Linotype" w:cs="Times New Roman"/>
          <w:i/>
          <w:snapToGrid w:val="0"/>
          <w:color w:val="000000"/>
          <w:kern w:val="0"/>
          <w:sz w:val="24"/>
          <w:lang w:bidi="en-US"/>
        </w:rPr>
        <w:t>Footnote.</w:t>
      </w:r>
      <w:r>
        <w:rPr>
          <w:rFonts w:ascii="Times New Roman" w:hAnsi="Times New Roman" w:eastAsia="Palatino Linotype" w:cs="Times New Roman"/>
          <w:snapToGrid w:val="0"/>
          <w:color w:val="000000"/>
          <w:kern w:val="0"/>
          <w:sz w:val="24"/>
          <w:lang w:bidi="en-US"/>
        </w:rPr>
        <w:t xml:space="preserve"> M=male; F=female; Calculation formula of BHFTA = [the left ear (HL3 kHz + HL4kHz + HL6kHz) +the right ear (HL3kHz + HL4kHz + HL6kHz)]/ 6. The table was derived from the Regulation of Acoustic Statistical</w:t>
      </w:r>
      <w:bookmarkStart w:id="2" w:name="_GoBack"/>
      <w:bookmarkEnd w:id="2"/>
      <w:r>
        <w:rPr>
          <w:rFonts w:ascii="Times New Roman" w:hAnsi="Times New Roman" w:eastAsia="Palatino Linotype" w:cs="Times New Roman"/>
          <w:snapToGrid w:val="0"/>
          <w:color w:val="000000"/>
          <w:kern w:val="0"/>
          <w:sz w:val="24"/>
          <w:lang w:bidi="en-US"/>
        </w:rPr>
        <w:t xml:space="preserve"> Distribution of the Hearing Thresholds as A Function of Age (GB/T 7582-2004)</w:t>
      </w:r>
    </w:p>
    <w:p>
      <w:pPr>
        <w:spacing w:line="480" w:lineRule="auto"/>
        <w:rPr>
          <w:rFonts w:ascii="Times New Roman" w:hAnsi="Times New Roman" w:cs="Times New Roman"/>
          <w:sz w:val="24"/>
        </w:rPr>
      </w:pPr>
    </w:p>
    <w:p/>
    <w:sectPr>
      <w:footerReference r:id="rId3" w:type="default"/>
      <w:pgSz w:w="12240" w:h="15840"/>
      <w:pgMar w:top="1440" w:right="1800" w:bottom="1440" w:left="1800" w:header="720" w:footer="720" w:gutter="0"/>
      <w:lnNumType w:countBy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17501101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31</w:t>
        </w:r>
        <w:r>
          <w:fldChar w:fldCharType="end"/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2A9A36"/>
    <w:multiLevelType w:val="multilevel"/>
    <w:tmpl w:val="B32A9A36"/>
    <w:lvl w:ilvl="0" w:tentative="0">
      <w:start w:val="1"/>
      <w:numFmt w:val="decimal"/>
      <w:lvlText w:val="%1"/>
      <w:lvlJc w:val="left"/>
      <w:pPr>
        <w:ind w:left="420" w:hanging="420"/>
      </w:pPr>
      <w:rPr>
        <w:vertAlign w:val="superscrip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AA8"/>
    <w:rsid w:val="002678A0"/>
    <w:rsid w:val="002F28BD"/>
    <w:rsid w:val="003C3EE9"/>
    <w:rsid w:val="0049020D"/>
    <w:rsid w:val="006C3184"/>
    <w:rsid w:val="00AE14FC"/>
    <w:rsid w:val="00F028B1"/>
    <w:rsid w:val="00F51AA8"/>
    <w:rsid w:val="536C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line number"/>
    <w:basedOn w:val="5"/>
    <w:semiHidden/>
    <w:unhideWhenUsed/>
    <w:qFormat/>
    <w:uiPriority w:val="99"/>
  </w:style>
  <w:style w:type="character" w:styleId="7">
    <w:name w:val="Hyperlink"/>
    <w:basedOn w:val="5"/>
    <w:qFormat/>
    <w:uiPriority w:val="0"/>
    <w:rPr>
      <w:color w:val="0563C1"/>
      <w:u w:val="single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10">
    <w:name w:val="MDPI_1.2_title"/>
    <w:basedOn w:val="1"/>
    <w:qFormat/>
    <w:uiPriority w:val="0"/>
    <w:pPr>
      <w:widowControl/>
      <w:adjustRightInd w:val="0"/>
      <w:snapToGrid w:val="0"/>
      <w:spacing w:after="240" w:line="400" w:lineRule="exact"/>
      <w:jc w:val="left"/>
    </w:pPr>
    <w:rPr>
      <w:rFonts w:ascii="Palatino Linotype" w:hAnsi="Palatino Linotype" w:eastAsia="Times New Roman" w:cs="Times New Roman"/>
      <w:b/>
      <w:color w:val="000000"/>
      <w:kern w:val="0"/>
      <w:sz w:val="36"/>
      <w:szCs w:val="20"/>
    </w:rPr>
  </w:style>
  <w:style w:type="paragraph" w:customStyle="1" w:styleId="11">
    <w:name w:val="MDPI_1.4_history"/>
    <w:basedOn w:val="1"/>
    <w:next w:val="1"/>
    <w:qFormat/>
    <w:uiPriority w:val="0"/>
    <w:pPr>
      <w:widowControl/>
      <w:adjustRightInd w:val="0"/>
      <w:snapToGrid w:val="0"/>
      <w:spacing w:before="120" w:line="200" w:lineRule="atLeast"/>
      <w:ind w:left="113"/>
      <w:jc w:val="left"/>
    </w:pPr>
    <w:rPr>
      <w:rFonts w:ascii="Palatino Linotype" w:hAnsi="Palatino Linotype" w:eastAsia="Times New Roman" w:cs="Times New Roman"/>
      <w:color w:val="000000"/>
      <w:kern w:val="0"/>
      <w:sz w:val="18"/>
      <w:szCs w:val="20"/>
    </w:rPr>
  </w:style>
  <w:style w:type="paragraph" w:customStyle="1" w:styleId="12">
    <w:name w:val="MDPI_1.3_authornames"/>
    <w:basedOn w:val="1"/>
    <w:qFormat/>
    <w:uiPriority w:val="0"/>
    <w:pPr>
      <w:widowControl/>
      <w:adjustRightInd w:val="0"/>
      <w:snapToGrid w:val="0"/>
      <w:spacing w:after="120" w:line="260" w:lineRule="atLeast"/>
      <w:jc w:val="left"/>
    </w:pPr>
    <w:rPr>
      <w:rFonts w:ascii="Palatino Linotype" w:hAnsi="Palatino Linotype" w:eastAsia="Times New Roman" w:cs="Times New Roman"/>
      <w:b/>
      <w:color w:val="000000"/>
      <w:kern w:val="0"/>
      <w:sz w:val="20"/>
      <w:szCs w:val="22"/>
    </w:rPr>
  </w:style>
  <w:style w:type="paragraph" w:customStyle="1" w:styleId="13">
    <w:name w:val="MDPI_1.7_abstract"/>
    <w:basedOn w:val="1"/>
    <w:qFormat/>
    <w:uiPriority w:val="0"/>
    <w:pPr>
      <w:widowControl/>
      <w:adjustRightInd w:val="0"/>
      <w:snapToGrid w:val="0"/>
      <w:spacing w:before="240" w:line="260" w:lineRule="atLeast"/>
      <w:ind w:left="113"/>
    </w:pPr>
    <w:rPr>
      <w:rFonts w:ascii="Palatino Linotype" w:hAnsi="Palatino Linotype" w:eastAsia="Times New Roman" w:cs="Times New Roman"/>
      <w:color w:val="000000"/>
      <w:kern w:val="0"/>
      <w:sz w:val="20"/>
      <w:szCs w:val="22"/>
    </w:rPr>
  </w:style>
  <w:style w:type="paragraph" w:customStyle="1" w:styleId="14">
    <w:name w:val="MDPI_1.6_affiliation"/>
    <w:basedOn w:val="1"/>
    <w:qFormat/>
    <w:uiPriority w:val="0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hAnsi="Palatino Linotype" w:eastAsia="Times New Roman" w:cs="Times New Roman"/>
      <w:color w:val="00000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171</Words>
  <Characters>975</Characters>
  <Lines>8</Lines>
  <Paragraphs>2</Paragraphs>
  <TotalTime>9</TotalTime>
  <ScaleCrop>false</ScaleCrop>
  <LinksUpToDate>false</LinksUpToDate>
  <CharactersWithSpaces>1144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2020-11-25T05:24:00Z</dcterms:created>
  <dc:creator>sunshine</dc:creator>
  <cp:lastModifiedBy>Administrator</cp:lastModifiedBy>
  <dcterms:modified xsi:type="dcterms:W3CDTF">2020-11-29T07:05:11Z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