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8.wmf" ContentType="image/x-wmf"/>
  <Override PartName="/word/media/image2.png" ContentType="image/png"/>
  <Override PartName="/word/media/image3.wmf" ContentType="image/x-wmf"/>
  <Override PartName="/word/media/image4.wmf" ContentType="image/x-wmf"/>
  <Override PartName="/word/media/image5.wmf" ContentType="image/x-wmf"/>
  <Override PartName="/word/media/image6.wmf" ContentType="image/x-wmf"/>
  <Override PartName="/word/media/image7.wmf" ContentType="image/x-wmf"/>
  <Override PartName="/word/media/image9.wmf" ContentType="image/x-wmf"/>
  <Override PartName="/word/media/image10.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tabs>
          <w:tab w:val="clear" w:pos="708"/>
          <w:tab w:val="left" w:pos="-142" w:leader="none"/>
          <w:tab w:val="left" w:pos="1440" w:leader="none"/>
          <w:tab w:val="left" w:pos="2880" w:leader="none"/>
          <w:tab w:val="left" w:pos="3600" w:leader="none"/>
          <w:tab w:val="left" w:pos="4320" w:leader="none"/>
          <w:tab w:val="left" w:pos="5040" w:leader="none"/>
          <w:tab w:val="left" w:pos="7200" w:leader="none"/>
          <w:tab w:val="left" w:pos="7920" w:leader="none"/>
          <w:tab w:val="left" w:pos="8640" w:leader="none"/>
          <w:tab w:val="left" w:pos="9360" w:leader="none"/>
          <w:tab w:val="left" w:pos="10080" w:leader="none"/>
          <w:tab w:val="left" w:pos="10800" w:leader="none"/>
        </w:tabs>
        <w:spacing w:lineRule="auto" w:line="480"/>
        <w:ind w:right="851" w:hanging="0"/>
        <w:jc w:val="both"/>
        <w:outlineLvl w:val="0"/>
        <w:rPr>
          <w:rFonts w:ascii="Times New Roman" w:hAnsi="Times New Roman"/>
          <w:b/>
          <w:b/>
          <w:sz w:val="24"/>
          <w:szCs w:val="24"/>
          <w:lang w:val="en-US"/>
        </w:rPr>
      </w:pPr>
      <w:r>
        <w:rPr>
          <w:rFonts w:ascii="Times New Roman" w:hAnsi="Times New Roman"/>
          <w:b/>
          <w:sz w:val="24"/>
          <w:szCs w:val="24"/>
          <w:lang w:val="en-US"/>
        </w:rPr>
        <w:t>Colon cancer survival differs from right side to left side and lymph node harvest number matter</w:t>
      </w:r>
    </w:p>
    <w:p>
      <w:pPr>
        <w:pStyle w:val="Normal"/>
        <w:numPr>
          <w:ilvl w:val="0"/>
          <w:numId w:val="0"/>
        </w:numPr>
        <w:tabs>
          <w:tab w:val="clear" w:pos="708"/>
          <w:tab w:val="left" w:pos="-142" w:leader="none"/>
          <w:tab w:val="left" w:pos="1440" w:leader="none"/>
          <w:tab w:val="left" w:pos="2880" w:leader="none"/>
          <w:tab w:val="left" w:pos="3600" w:leader="none"/>
          <w:tab w:val="left" w:pos="4320" w:leader="none"/>
          <w:tab w:val="left" w:pos="5040" w:leader="none"/>
          <w:tab w:val="left" w:pos="7200" w:leader="none"/>
          <w:tab w:val="left" w:pos="7920" w:leader="none"/>
          <w:tab w:val="left" w:pos="8640" w:leader="none"/>
          <w:tab w:val="left" w:pos="9360" w:leader="none"/>
          <w:tab w:val="left" w:pos="10080" w:leader="none"/>
          <w:tab w:val="left" w:pos="10800" w:leader="none"/>
        </w:tabs>
        <w:spacing w:lineRule="auto" w:line="480"/>
        <w:ind w:right="851" w:hanging="0"/>
        <w:jc w:val="both"/>
        <w:outlineLvl w:val="0"/>
        <w:rPr>
          <w:rFonts w:ascii="Times New Roman" w:hAnsi="Times New Roman"/>
          <w:sz w:val="24"/>
          <w:szCs w:val="24"/>
        </w:rPr>
      </w:pPr>
      <w:r>
        <w:rPr>
          <w:rFonts w:ascii="Times New Roman" w:hAnsi="Times New Roman"/>
          <w:sz w:val="24"/>
          <w:szCs w:val="24"/>
        </w:rPr>
        <w:t>Lucia Mangone</w:t>
      </w:r>
      <w:r>
        <w:rPr>
          <w:rFonts w:ascii="Times New Roman" w:hAnsi="Times New Roman"/>
          <w:sz w:val="24"/>
          <w:szCs w:val="24"/>
          <w:vertAlign w:val="superscript"/>
        </w:rPr>
        <w:t>1</w:t>
      </w:r>
      <w:r>
        <w:rPr>
          <w:rFonts w:ascii="Times New Roman" w:hAnsi="Times New Roman"/>
          <w:sz w:val="24"/>
          <w:szCs w:val="24"/>
        </w:rPr>
        <w:t>, MD, Carmine Pinto</w:t>
      </w:r>
      <w:r>
        <w:rPr>
          <w:rFonts w:ascii="Times New Roman" w:hAnsi="Times New Roman"/>
          <w:sz w:val="24"/>
          <w:szCs w:val="24"/>
          <w:vertAlign w:val="superscript"/>
        </w:rPr>
        <w:t>2</w:t>
      </w:r>
      <w:r>
        <w:rPr>
          <w:rFonts w:ascii="Times New Roman" w:hAnsi="Times New Roman"/>
          <w:sz w:val="24"/>
          <w:szCs w:val="24"/>
        </w:rPr>
        <w:t>, MD, Pamela Mancuso</w:t>
      </w:r>
      <w:r>
        <w:rPr>
          <w:rFonts w:ascii="Times New Roman" w:hAnsi="Times New Roman"/>
          <w:sz w:val="24"/>
          <w:szCs w:val="24"/>
          <w:vertAlign w:val="superscript"/>
        </w:rPr>
        <w:t>1</w:t>
      </w:r>
      <w:r>
        <w:rPr>
          <w:rFonts w:ascii="Times New Roman" w:hAnsi="Times New Roman"/>
          <w:sz w:val="24"/>
          <w:szCs w:val="24"/>
        </w:rPr>
        <w:t>, MSc, Marta Ottone</w:t>
      </w:r>
      <w:r>
        <w:rPr>
          <w:rFonts w:ascii="Times New Roman" w:hAnsi="Times New Roman"/>
          <w:sz w:val="24"/>
          <w:szCs w:val="24"/>
          <w:vertAlign w:val="superscript"/>
        </w:rPr>
        <w:t>1</w:t>
      </w:r>
      <w:r>
        <w:rPr>
          <w:rFonts w:ascii="Times New Roman" w:hAnsi="Times New Roman"/>
          <w:sz w:val="24"/>
          <w:szCs w:val="24"/>
        </w:rPr>
        <w:t>, MSc, Isabella Bisceglia</w:t>
      </w:r>
      <w:r>
        <w:rPr>
          <w:rFonts w:ascii="Times New Roman" w:hAnsi="Times New Roman"/>
          <w:sz w:val="24"/>
          <w:szCs w:val="24"/>
          <w:vertAlign w:val="superscript"/>
        </w:rPr>
        <w:t>1</w:t>
      </w:r>
      <w:r>
        <w:rPr>
          <w:rFonts w:ascii="Times New Roman" w:hAnsi="Times New Roman"/>
          <w:sz w:val="24"/>
          <w:szCs w:val="24"/>
        </w:rPr>
        <w:t>, MSc, Giorgio Chiaranda</w:t>
      </w:r>
      <w:r>
        <w:rPr>
          <w:rFonts w:ascii="Times New Roman" w:hAnsi="Times New Roman"/>
          <w:sz w:val="24"/>
          <w:szCs w:val="24"/>
          <w:vertAlign w:val="superscript"/>
        </w:rPr>
        <w:t>3</w:t>
      </w:r>
      <w:r>
        <w:rPr>
          <w:rFonts w:ascii="Times New Roman" w:hAnsi="Times New Roman"/>
          <w:sz w:val="24"/>
          <w:szCs w:val="24"/>
        </w:rPr>
        <w:t>, MD, Maria Michiara</w:t>
      </w:r>
      <w:r>
        <w:rPr>
          <w:rFonts w:ascii="Times New Roman" w:hAnsi="Times New Roman"/>
          <w:sz w:val="24"/>
          <w:szCs w:val="24"/>
          <w:vertAlign w:val="superscript"/>
        </w:rPr>
        <w:t>4</w:t>
      </w:r>
      <w:r>
        <w:rPr>
          <w:rFonts w:ascii="Times New Roman" w:hAnsi="Times New Roman"/>
          <w:sz w:val="24"/>
          <w:szCs w:val="24"/>
        </w:rPr>
        <w:t>, MD, Massimo Vicentini</w:t>
      </w:r>
      <w:r>
        <w:rPr>
          <w:rFonts w:ascii="Times New Roman" w:hAnsi="Times New Roman"/>
          <w:sz w:val="24"/>
          <w:szCs w:val="24"/>
          <w:vertAlign w:val="superscript"/>
        </w:rPr>
        <w:t>1</w:t>
      </w:r>
      <w:r>
        <w:rPr>
          <w:rFonts w:ascii="Times New Roman" w:hAnsi="Times New Roman"/>
          <w:sz w:val="24"/>
          <w:szCs w:val="24"/>
        </w:rPr>
        <w:t>, MSc, Giuliano Carrozzi</w:t>
      </w:r>
      <w:r>
        <w:rPr>
          <w:rFonts w:ascii="Times New Roman" w:hAnsi="Times New Roman"/>
          <w:sz w:val="24"/>
          <w:szCs w:val="24"/>
          <w:vertAlign w:val="superscript"/>
        </w:rPr>
        <w:t>5</w:t>
      </w:r>
      <w:r>
        <w:rPr>
          <w:rFonts w:ascii="Times New Roman" w:hAnsi="Times New Roman"/>
          <w:sz w:val="24"/>
          <w:szCs w:val="24"/>
        </w:rPr>
        <w:t>, MD, Stefano Ferretti</w:t>
      </w:r>
      <w:r>
        <w:rPr>
          <w:rFonts w:ascii="Times New Roman" w:hAnsi="Times New Roman"/>
          <w:sz w:val="24"/>
          <w:szCs w:val="24"/>
          <w:vertAlign w:val="superscript"/>
        </w:rPr>
        <w:t>6</w:t>
      </w:r>
      <w:r>
        <w:rPr>
          <w:rFonts w:ascii="Times New Roman" w:hAnsi="Times New Roman"/>
          <w:sz w:val="24"/>
          <w:szCs w:val="24"/>
        </w:rPr>
        <w:t>, MD, Fabio Falcini</w:t>
      </w:r>
      <w:r>
        <w:rPr>
          <w:rFonts w:ascii="Times New Roman" w:hAnsi="Times New Roman"/>
          <w:sz w:val="24"/>
          <w:szCs w:val="24"/>
          <w:vertAlign w:val="superscript"/>
        </w:rPr>
        <w:t>7</w:t>
      </w:r>
      <w:r>
        <w:rPr>
          <w:rFonts w:ascii="Times New Roman" w:hAnsi="Times New Roman"/>
          <w:sz w:val="24"/>
          <w:szCs w:val="24"/>
        </w:rPr>
        <w:t>, MD, Cesare Hassan</w:t>
      </w:r>
      <w:r>
        <w:rPr>
          <w:rFonts w:ascii="Times New Roman" w:hAnsi="Times New Roman"/>
          <w:sz w:val="24"/>
          <w:szCs w:val="24"/>
          <w:vertAlign w:val="superscript"/>
        </w:rPr>
        <w:t>8</w:t>
      </w:r>
      <w:r>
        <w:rPr>
          <w:rFonts w:ascii="Times New Roman" w:hAnsi="Times New Roman"/>
          <w:sz w:val="24"/>
          <w:szCs w:val="24"/>
        </w:rPr>
        <w:t xml:space="preserve">, MD, Paolo Giorgi Rossi </w:t>
      </w:r>
      <w:r>
        <w:rPr>
          <w:rFonts w:ascii="Times New Roman" w:hAnsi="Times New Roman"/>
          <w:sz w:val="24"/>
          <w:szCs w:val="24"/>
          <w:vertAlign w:val="superscript"/>
        </w:rPr>
        <w:t>1</w:t>
      </w:r>
      <w:r>
        <w:rPr>
          <w:rFonts w:ascii="Times New Roman" w:hAnsi="Times New Roman"/>
          <w:sz w:val="24"/>
          <w:szCs w:val="24"/>
        </w:rPr>
        <w:t>, PhD</w:t>
      </w:r>
      <w:r>
        <w:rPr>
          <w:rFonts w:ascii="Times New Roman" w:hAnsi="Times New Roman"/>
          <w:sz w:val="24"/>
          <w:szCs w:val="24"/>
          <w:vertAlign w:val="superscript"/>
        </w:rPr>
        <w:t xml:space="preserve"> </w:t>
      </w:r>
    </w:p>
    <w:p>
      <w:pPr>
        <w:pStyle w:val="Normal"/>
        <w:spacing w:lineRule="auto" w:line="240"/>
        <w:jc w:val="both"/>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 Epidemiology Unit, Azienda Unità Sanitaria Locale-IRCCS di Reggio Emilia, Via Amendola 2, 42122   Reggio Emilia, Italy, MD</w:t>
      </w:r>
    </w:p>
    <w:p>
      <w:pPr>
        <w:pStyle w:val="Normal"/>
        <w:spacing w:lineRule="auto" w:line="240"/>
        <w:jc w:val="both"/>
        <w:rPr>
          <w:rFonts w:ascii="Times New Roman" w:hAnsi="Times New Roman"/>
          <w:sz w:val="24"/>
          <w:szCs w:val="24"/>
        </w:rPr>
      </w:pPr>
      <w:r>
        <w:rPr>
          <w:rFonts w:ascii="Times New Roman" w:hAnsi="Times New Roman"/>
          <w:sz w:val="24"/>
          <w:szCs w:val="24"/>
          <w:shd w:fill="FFFFFF" w:val="clear"/>
          <w:vertAlign w:val="superscript"/>
        </w:rPr>
        <w:t xml:space="preserve">2 </w:t>
      </w:r>
      <w:r>
        <w:rPr>
          <w:rFonts w:ascii="Times New Roman" w:hAnsi="Times New Roman"/>
          <w:sz w:val="24"/>
          <w:szCs w:val="24"/>
          <w:shd w:fill="FFFFFF" w:val="clear"/>
        </w:rPr>
        <w:t>Medical Oncology, AUSL-IRCCS di Reggio Emilia, Reggio Emilia, Italy, MD</w:t>
      </w:r>
    </w:p>
    <w:p>
      <w:pPr>
        <w:pStyle w:val="Normal"/>
        <w:spacing w:lineRule="auto" w:line="240"/>
        <w:jc w:val="both"/>
        <w:rPr>
          <w:rFonts w:ascii="Times New Roman" w:hAnsi="Times New Roman"/>
          <w:sz w:val="24"/>
          <w:szCs w:val="24"/>
        </w:rPr>
      </w:pPr>
      <w:r>
        <w:rPr>
          <w:rFonts w:ascii="Times New Roman" w:hAnsi="Times New Roman"/>
          <w:sz w:val="24"/>
          <w:szCs w:val="24"/>
          <w:shd w:fill="FFFFFF" w:val="clear"/>
          <w:vertAlign w:val="superscript"/>
          <w:lang w:val="en-GB"/>
        </w:rPr>
        <w:t xml:space="preserve">3 </w:t>
      </w:r>
      <w:r>
        <w:rPr>
          <w:rFonts w:ascii="Times New Roman" w:hAnsi="Times New Roman"/>
          <w:sz w:val="24"/>
          <w:szCs w:val="24"/>
          <w:shd w:fill="FFFFFF" w:val="clear"/>
          <w:lang w:val="en-GB"/>
        </w:rPr>
        <w:t>Public Health Department, AUSL Piacenza, Italy, MD</w:t>
      </w:r>
    </w:p>
    <w:p>
      <w:pPr>
        <w:pStyle w:val="Normal"/>
        <w:spacing w:lineRule="auto" w:line="240"/>
        <w:jc w:val="both"/>
        <w:rPr>
          <w:rFonts w:ascii="Times New Roman" w:hAnsi="Times New Roman"/>
          <w:sz w:val="24"/>
          <w:szCs w:val="24"/>
        </w:rPr>
      </w:pPr>
      <w:r>
        <w:rPr>
          <w:rFonts w:ascii="Times New Roman" w:hAnsi="Times New Roman"/>
          <w:sz w:val="24"/>
          <w:szCs w:val="24"/>
          <w:vertAlign w:val="superscript"/>
          <w:lang w:val="en-GB"/>
        </w:rPr>
        <w:t xml:space="preserve">4 </w:t>
      </w:r>
      <w:r>
        <w:rPr>
          <w:rFonts w:ascii="Times New Roman" w:hAnsi="Times New Roman"/>
          <w:sz w:val="24"/>
          <w:szCs w:val="24"/>
          <w:lang w:val="en-GB"/>
        </w:rPr>
        <w:t>Medical Oncology Unit, University Hospital of Parma, Parma, Italy, MD</w:t>
      </w:r>
    </w:p>
    <w:p>
      <w:pPr>
        <w:pStyle w:val="Normal"/>
        <w:spacing w:lineRule="auto" w:line="240"/>
        <w:jc w:val="both"/>
        <w:rPr>
          <w:rFonts w:ascii="Times New Roman" w:hAnsi="Times New Roman"/>
          <w:sz w:val="24"/>
          <w:szCs w:val="24"/>
        </w:rPr>
      </w:pPr>
      <w:r>
        <w:rPr>
          <w:rFonts w:ascii="Times New Roman" w:hAnsi="Times New Roman"/>
          <w:sz w:val="24"/>
          <w:szCs w:val="24"/>
          <w:vertAlign w:val="superscript"/>
        </w:rPr>
        <w:t>5</w:t>
      </w:r>
      <w:r>
        <w:rPr>
          <w:rFonts w:ascii="Times New Roman" w:hAnsi="Times New Roman"/>
          <w:sz w:val="24"/>
          <w:szCs w:val="24"/>
        </w:rPr>
        <w:t xml:space="preserve"> Epidemiology Unit, Azienda Unità Sanitaria Locale, Via Martiniana 21, 41126 Baggiovara (Modena), Italy, MD</w:t>
      </w:r>
    </w:p>
    <w:p>
      <w:pPr>
        <w:pStyle w:val="Normal"/>
        <w:spacing w:lineRule="auto" w:line="240"/>
        <w:jc w:val="both"/>
        <w:rPr>
          <w:rFonts w:ascii="Times New Roman" w:hAnsi="Times New Roman"/>
          <w:sz w:val="24"/>
          <w:szCs w:val="24"/>
        </w:rPr>
      </w:pPr>
      <w:r>
        <w:rPr>
          <w:rFonts w:ascii="Times New Roman" w:hAnsi="Times New Roman"/>
          <w:sz w:val="24"/>
          <w:szCs w:val="24"/>
          <w:shd w:fill="FFFFFF" w:val="clear"/>
          <w:vertAlign w:val="superscript"/>
          <w:lang w:val="en-GB"/>
        </w:rPr>
        <w:t xml:space="preserve">6 </w:t>
      </w:r>
      <w:r>
        <w:rPr>
          <w:rFonts w:ascii="Times New Roman" w:hAnsi="Times New Roman"/>
          <w:sz w:val="24"/>
          <w:szCs w:val="24"/>
          <w:shd w:fill="FFFFFF" w:val="clear"/>
          <w:lang w:val="en-GB"/>
        </w:rPr>
        <w:t>Romagna Cancer Registry - Section of Ferrara. Local Health Unit, University of Ferrara, Ferrara, Italy, MD</w:t>
      </w:r>
    </w:p>
    <w:p>
      <w:pPr>
        <w:pStyle w:val="Normal"/>
        <w:spacing w:lineRule="auto" w:line="240"/>
        <w:jc w:val="both"/>
        <w:rPr/>
      </w:pPr>
      <w:r>
        <w:rPr>
          <w:rFonts w:ascii="Times New Roman" w:hAnsi="Times New Roman"/>
          <w:sz w:val="24"/>
          <w:szCs w:val="24"/>
          <w:vertAlign w:val="superscript"/>
        </w:rPr>
        <w:t>7</w:t>
      </w:r>
      <w:r>
        <w:rPr>
          <w:rFonts w:ascii="Times New Roman" w:hAnsi="Times New Roman"/>
          <w:sz w:val="24"/>
          <w:szCs w:val="24"/>
        </w:rPr>
        <w:t xml:space="preserve"> </w:t>
      </w:r>
      <w:r>
        <w:rPr>
          <w:rFonts w:ascii="Times New Roman" w:hAnsi="Times New Roman"/>
          <w:sz w:val="24"/>
          <w:szCs w:val="24"/>
          <w:shd w:fill="FFFFFF" w:val="clear"/>
        </w:rPr>
        <w:t>Romagna </w:t>
      </w:r>
      <w:r>
        <w:rPr>
          <w:rStyle w:val="Markpo3u2uuje"/>
          <w:rFonts w:ascii="Times New Roman" w:hAnsi="Times New Roman"/>
          <w:sz w:val="24"/>
          <w:szCs w:val="24"/>
          <w:shd w:fill="FFFFFF" w:val="clear"/>
        </w:rPr>
        <w:t>Cancer</w:t>
      </w:r>
      <w:r>
        <w:rPr>
          <w:rFonts w:ascii="Times New Roman" w:hAnsi="Times New Roman"/>
          <w:sz w:val="24"/>
          <w:szCs w:val="24"/>
          <w:shd w:fill="FFFFFF" w:val="clear"/>
        </w:rPr>
        <w:t> Registry, Istituto Scientifico Romagnolo per lo Studio e la Cura dei Tumori (IRST), IRCCS, Meldola (Forlì), Italy-Azienda Usl della Romagna, Forlì, Italy, MD</w:t>
      </w:r>
    </w:p>
    <w:p>
      <w:pPr>
        <w:pStyle w:val="Normal"/>
        <w:spacing w:lineRule="auto" w:line="240"/>
        <w:jc w:val="both"/>
        <w:rPr>
          <w:rFonts w:ascii="Times New Roman" w:hAnsi="Times New Roman"/>
          <w:sz w:val="24"/>
          <w:szCs w:val="24"/>
        </w:rPr>
      </w:pPr>
      <w:r>
        <w:rPr>
          <w:rFonts w:ascii="Times New Roman" w:hAnsi="Times New Roman"/>
          <w:sz w:val="24"/>
          <w:szCs w:val="24"/>
          <w:shd w:fill="FFFFFF" w:val="clear"/>
          <w:vertAlign w:val="superscript"/>
        </w:rPr>
        <w:t>8</w:t>
      </w:r>
      <w:r>
        <w:rPr>
          <w:rFonts w:ascii="Times New Roman" w:hAnsi="Times New Roman"/>
          <w:sz w:val="24"/>
          <w:szCs w:val="24"/>
          <w:shd w:fill="FFFFFF" w:val="clear"/>
        </w:rPr>
        <w:t xml:space="preserve"> Endoscopy Unit, Nuovo Regina Margherita Hospital. Rome, Italy, MD</w:t>
      </w:r>
    </w:p>
    <w:p>
      <w:pPr>
        <w:pStyle w:val="Normal"/>
        <w:spacing w:lineRule="auto" w:line="240"/>
        <w:jc w:val="both"/>
        <w:rPr>
          <w:rFonts w:ascii="Times New Roman" w:hAnsi="Times New Roman"/>
          <w:color w:val="201F1E"/>
          <w:sz w:val="24"/>
          <w:szCs w:val="24"/>
          <w:shd w:fill="FFFFFF" w:val="clear"/>
        </w:rPr>
      </w:pPr>
      <w:r>
        <w:rPr>
          <w:rFonts w:ascii="Times New Roman" w:hAnsi="Times New Roman"/>
          <w:color w:val="201F1E"/>
          <w:sz w:val="24"/>
          <w:szCs w:val="24"/>
          <w:shd w:fill="FFFFFF" w:val="clear"/>
        </w:rPr>
      </w:r>
    </w:p>
    <w:p>
      <w:pPr>
        <w:pStyle w:val="Normal"/>
        <w:spacing w:lineRule="auto" w:line="480"/>
        <w:jc w:val="both"/>
        <w:rPr>
          <w:color w:val="201F1E"/>
          <w:shd w:fill="FFFFFF" w:val="clear"/>
        </w:rPr>
      </w:pPr>
      <w:r>
        <w:rPr>
          <w:rFonts w:ascii="Times New Roman" w:hAnsi="Times New Roman"/>
          <w:i/>
          <w:sz w:val="24"/>
          <w:szCs w:val="24"/>
        </w:rPr>
      </w:r>
    </w:p>
    <w:p>
      <w:pPr>
        <w:pStyle w:val="Normal"/>
        <w:spacing w:lineRule="auto" w:line="240"/>
        <w:jc w:val="both"/>
        <w:rPr>
          <w:rFonts w:ascii="Times New Roman" w:hAnsi="Times New Roman"/>
          <w:i/>
          <w:i/>
          <w:sz w:val="24"/>
          <w:szCs w:val="24"/>
        </w:rPr>
      </w:pPr>
      <w:r>
        <w:rPr>
          <w:rFonts w:ascii="Times New Roman" w:hAnsi="Times New Roman"/>
          <w:i/>
          <w:sz w:val="24"/>
          <w:szCs w:val="24"/>
        </w:rPr>
        <w:t>Corresponding author</w:t>
      </w:r>
    </w:p>
    <w:p>
      <w:pPr>
        <w:pStyle w:val="Normal"/>
        <w:spacing w:lineRule="auto" w:line="240"/>
        <w:jc w:val="both"/>
        <w:rPr>
          <w:rFonts w:ascii="Times New Roman" w:hAnsi="Times New Roman"/>
          <w:sz w:val="24"/>
          <w:szCs w:val="24"/>
        </w:rPr>
      </w:pPr>
      <w:r>
        <w:rPr>
          <w:rFonts w:ascii="Times New Roman" w:hAnsi="Times New Roman"/>
          <w:sz w:val="24"/>
          <w:szCs w:val="24"/>
        </w:rPr>
        <w:t>Lucia Mangone</w:t>
      </w:r>
    </w:p>
    <w:p>
      <w:pPr>
        <w:pStyle w:val="Normal"/>
        <w:spacing w:lineRule="auto" w:line="240"/>
        <w:jc w:val="both"/>
        <w:rPr>
          <w:rFonts w:ascii="Times New Roman" w:hAnsi="Times New Roman"/>
          <w:sz w:val="24"/>
          <w:szCs w:val="24"/>
        </w:rPr>
      </w:pPr>
      <w:r>
        <w:rPr>
          <w:rFonts w:ascii="Times New Roman" w:hAnsi="Times New Roman"/>
          <w:sz w:val="24"/>
          <w:szCs w:val="24"/>
        </w:rPr>
        <w:t>Epidemiology Unit, AUSL - IRCCS di Reggio Emilia,</w:t>
      </w:r>
    </w:p>
    <w:p>
      <w:pPr>
        <w:pStyle w:val="Normal"/>
        <w:spacing w:lineRule="auto" w:line="240"/>
        <w:jc w:val="both"/>
        <w:rPr>
          <w:rFonts w:ascii="Times New Roman" w:hAnsi="Times New Roman"/>
          <w:sz w:val="24"/>
          <w:szCs w:val="24"/>
        </w:rPr>
      </w:pPr>
      <w:r>
        <w:rPr>
          <w:rFonts w:ascii="Times New Roman" w:hAnsi="Times New Roman"/>
          <w:sz w:val="24"/>
          <w:szCs w:val="24"/>
        </w:rPr>
        <w:t>Via Amendola 2, 42122, Reggio Emilia, Italy</w:t>
      </w:r>
    </w:p>
    <w:p>
      <w:pPr>
        <w:sectPr>
          <w:type w:val="nextPage"/>
          <w:pgSz w:w="11906" w:h="16838"/>
          <w:pgMar w:left="1133" w:right="1134" w:header="0" w:top="1134" w:footer="0" w:bottom="1417" w:gutter="0"/>
          <w:pgNumType w:fmt="decimal"/>
          <w:formProt w:val="false"/>
          <w:textDirection w:val="lrTb"/>
          <w:docGrid w:type="default" w:linePitch="360" w:charSpace="4096"/>
        </w:sectPr>
        <w:pStyle w:val="Normal"/>
        <w:numPr>
          <w:ilvl w:val="0"/>
          <w:numId w:val="0"/>
        </w:numPr>
        <w:tabs>
          <w:tab w:val="clear" w:pos="708"/>
          <w:tab w:val="left" w:pos="-142" w:leader="none"/>
          <w:tab w:val="left" w:pos="1440" w:leader="none"/>
          <w:tab w:val="left" w:pos="2880" w:leader="none"/>
          <w:tab w:val="left" w:pos="3600" w:leader="none"/>
          <w:tab w:val="left" w:pos="4320" w:leader="none"/>
          <w:tab w:val="left" w:pos="5040" w:leader="none"/>
          <w:tab w:val="left" w:pos="7200" w:leader="none"/>
          <w:tab w:val="left" w:pos="7920" w:leader="none"/>
          <w:tab w:val="left" w:pos="8640" w:leader="none"/>
          <w:tab w:val="left" w:pos="9360" w:leader="none"/>
          <w:tab w:val="left" w:pos="10080" w:leader="none"/>
          <w:tab w:val="left" w:pos="10800" w:leader="none"/>
        </w:tabs>
        <w:spacing w:lineRule="auto" w:line="240"/>
        <w:ind w:right="851" w:hanging="0"/>
        <w:jc w:val="both"/>
        <w:outlineLvl w:val="0"/>
        <w:rPr>
          <w:rFonts w:ascii="Times New Roman" w:hAnsi="Times New Roman"/>
        </w:rPr>
      </w:pPr>
      <w:r>
        <w:rPr>
          <w:rFonts w:ascii="Times New Roman" w:hAnsi="Times New Roman"/>
          <w:sz w:val="36"/>
          <w:szCs w:val="36"/>
          <w:vertAlign w:val="superscript"/>
        </w:rPr>
        <w:t xml:space="preserve">e-mail: </w:t>
      </w:r>
      <w:hyperlink r:id="rId2">
        <w:r>
          <w:rPr>
            <w:rStyle w:val="CollegamentoInternet"/>
            <w:rFonts w:ascii="Times New Roman" w:hAnsi="Times New Roman"/>
            <w:color w:val="0000FF"/>
            <w:sz w:val="36"/>
            <w:szCs w:val="36"/>
            <w:u w:val="single"/>
            <w:vertAlign w:val="superscript"/>
          </w:rPr>
          <w:t>mangone.lucia@ausl.re.it</w:t>
        </w:r>
      </w:hyperlink>
    </w:p>
    <w:p>
      <w:pPr>
        <w:pStyle w:val="Normal"/>
        <w:spacing w:lineRule="auto" w:line="240"/>
        <w:rPr>
          <w:rFonts w:ascii="Courier New" w:hAnsi="Courier New" w:cs="Courier New"/>
          <w:sz w:val="18"/>
          <w:szCs w:val="18"/>
          <w:lang w:val="en-US"/>
        </w:rPr>
      </w:pPr>
      <w:bookmarkStart w:id="0" w:name="_GoBack"/>
      <w:bookmarkEnd w:id="0"/>
      <w:r>
        <w:rPr>
          <w:sz w:val="20"/>
          <w:szCs w:val="20"/>
          <w:lang w:val="en-US"/>
        </w:rPr>
        <w:t>Supplementary Table 1. Person years, number of deaths and censored (moved out of the cancer registry area) by cancer site, patient, and cancer characteristics. Incident colon cancer cases, Emilia-Romagna, Italy, 2000-2012, follow up to December 31, 2017.</w:t>
      </w:r>
    </w:p>
    <w:tbl>
      <w:tblPr>
        <w:tblW w:w="14443" w:type="dxa"/>
        <w:jc w:val="left"/>
        <w:tblInd w:w="-480" w:type="dxa"/>
        <w:tblLayout w:type="fixed"/>
        <w:tblCellMar>
          <w:top w:w="0" w:type="dxa"/>
          <w:left w:w="70" w:type="dxa"/>
          <w:bottom w:w="0" w:type="dxa"/>
          <w:right w:w="70" w:type="dxa"/>
        </w:tblCellMar>
        <w:tblLook w:firstRow="1" w:noVBand="1" w:lastRow="0" w:firstColumn="1" w:lastColumn="0" w:noHBand="0" w:val="04a0"/>
      </w:tblPr>
      <w:tblGrid>
        <w:gridCol w:w="1568"/>
        <w:gridCol w:w="1251"/>
        <w:gridCol w:w="1418"/>
        <w:gridCol w:w="1275"/>
        <w:gridCol w:w="1559"/>
        <w:gridCol w:w="1701"/>
        <w:gridCol w:w="1418"/>
        <w:gridCol w:w="1277"/>
        <w:gridCol w:w="1276"/>
        <w:gridCol w:w="1698"/>
      </w:tblGrid>
      <w:tr>
        <w:trPr>
          <w:trHeight w:val="300" w:hRule="atLeast"/>
        </w:trPr>
        <w:tc>
          <w:tcPr>
            <w:tcW w:w="15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200"/>
              <w:rPr>
                <w:rFonts w:ascii="Calibri" w:hAnsi="Calibri"/>
                <w:color w:val="000000"/>
                <w:sz w:val="20"/>
                <w:szCs w:val="20"/>
                <w:lang w:val="en-GB"/>
              </w:rPr>
            </w:pPr>
            <w:r>
              <w:rPr>
                <w:color w:val="000000"/>
                <w:sz w:val="20"/>
                <w:szCs w:val="20"/>
                <w:lang w:val="en-GB"/>
              </w:rPr>
            </w:r>
          </w:p>
        </w:tc>
        <w:tc>
          <w:tcPr>
            <w:tcW w:w="1251"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b/>
                <w:b/>
                <w:color w:val="000000"/>
                <w:sz w:val="20"/>
                <w:szCs w:val="20"/>
                <w:lang w:val="en-GB"/>
              </w:rPr>
            </w:pPr>
            <w:r>
              <w:rPr>
                <w:b/>
                <w:color w:val="000000"/>
                <w:sz w:val="20"/>
                <w:szCs w:val="20"/>
                <w:lang w:val="en-GB"/>
              </w:rPr>
            </w:r>
          </w:p>
        </w:tc>
        <w:tc>
          <w:tcPr>
            <w:tcW w:w="5953" w:type="dxa"/>
            <w:gridSpan w:val="4"/>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b/>
                <w:b/>
                <w:color w:val="000000"/>
                <w:sz w:val="20"/>
                <w:szCs w:val="20"/>
                <w:lang w:val="en-GB"/>
              </w:rPr>
            </w:pPr>
            <w:r>
              <w:rPr>
                <w:b/>
                <w:color w:val="000000"/>
                <w:sz w:val="20"/>
                <w:szCs w:val="20"/>
                <w:lang w:val="en-GB"/>
              </w:rPr>
              <w:t>Deaths</w:t>
            </w:r>
          </w:p>
        </w:tc>
        <w:tc>
          <w:tcPr>
            <w:tcW w:w="5669" w:type="dxa"/>
            <w:gridSpan w:val="4"/>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b/>
                <w:b/>
                <w:color w:val="000000"/>
                <w:sz w:val="20"/>
                <w:szCs w:val="20"/>
                <w:lang w:val="en-GB"/>
              </w:rPr>
            </w:pPr>
            <w:r>
              <w:rPr>
                <w:b/>
                <w:color w:val="000000"/>
                <w:sz w:val="20"/>
                <w:szCs w:val="20"/>
                <w:lang w:val="en-GB"/>
              </w:rPr>
              <w:t>Censored</w:t>
            </w:r>
          </w:p>
        </w:tc>
      </w:tr>
      <w:tr>
        <w:trPr>
          <w:trHeight w:val="300" w:hRule="atLeast"/>
        </w:trPr>
        <w:tc>
          <w:tcPr>
            <w:tcW w:w="1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sz w:val="20"/>
                <w:szCs w:val="20"/>
                <w:lang w:val="en-GB"/>
              </w:rPr>
            </w:pPr>
            <w:r>
              <w:rPr>
                <w:color w:val="000000"/>
                <w:sz w:val="20"/>
                <w:szCs w:val="20"/>
                <w:lang w:val="en-GB"/>
              </w:rPr>
            </w:r>
          </w:p>
        </w:tc>
        <w:tc>
          <w:tcPr>
            <w:tcW w:w="1251" w:type="dxa"/>
            <w:tcBorders>
              <w:top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Calibri" w:hAnsi="Calibri"/>
                <w:color w:val="000000"/>
                <w:sz w:val="20"/>
                <w:szCs w:val="20"/>
                <w:lang w:val="en-GB"/>
              </w:rPr>
            </w:pPr>
            <w:r>
              <w:rPr>
                <w:color w:val="000000"/>
                <w:sz w:val="20"/>
                <w:szCs w:val="20"/>
                <w:lang w:val="en-GB"/>
              </w:rPr>
              <w:t>Person years</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Calibri" w:hAnsi="Calibri"/>
                <w:i/>
                <w:i/>
                <w:color w:val="000000"/>
                <w:sz w:val="20"/>
                <w:szCs w:val="20"/>
                <w:lang w:val="en-GB"/>
              </w:rPr>
            </w:pPr>
            <w:r>
              <w:rPr>
                <w:color w:val="000000"/>
                <w:sz w:val="20"/>
                <w:szCs w:val="20"/>
                <w:lang w:val="en-GB"/>
              </w:rPr>
              <w:t>Total N. (%)</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Calibri" w:hAnsi="Calibri"/>
                <w:i/>
                <w:i/>
                <w:color w:val="000000"/>
                <w:sz w:val="20"/>
                <w:szCs w:val="20"/>
                <w:lang w:val="en-GB"/>
              </w:rPr>
            </w:pPr>
            <w:r>
              <w:rPr>
                <w:i/>
                <w:color w:val="000000"/>
                <w:sz w:val="20"/>
                <w:szCs w:val="20"/>
                <w:lang w:val="en-GB"/>
              </w:rPr>
              <w:t>Right N (%)</w:t>
            </w:r>
          </w:p>
        </w:tc>
        <w:tc>
          <w:tcPr>
            <w:tcW w:w="155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Calibri" w:hAnsi="Calibri"/>
                <w:i/>
                <w:i/>
                <w:color w:val="000000"/>
                <w:sz w:val="20"/>
                <w:szCs w:val="20"/>
                <w:lang w:val="en-GB"/>
              </w:rPr>
            </w:pPr>
            <w:r>
              <w:rPr>
                <w:i/>
                <w:color w:val="000000"/>
                <w:sz w:val="20"/>
                <w:szCs w:val="20"/>
                <w:lang w:val="en-GB"/>
              </w:rPr>
              <w:t>Left N (%)</w:t>
            </w:r>
          </w:p>
        </w:tc>
        <w:tc>
          <w:tcPr>
            <w:tcW w:w="1701"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Calibri" w:hAnsi="Calibri"/>
                <w:i/>
                <w:i/>
                <w:color w:val="000000"/>
                <w:sz w:val="20"/>
                <w:szCs w:val="20"/>
                <w:lang w:val="en-GB"/>
              </w:rPr>
            </w:pPr>
            <w:r>
              <w:rPr>
                <w:i/>
                <w:color w:val="000000"/>
                <w:sz w:val="20"/>
                <w:szCs w:val="20"/>
                <w:lang w:val="en-GB"/>
              </w:rPr>
              <w:t>Transverse (N. (%)</w:t>
            </w:r>
          </w:p>
        </w:tc>
        <w:tc>
          <w:tcPr>
            <w:tcW w:w="1418"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Calibri" w:hAnsi="Calibri"/>
                <w:color w:val="000000"/>
                <w:sz w:val="20"/>
                <w:szCs w:val="20"/>
                <w:lang w:val="en-GB"/>
              </w:rPr>
            </w:pPr>
            <w:r>
              <w:rPr>
                <w:color w:val="000000"/>
                <w:sz w:val="20"/>
                <w:szCs w:val="20"/>
                <w:lang w:val="en-GB"/>
              </w:rPr>
              <w:t>Total N. (%)</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Calibri" w:hAnsi="Calibri"/>
                <w:color w:val="000000"/>
                <w:sz w:val="20"/>
                <w:szCs w:val="20"/>
                <w:lang w:val="en-GB"/>
              </w:rPr>
            </w:pPr>
            <w:r>
              <w:rPr>
                <w:i/>
                <w:color w:val="000000"/>
                <w:sz w:val="20"/>
                <w:szCs w:val="20"/>
                <w:lang w:val="en-GB"/>
              </w:rPr>
              <w:t>Right N (%)</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Calibri" w:hAnsi="Calibri"/>
                <w:i/>
                <w:i/>
                <w:color w:val="000000"/>
                <w:sz w:val="20"/>
                <w:szCs w:val="20"/>
                <w:lang w:val="en-GB"/>
              </w:rPr>
            </w:pPr>
            <w:r>
              <w:rPr>
                <w:i/>
                <w:color w:val="000000"/>
                <w:sz w:val="20"/>
                <w:szCs w:val="20"/>
                <w:lang w:val="en-GB"/>
              </w:rPr>
              <w:t>Left N (%)</w:t>
            </w:r>
          </w:p>
        </w:tc>
        <w:tc>
          <w:tcPr>
            <w:tcW w:w="169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jc w:val="center"/>
              <w:rPr>
                <w:rFonts w:ascii="Calibri" w:hAnsi="Calibri"/>
                <w:color w:val="000000"/>
                <w:sz w:val="20"/>
                <w:szCs w:val="20"/>
                <w:lang w:val="en-GB"/>
              </w:rPr>
            </w:pPr>
            <w:r>
              <w:rPr>
                <w:i/>
                <w:color w:val="000000"/>
                <w:sz w:val="20"/>
                <w:szCs w:val="20"/>
                <w:lang w:val="en-GB"/>
              </w:rPr>
              <w:t>Transverse N. (%)</w:t>
            </w:r>
          </w:p>
        </w:tc>
      </w:tr>
      <w:tr>
        <w:trPr>
          <w:trHeight w:val="300"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Overall</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161,450</w:t>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16,885 (100%)</w:t>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5,264 (31.2%)</w:t>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10,615 (62.9%)</w:t>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1,006 (6.0%)</w:t>
            </w:r>
          </w:p>
        </w:tc>
        <w:tc>
          <w:tcPr>
            <w:tcW w:w="1418"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352 (100%)</w:t>
            </w:r>
          </w:p>
        </w:tc>
        <w:tc>
          <w:tcPr>
            <w:tcW w:w="1277" w:type="dxa"/>
            <w:tcBorders>
              <w:top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101 (28.7)</w:t>
            </w:r>
          </w:p>
        </w:tc>
        <w:tc>
          <w:tcPr>
            <w:tcW w:w="1276"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226 (64.2)</w:t>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 (7.1)</w:t>
            </w:r>
          </w:p>
        </w:tc>
      </w:tr>
      <w:tr>
        <w:trPr>
          <w:trHeight w:val="300"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Age years (SD)</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75.1 (11.0)</w:t>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76.4 (10.3)</w:t>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74.3 (11.2)</w:t>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76.4 (11.0)</w:t>
            </w:r>
          </w:p>
        </w:tc>
        <w:tc>
          <w:tcPr>
            <w:tcW w:w="1418"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67.4 (14.3)</w:t>
            </w:r>
          </w:p>
        </w:tc>
        <w:tc>
          <w:tcPr>
            <w:tcW w:w="1277" w:type="dxa"/>
            <w:tcBorders>
              <w:top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71.1 (12.7)</w:t>
            </w:r>
          </w:p>
        </w:tc>
        <w:tc>
          <w:tcPr>
            <w:tcW w:w="1276"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66.1 (14.9)</w:t>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64.5 (12.9)</w:t>
            </w:r>
          </w:p>
        </w:tc>
      </w:tr>
      <w:tr>
        <w:trPr>
          <w:trHeight w:val="324"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Sex</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7" w:type="dxa"/>
            <w:tcBorders>
              <w:top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6" w:type="dxa"/>
            <w:tcBorders>
              <w:left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Male</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88,784</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9,560 (56.6%)</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2,684 (51.0%)</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6,341 (59.7%)</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535 (53.2%)</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179 (50.9)</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42 (41.6)</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121 (53.5)</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16 (64.0)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Female</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72,666</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7,325 (43.4%)</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2,580 (49.0%)</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4,274 (40.3%)</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471 (46.8%)</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173 (49.2)</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59 (58.4)</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105 (46.5)</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 (36.0)</w:t>
            </w:r>
          </w:p>
        </w:tc>
      </w:tr>
      <w:tr>
        <w:trPr>
          <w:trHeight w:val="300"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Stage</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7" w:type="dxa"/>
            <w:tcBorders>
              <w:top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6" w:type="dxa"/>
            <w:tcBorders>
              <w:left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Stage I</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49,749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2,060 (12.2%)</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504 (9.6%)</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1,483 (14.0%)</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73 (7.3%)</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82 (23.3)</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19 (18.8)</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61 (27.0)</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 (8.0)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Stage II</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52,394</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3,776 (22.4)</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1,344 (25.5%)</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2,157 (20.3%)</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275 (27.3%)</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118 (33.5)</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44 (43.6)</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61 (27.0)</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13 (52.0)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Stage III</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40,458</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4,184 (24.8%)</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1,435 (27.3%)</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2,497 (23.5%)</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252 (25.1%)</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94 (26.7)</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23 (22.8)</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62 (27.4)</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 (36.0)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Stage IV</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1,0371</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4,898 (29.0%)</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1,537 (29.2%)</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3,047 (28.7%)</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314 (31.2%)</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24 (6.8)</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 (8.9)</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 (6.2)</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 (4.0)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Unknown</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8,479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1,967 (11.7%)</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444 (8.4%)</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1,431 (13.5%)</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92 (9.2%)</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34 (9.7)</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 (5.9)</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28 (12.4)</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 (0)</w:t>
            </w:r>
          </w:p>
        </w:tc>
      </w:tr>
      <w:tr>
        <w:trPr>
          <w:trHeight w:val="300"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Grade</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7" w:type="dxa"/>
            <w:tcBorders>
              <w:top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6" w:type="dxa"/>
            <w:tcBorders>
              <w:left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G1</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19,081</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1,075 (6.4%)</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299 (5.7%)</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732 (6.9%)</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44 (4.4%)</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44 (12.5)</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 (6.9)</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36 (15.9)</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 (4.0)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G2</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94,187</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7,867 (46.6%)</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2,234 (42.4%)</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5,151 (48.5%)</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482 (47.9%)</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176 (50.0)</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53 (52.5)</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108 (47.8)</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15 (60.0)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G3-4</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29,538</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4,045 (24.0%)</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1,694 (32.2%)</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2,098 (19.8%)</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253 (25.2%)</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68 (19.3)</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24 (23.8)</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35 (15.5)</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 (36.0)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Unknown</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18,643</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3,898 (23.1%)</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1,037 (19.7%)</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2,634 (24.8%)</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227 (22.6%)</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64 (18.2)</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17 (16.8)</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47 (20.8)</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 (0)</w:t>
            </w:r>
          </w:p>
        </w:tc>
      </w:tr>
      <w:tr>
        <w:trPr>
          <w:trHeight w:val="300"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Histological type</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7" w:type="dxa"/>
            <w:tcBorders>
              <w:top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6" w:type="dxa"/>
            <w:tcBorders>
              <w:left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r>
      <w:tr>
        <w:trPr>
          <w:trHeight w:val="315"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Carcinoma NOS</w:t>
            </w:r>
            <w:r>
              <w:rPr>
                <w:color w:val="000000" w:themeColor="text1"/>
                <w:sz w:val="20"/>
                <w:szCs w:val="20"/>
                <w:vertAlign w:val="superscript"/>
                <w:lang w:val="en-GB"/>
              </w:rPr>
              <w:t>a</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1,793</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1,173 (7.0%)</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379 (7.2%)</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715 (6.7%)</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79 (7.9%)</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18 (5.1)</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 (3.0)</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15 (6.6)</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 (0)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Adenocarcinoma</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147,554</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14,224 (84.2%)</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4,201 (79.8%)</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9,212 (86.8%)</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811 (80.6%)</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305 (86.7)</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82 (81.2)</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202 (89.4)</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21 (84.0)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Mucinous</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11,805</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1,457 (8.6%)</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668 (12.7%)</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677 (6.4%)</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112 (11.1%)</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27 (7.7)</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15 (14.9)</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 (3.5)</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 (16.0)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Other</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298</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31 (0.2%)</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16 (0.3%)</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 (0.1%)</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 (0.4%)</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 (0.6)</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 (1.0)</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 (0.4)</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 (0)</w:t>
            </w:r>
          </w:p>
        </w:tc>
      </w:tr>
      <w:tr>
        <w:trPr>
          <w:trHeight w:val="300"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Surgery</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7" w:type="dxa"/>
            <w:tcBorders>
              <w:top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6" w:type="dxa"/>
            <w:tcBorders>
              <w:left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No</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1,666</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1,194 (7.1%)</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389 (7.4%)</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730 (6.9%)</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75 (7.5%)</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21 (6.0)</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 (3.0)</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18 (8.0)</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 (0)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Yes</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159,784</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15,691 (92.9%)</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4,875 (92.6%)</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9,885 (93.1%)</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931 (92.5%)</w:t>
            </w:r>
          </w:p>
        </w:tc>
        <w:tc>
          <w:tcPr>
            <w:tcW w:w="1418"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331 (94.0)</w:t>
            </w:r>
          </w:p>
        </w:tc>
        <w:tc>
          <w:tcPr>
            <w:tcW w:w="1277" w:type="dxa"/>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98 (97.0)</w:t>
            </w:r>
          </w:p>
        </w:tc>
        <w:tc>
          <w:tcPr>
            <w:tcW w:w="1276"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208 (92.0)</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 (100)</w:t>
            </w:r>
          </w:p>
        </w:tc>
      </w:tr>
      <w:tr>
        <w:trPr>
          <w:trHeight w:val="300"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Lymph nodes</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7" w:type="dxa"/>
            <w:tcBorders>
              <w:top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6" w:type="dxa"/>
            <w:tcBorders>
              <w:left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Removed</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141,187</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12,409 (73.5%)</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4,248 (80.7%)</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7,395 (69.7%)</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766 (76.1%)</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285 (81.0)</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87 (86.1)</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173 (76.5)</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 (100)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 xml:space="preserve">  </w:t>
            </w:r>
            <w:r>
              <w:rPr>
                <w:color w:val="000000" w:themeColor="text1"/>
                <w:sz w:val="20"/>
                <w:szCs w:val="20"/>
                <w:lang w:val="en-GB"/>
              </w:rPr>
              <w:t>&lt; 12</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38,269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3,633 (29.3%)</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794 (18.7%)</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2,585 (35.0%)</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254 (33.2%)</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47 (16.5)</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 (11.5)</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34 (19.7)</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 (12.0)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 xml:space="preserve">  </w:t>
            </w:r>
            <w:r>
              <w:rPr>
                <w:color w:val="000000" w:themeColor="text1"/>
                <w:sz w:val="20"/>
                <w:szCs w:val="20"/>
                <w:lang w:val="en-GB"/>
              </w:rPr>
              <w:t>12-21</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63,571</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5,774 (46.5%)</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2,120 (49.9%)</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3,330 (45.0%)</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324 (42.3%)</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136 (47.7)</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41 (47.1)</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84 (48.6)</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 (44.0)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 xml:space="preserve">  </w:t>
            </w:r>
            <w:r>
              <w:rPr>
                <w:color w:val="000000" w:themeColor="text1"/>
                <w:sz w:val="20"/>
                <w:szCs w:val="20"/>
                <w:lang w:val="en-GB"/>
              </w:rPr>
              <w:t>&gt; 21</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39,348</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3,002 (24.2%)</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1,334 (31.4%)</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1,480 (20.0%)</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188 (24.5%)</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102 (35.8)</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36 (41.4)</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55 (31.8)</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 (44.0)</w:t>
            </w:r>
          </w:p>
        </w:tc>
      </w:tr>
      <w:tr>
        <w:trPr>
          <w:trHeight w:val="300" w:hRule="atLeast"/>
        </w:trPr>
        <w:tc>
          <w:tcPr>
            <w:tcW w:w="156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Screening</w:t>
            </w:r>
          </w:p>
        </w:tc>
        <w:tc>
          <w:tcPr>
            <w:tcW w:w="1251"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5" w:type="dxa"/>
            <w:tcBorders>
              <w:top w:val="single" w:sz="4" w:space="0" w:color="000000"/>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559"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701" w:type="dxa"/>
            <w:tcBorders>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418" w:type="dxa"/>
            <w:tcBorders>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7" w:type="dxa"/>
            <w:tcBorders>
              <w:top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276" w:type="dxa"/>
            <w:tcBorders>
              <w:left w:val="single" w:sz="4" w:space="0" w:color="000000"/>
              <w:bottom w:val="single" w:sz="4" w:space="0" w:color="000000"/>
              <w:right w:val="single" w:sz="4" w:space="0" w:color="000000"/>
            </w:tcBorders>
            <w:shd w:color="000000" w:fill="DDD9C3" w:val="clea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1698" w:type="dxa"/>
            <w:tcBorders>
              <w:left w:val="single" w:sz="4" w:space="0" w:color="000000"/>
              <w:bottom w:val="single" w:sz="4" w:space="0" w:color="000000"/>
              <w:right w:val="single" w:sz="4" w:space="0" w:color="000000"/>
            </w:tcBorders>
            <w:shd w:color="000000" w:fill="DDD9C3"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Not invited</w:t>
            </w:r>
          </w:p>
        </w:tc>
        <w:tc>
          <w:tcPr>
            <w:tcW w:w="1251" w:type="dxa"/>
            <w:tcBorders>
              <w:bottom w:val="single" w:sz="4" w:space="0" w:color="000000"/>
              <w:right w:val="single" w:sz="4" w:space="0" w:color="000000"/>
            </w:tcBorders>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10,280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605 (17.5%)</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141 (14.3%)</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434 (18.9%)</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30 (16.5%)</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 (21.9)</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 (25.8)</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17 (21.8)</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Invited</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53,159</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2,863 (82.6%)</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847 (85.7%)</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1,864 (81.1%)</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152 (83.5%)</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89 (78.1)</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23 (74.2)</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61 (78.2)</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 (100)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 xml:space="preserve">  </w:t>
            </w:r>
            <w:r>
              <w:rPr>
                <w:color w:val="000000" w:themeColor="text1"/>
                <w:sz w:val="20"/>
                <w:szCs w:val="20"/>
                <w:lang w:val="en-GB"/>
              </w:rPr>
              <w:t>Screen-detected</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28,125</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744 (26.0%)</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205 (24.2%)</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499 (26.8%)</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40 (26.3%)</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31 (34.8)</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7 (30.4)</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24 (39.3)</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 xml:space="preserve">  </w:t>
            </w:r>
            <w:r>
              <w:rPr>
                <w:color w:val="000000" w:themeColor="text1"/>
                <w:sz w:val="20"/>
                <w:szCs w:val="20"/>
                <w:lang w:val="en-GB"/>
              </w:rPr>
              <w:t>Interval cancer</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6,311</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432 (15.1%)</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183 (21.6%)</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222 (11.9%)</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27 (17.8%)</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 (3.4)</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 (8.7)</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 (1.6)</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w:t>
            </w:r>
          </w:p>
        </w:tc>
      </w:tr>
      <w:tr>
        <w:trPr>
          <w:trHeight w:val="300" w:hRule="atLeast"/>
        </w:trPr>
        <w:tc>
          <w:tcPr>
            <w:tcW w:w="156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Non-attendees</w:t>
            </w:r>
          </w:p>
        </w:tc>
        <w:tc>
          <w:tcPr>
            <w:tcW w:w="1251" w:type="dxa"/>
            <w:tcBorders>
              <w:bottom w:val="single" w:sz="4" w:space="0" w:color="000000"/>
              <w:right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18,723</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1,687 (58.9%)</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459 (54.2%)</w:t>
            </w:r>
          </w:p>
        </w:tc>
        <w:tc>
          <w:tcPr>
            <w:tcW w:w="1559"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1,143 (61.3%)</w:t>
            </w:r>
          </w:p>
        </w:tc>
        <w:tc>
          <w:tcPr>
            <w:tcW w:w="1701" w:type="dxa"/>
            <w:tcBorders>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85 (55.9%)</w:t>
            </w:r>
          </w:p>
        </w:tc>
        <w:tc>
          <w:tcPr>
            <w:tcW w:w="1418" w:type="dxa"/>
            <w:tcBorders>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55 (61.8)</w:t>
            </w:r>
          </w:p>
        </w:tc>
        <w:tc>
          <w:tcPr>
            <w:tcW w:w="127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 (60.9)</w:t>
            </w:r>
          </w:p>
        </w:tc>
        <w:tc>
          <w:tcPr>
            <w:tcW w:w="127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36 (59.0)</w:t>
            </w:r>
          </w:p>
        </w:tc>
        <w:tc>
          <w:tcPr>
            <w:tcW w:w="1698"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5 (100)</w:t>
            </w:r>
          </w:p>
        </w:tc>
      </w:tr>
    </w:tbl>
    <w:p>
      <w:pPr>
        <w:sectPr>
          <w:type w:val="nextPage"/>
          <w:pgSz w:orient="landscape" w:w="16838" w:h="11906"/>
          <w:pgMar w:left="1417" w:right="1134" w:header="0" w:top="1133" w:footer="0" w:bottom="1134" w:gutter="0"/>
          <w:pgNumType w:fmt="decimal"/>
          <w:formProt w:val="false"/>
          <w:textDirection w:val="lrTb"/>
          <w:docGrid w:type="default" w:linePitch="360" w:charSpace="4096"/>
        </w:sectPr>
        <w:pStyle w:val="Normal"/>
        <w:rPr>
          <w:rFonts w:ascii="Courier New" w:hAnsi="Courier New" w:cs="Courier New"/>
          <w:sz w:val="18"/>
          <w:szCs w:val="18"/>
          <w:lang w:val="en-GB"/>
        </w:rPr>
      </w:pPr>
      <w:r>
        <w:rPr>
          <w:color w:val="000000" w:themeColor="text1"/>
          <w:sz w:val="20"/>
          <w:szCs w:val="20"/>
          <w:vertAlign w:val="superscript"/>
          <w:lang w:val="en-GB"/>
        </w:rPr>
        <w:t>a</w:t>
      </w:r>
      <w:r>
        <w:rPr>
          <w:color w:val="000000" w:themeColor="text1"/>
          <w:sz w:val="20"/>
          <w:szCs w:val="20"/>
          <w:lang w:val="en-GB"/>
        </w:rPr>
        <w:t xml:space="preserve">not otherwise specified; </w:t>
      </w:r>
      <w:r>
        <w:rPr>
          <w:color w:val="000000"/>
          <w:sz w:val="20"/>
          <w:szCs w:val="20"/>
          <w:lang w:val="en-GB"/>
        </w:rPr>
        <w:t>SD: standard deviation</w:t>
      </w:r>
    </w:p>
    <w:p>
      <w:pPr>
        <w:pStyle w:val="Normal"/>
        <w:spacing w:lineRule="auto" w:line="240"/>
        <w:rPr>
          <w:rFonts w:ascii="Arial" w:hAnsi="Arial" w:cs="Arial"/>
          <w:sz w:val="18"/>
          <w:szCs w:val="18"/>
          <w:lang w:val="en-GB"/>
        </w:rPr>
      </w:pPr>
      <w:r>
        <w:rPr>
          <w:rFonts w:cs="Arial" w:ascii="Arial" w:hAnsi="Arial"/>
          <w:sz w:val="18"/>
          <w:szCs w:val="18"/>
          <w:lang w:val="en-GB"/>
        </w:rPr>
      </w:r>
    </w:p>
    <w:p>
      <w:pPr>
        <w:pStyle w:val="Normal"/>
        <w:spacing w:lineRule="auto" w:line="240"/>
        <w:rPr>
          <w:rFonts w:ascii="Arial" w:hAnsi="Arial" w:cs="Arial"/>
          <w:b/>
          <w:b/>
          <w:sz w:val="18"/>
          <w:szCs w:val="18"/>
          <w:lang w:val="en-GB"/>
        </w:rPr>
      </w:pPr>
      <w:r>
        <w:rPr>
          <w:rFonts w:cs="Arial" w:ascii="Arial" w:hAnsi="Arial"/>
          <w:b/>
          <w:sz w:val="18"/>
          <w:szCs w:val="18"/>
          <w:lang w:val="en-GB"/>
        </w:rPr>
        <w:t>Supplementary</w:t>
      </w:r>
      <w:r>
        <w:rPr>
          <w:rFonts w:cs="Arial" w:ascii="Arial" w:hAnsi="Arial"/>
          <w:sz w:val="18"/>
          <w:szCs w:val="18"/>
          <w:lang w:val="en-GB"/>
        </w:rPr>
        <w:t xml:space="preserve"> </w:t>
      </w:r>
      <w:r>
        <w:rPr>
          <w:rFonts w:cs="Arial" w:ascii="Arial" w:hAnsi="Arial"/>
          <w:b/>
          <w:sz w:val="18"/>
          <w:szCs w:val="18"/>
          <w:lang w:val="en-GB"/>
        </w:rPr>
        <w:t xml:space="preserve">Figure 1. Directed acyclic graph of the putative causal pathway linking colon cancer site with cancer survival. </w:t>
      </w:r>
    </w:p>
    <w:p>
      <w:pPr>
        <w:pStyle w:val="Normal"/>
        <w:rPr>
          <w:rFonts w:ascii="Arial" w:hAnsi="Arial" w:cs="Arial"/>
          <w:b/>
          <w:b/>
          <w:sz w:val="18"/>
          <w:szCs w:val="18"/>
          <w:lang w:val="en-GB"/>
        </w:rPr>
      </w:pPr>
      <w:r>
        <w:rPr/>
        <w:drawing>
          <wp:inline distT="0" distB="0" distL="0" distR="0">
            <wp:extent cx="6208395" cy="4235450"/>
            <wp:effectExtent l="0" t="0" r="0" b="0"/>
            <wp:docPr id="1" name="Immagine 20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051" descr=""/>
                    <pic:cNvPicPr>
                      <a:picLocks noChangeAspect="1" noChangeArrowheads="1"/>
                    </pic:cNvPicPr>
                  </pic:nvPicPr>
                  <pic:blipFill>
                    <a:blip r:embed="rId3"/>
                    <a:stretch>
                      <a:fillRect/>
                    </a:stretch>
                  </pic:blipFill>
                  <pic:spPr bwMode="auto">
                    <a:xfrm>
                      <a:off x="0" y="0"/>
                      <a:ext cx="6208395" cy="4235450"/>
                    </a:xfrm>
                    <a:prstGeom prst="rect">
                      <a:avLst/>
                    </a:prstGeom>
                  </pic:spPr>
                </pic:pic>
              </a:graphicData>
            </a:graphic>
          </wp:inline>
        </w:drawing>
      </w:r>
    </w:p>
    <w:p>
      <w:pPr>
        <w:pStyle w:val="Normal"/>
        <w:rPr>
          <w:rFonts w:ascii="Arial" w:hAnsi="Arial" w:cs="Arial"/>
          <w:sz w:val="18"/>
          <w:szCs w:val="18"/>
          <w:lang w:val="en-US"/>
        </w:rPr>
      </w:pPr>
      <w:r>
        <w:rPr>
          <w:rFonts w:cs="Arial" w:ascii="Arial" w:hAnsi="Arial"/>
          <w:b/>
          <w:sz w:val="18"/>
          <w:szCs w:val="18"/>
          <w:lang w:val="en-GB"/>
        </w:rPr>
        <w:t>Legend</w:t>
      </w:r>
      <w:r>
        <w:rPr>
          <w:rFonts w:cs="Arial" w:ascii="Arial" w:hAnsi="Arial"/>
          <w:sz w:val="18"/>
          <w:szCs w:val="18"/>
          <w:lang w:val="en-US"/>
        </w:rPr>
        <w:t xml:space="preserve">. </w:t>
      </w:r>
    </w:p>
    <w:p>
      <w:pPr>
        <w:pStyle w:val="Normal"/>
        <w:rPr>
          <w:rFonts w:ascii="Arial" w:hAnsi="Arial" w:cs="Arial"/>
          <w:sz w:val="18"/>
          <w:szCs w:val="18"/>
          <w:lang w:val="en-US"/>
        </w:rPr>
      </w:pPr>
      <w:r>
        <w:rPr>
          <w:rFonts w:cs="Arial" w:ascii="Arial" w:hAnsi="Arial"/>
          <w:sz w:val="18"/>
          <w:szCs w:val="18"/>
          <w:lang w:val="en-US"/>
        </w:rPr>
        <w:t xml:space="preserve">Cancer site is influenced by  screening (screening reduces the incidence of left cancers), age, and sex (right cancers are more common in older subjects and in females); cancer site influences the probability of early detection (left side usually detected at earlier stage), and is also associated with the number of removed lymph nodes; age and sex are possible confounders since they are associated also with death, screening status, stage and grade, and the number of removed lymph nodes; stage, grade, and histotype are possible mediators of the effect of screening on survival, and the number of removed lymph nodes may be a mediator of the effect of screening and of the cancer site. Finally, the number of lymph nodes removed may also mediate the effect of stage on mortality. </w:t>
      </w:r>
    </w:p>
    <w:p>
      <w:pPr>
        <w:pStyle w:val="Normal"/>
        <w:spacing w:lineRule="auto" w:line="240"/>
        <w:rPr>
          <w:rFonts w:ascii="Arial" w:hAnsi="Arial" w:cs="Arial"/>
          <w:sz w:val="18"/>
          <w:szCs w:val="18"/>
          <w:lang w:val="en-US"/>
        </w:rPr>
      </w:pPr>
      <w:r>
        <w:rPr>
          <w:rFonts w:cs="Arial" w:ascii="Arial" w:hAnsi="Arial"/>
          <w:sz w:val="18"/>
          <w:szCs w:val="18"/>
          <w:lang w:val="en-US"/>
        </w:rPr>
      </w:r>
    </w:p>
    <w:p>
      <w:pPr>
        <w:pStyle w:val="Normal"/>
        <w:rPr>
          <w:rFonts w:ascii="Arial" w:hAnsi="Arial" w:cs="Arial"/>
          <w:b/>
          <w:b/>
          <w:sz w:val="18"/>
          <w:szCs w:val="18"/>
          <w:lang w:val="en-GB"/>
        </w:rPr>
      </w:pPr>
      <w:r>
        <w:rPr>
          <w:rFonts w:cs="Arial" w:ascii="Arial" w:hAnsi="Arial"/>
          <w:b/>
          <w:sz w:val="18"/>
          <w:szCs w:val="18"/>
          <w:lang w:val="en-GB"/>
        </w:rPr>
      </w:r>
      <w:r>
        <w:br w:type="page"/>
      </w:r>
    </w:p>
    <w:p>
      <w:pPr>
        <w:pStyle w:val="Normal"/>
        <w:spacing w:lineRule="auto" w:line="240"/>
        <w:rPr>
          <w:rFonts w:ascii="Arial" w:hAnsi="Arial" w:cs="Arial"/>
          <w:b/>
          <w:b/>
          <w:sz w:val="18"/>
          <w:szCs w:val="18"/>
          <w:lang w:val="en-GB"/>
        </w:rPr>
      </w:pPr>
      <w:r>
        <w:rPr>
          <w:rFonts w:cs="Arial" w:ascii="Arial" w:hAnsi="Arial"/>
          <w:b/>
          <w:sz w:val="18"/>
          <w:szCs w:val="18"/>
          <w:lang w:val="en-GB"/>
        </w:rPr>
        <w:t xml:space="preserve">Supplementary figure 2. Directed acyclic graph of the putative causal pathway linking number of removed lymph nodes in colon cancer surgery with cancer survival. </w:t>
      </w:r>
    </w:p>
    <w:p>
      <w:pPr>
        <w:pStyle w:val="Normal"/>
        <w:spacing w:lineRule="auto" w:line="240"/>
        <w:rPr>
          <w:rFonts w:ascii="Arial" w:hAnsi="Arial" w:cs="Arial"/>
          <w:b/>
          <w:b/>
          <w:sz w:val="18"/>
          <w:szCs w:val="18"/>
          <w:lang w:val="en-US"/>
        </w:rPr>
      </w:pPr>
      <w:r>
        <w:rPr/>
        <w:drawing>
          <wp:inline distT="0" distB="0" distL="0" distR="0">
            <wp:extent cx="6136005" cy="4162425"/>
            <wp:effectExtent l="0" t="0" r="0" b="0"/>
            <wp:docPr id="2" name="Immagin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7" descr=""/>
                    <pic:cNvPicPr>
                      <a:picLocks noChangeAspect="1" noChangeArrowheads="1"/>
                    </pic:cNvPicPr>
                  </pic:nvPicPr>
                  <pic:blipFill>
                    <a:blip r:embed="rId4"/>
                    <a:stretch>
                      <a:fillRect/>
                    </a:stretch>
                  </pic:blipFill>
                  <pic:spPr bwMode="auto">
                    <a:xfrm>
                      <a:off x="0" y="0"/>
                      <a:ext cx="6136005" cy="4162425"/>
                    </a:xfrm>
                    <a:prstGeom prst="rect">
                      <a:avLst/>
                    </a:prstGeom>
                  </pic:spPr>
                </pic:pic>
              </a:graphicData>
            </a:graphic>
          </wp:inline>
        </w:drawing>
      </w:r>
    </w:p>
    <w:p>
      <w:pPr>
        <w:pStyle w:val="Normal"/>
        <w:spacing w:lineRule="auto" w:line="240"/>
        <w:rPr>
          <w:rFonts w:ascii="Arial" w:hAnsi="Arial" w:cs="Arial"/>
          <w:sz w:val="18"/>
          <w:szCs w:val="18"/>
          <w:lang w:val="en-US"/>
        </w:rPr>
      </w:pPr>
      <w:r>
        <w:rPr>
          <w:rFonts w:cs="Arial" w:ascii="Arial" w:hAnsi="Arial"/>
          <w:b/>
          <w:sz w:val="18"/>
          <w:szCs w:val="18"/>
          <w:lang w:val="en-US"/>
        </w:rPr>
        <w:t>Legend</w:t>
      </w:r>
      <w:r>
        <w:rPr>
          <w:rFonts w:cs="Arial" w:ascii="Arial" w:hAnsi="Arial"/>
          <w:sz w:val="18"/>
          <w:szCs w:val="18"/>
          <w:lang w:val="en-US"/>
        </w:rPr>
        <w:t xml:space="preserve"> </w:t>
      </w:r>
    </w:p>
    <w:p>
      <w:pPr>
        <w:pStyle w:val="Normal"/>
        <w:spacing w:lineRule="auto" w:line="240"/>
        <w:rPr>
          <w:rFonts w:ascii="Arial" w:hAnsi="Arial" w:cs="Arial"/>
          <w:sz w:val="18"/>
          <w:szCs w:val="18"/>
          <w:lang w:val="en-US"/>
        </w:rPr>
      </w:pPr>
      <w:r>
        <w:rPr>
          <w:rFonts w:cs="Arial" w:ascii="Arial" w:hAnsi="Arial"/>
          <w:sz w:val="18"/>
          <w:szCs w:val="18"/>
          <w:lang w:val="en-US"/>
        </w:rPr>
        <w:t xml:space="preserve">The number of removed lymph nodes is influenced by screening (directly or through a shift to earlier stages), age, sex, and histotype; stage and grade are also determinants of the number of lymph nodes removed and are associated with death; age and sex are possible confounders since they are associated also with death, screening status, stage, and grade; stage, grade, and histotype are possible mediators of the effect of screening on survival; the number of lymph nodes removed may also mediate the effect of stage on mortality. Finally, we observed that cancer site was a strong effect modifier, changing the total effect of the number of removed lymph nodes on survival.  </w:t>
      </w:r>
    </w:p>
    <w:p>
      <w:pPr>
        <w:pStyle w:val="Normal"/>
        <w:spacing w:lineRule="auto" w:line="240"/>
        <w:rPr>
          <w:rFonts w:ascii="Courier New" w:hAnsi="Courier New" w:cs="Courier New"/>
          <w:sz w:val="18"/>
          <w:szCs w:val="18"/>
          <w:lang w:val="en-US"/>
        </w:rPr>
      </w:pPr>
      <w:r>
        <w:rPr>
          <w:rFonts w:cs="Courier New" w:ascii="Courier New" w:hAnsi="Courier New"/>
          <w:sz w:val="18"/>
          <w:szCs w:val="18"/>
          <w:lang w:val="en-US"/>
        </w:rPr>
      </w:r>
    </w:p>
    <w:p>
      <w:pPr>
        <w:pStyle w:val="Normal"/>
        <w:spacing w:lineRule="auto" w:line="240"/>
        <w:rPr>
          <w:rFonts w:ascii="Calibri" w:hAnsi="Calibri"/>
          <w:sz w:val="20"/>
          <w:szCs w:val="20"/>
          <w:lang w:val="en-US"/>
        </w:rPr>
      </w:pPr>
      <w:r>
        <w:rPr>
          <w:sz w:val="20"/>
          <w:szCs w:val="20"/>
          <w:lang w:val="en-US"/>
        </w:rPr>
      </w:r>
    </w:p>
    <w:p>
      <w:pPr>
        <w:pStyle w:val="ListParagraph"/>
        <w:spacing w:lineRule="auto" w:line="240"/>
        <w:rPr>
          <w:rFonts w:ascii="Courier New" w:hAnsi="Courier New" w:cs="Courier New"/>
          <w:sz w:val="18"/>
          <w:szCs w:val="18"/>
          <w:lang w:val="en-US"/>
        </w:rPr>
      </w:pPr>
      <w:r>
        <w:rPr>
          <w:rFonts w:cs="Courier New" w:ascii="Courier New" w:hAnsi="Courier New"/>
          <w:sz w:val="18"/>
          <w:szCs w:val="18"/>
          <w:lang w:val="en-US"/>
        </w:rPr>
      </w:r>
    </w:p>
    <w:p>
      <w:pPr>
        <w:pStyle w:val="ListParagraph"/>
        <w:spacing w:lineRule="auto" w:line="240"/>
        <w:rPr>
          <w:rFonts w:ascii="Courier New" w:hAnsi="Courier New" w:cs="Courier New"/>
          <w:sz w:val="18"/>
          <w:szCs w:val="18"/>
          <w:lang w:val="en-US"/>
        </w:rPr>
      </w:pPr>
      <w:r>
        <w:rPr>
          <w:rFonts w:cs="Courier New" w:ascii="Courier New" w:hAnsi="Courier New"/>
          <w:sz w:val="18"/>
          <w:szCs w:val="18"/>
          <w:lang w:val="en-US"/>
        </w:rPr>
      </w:r>
      <w:r>
        <w:br w:type="page"/>
      </w:r>
    </w:p>
    <w:p>
      <w:pPr>
        <w:pStyle w:val="Normal"/>
        <w:rPr>
          <w:rFonts w:ascii="Calibri" w:hAnsi="Calibri"/>
          <w:b/>
          <w:b/>
          <w:sz w:val="20"/>
          <w:szCs w:val="20"/>
          <w:lang w:val="en-US"/>
        </w:rPr>
      </w:pPr>
      <w:r>
        <w:rPr>
          <w:b/>
          <w:bCs/>
          <w:color w:val="000000"/>
          <w:sz w:val="20"/>
          <w:szCs w:val="20"/>
          <w:lang w:val="en-US"/>
        </w:rPr>
        <w:t xml:space="preserve">Multivariable Cox proportional hazard model reporting hazard ratios for cancer site adjusted for age, sex, screening status. </w:t>
      </w:r>
      <w:r>
        <w:rPr>
          <w:b/>
          <w:sz w:val="20"/>
          <w:szCs w:val="20"/>
          <w:lang w:val="en-US"/>
        </w:rPr>
        <w:t xml:space="preserve">Incident colon cancer cases, Emilia-Romagna, Italy, 2000-2012, follow up until December 31, 2017. Check of the proportional hazard assumption for the three colon site groups. </w:t>
      </w:r>
    </w:p>
    <w:p>
      <w:pPr>
        <w:pStyle w:val="ListParagraph"/>
        <w:spacing w:lineRule="auto" w:line="240"/>
        <w:rPr>
          <w:rFonts w:ascii="Calibri" w:hAnsi="Calibri"/>
          <w:sz w:val="20"/>
          <w:szCs w:val="20"/>
          <w:lang w:val="en-US"/>
        </w:rPr>
      </w:pPr>
      <w:r>
        <w:rPr>
          <w:sz w:val="20"/>
          <w:szCs w:val="20"/>
          <w:lang w:val="en-US"/>
        </w:rPr>
      </w:r>
    </w:p>
    <w:p>
      <w:pPr>
        <w:pStyle w:val="ListParagraph"/>
        <w:spacing w:lineRule="auto" w:line="240"/>
        <w:rPr>
          <w:rFonts w:ascii="Calibri" w:hAnsi="Calibri"/>
          <w:sz w:val="20"/>
          <w:szCs w:val="20"/>
          <w:lang w:val="en-US"/>
        </w:rPr>
      </w:pPr>
      <w:r>
        <w:rPr>
          <w:sz w:val="20"/>
          <w:szCs w:val="20"/>
          <w:lang w:val="en-US"/>
        </w:rPr>
        <w:t xml:space="preserve">Supplementary Figure 3. Log-log plot of survival by colon cancer side. Curves are constantly parallel after the first month of follow up, i.e., ln -2.5years of follow up.                      </w:t>
      </w:r>
    </w:p>
    <w:p>
      <w:pPr>
        <w:pStyle w:val="ListParagraph"/>
        <w:spacing w:lineRule="auto" w:line="240"/>
        <w:ind w:left="567" w:hanging="142"/>
        <w:rPr>
          <w:rFonts w:ascii="Courier New" w:hAnsi="Courier New" w:cs="Courier New"/>
          <w:sz w:val="18"/>
          <w:szCs w:val="18"/>
          <w:lang w:val="en-US"/>
        </w:rPr>
      </w:pPr>
      <w:r>
        <w:rPr/>
        <w:drawing>
          <wp:inline distT="0" distB="0" distL="0" distR="0">
            <wp:extent cx="5114290" cy="3742690"/>
            <wp:effectExtent l="0" t="0" r="0" b="0"/>
            <wp:docPr id="3"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
                    <pic:cNvPicPr>
                      <a:picLocks noChangeAspect="1" noChangeArrowheads="1"/>
                    </pic:cNvPicPr>
                  </pic:nvPicPr>
                  <pic:blipFill>
                    <a:blip r:embed="rId5"/>
                    <a:stretch>
                      <a:fillRect/>
                    </a:stretch>
                  </pic:blipFill>
                  <pic:spPr bwMode="auto">
                    <a:xfrm>
                      <a:off x="0" y="0"/>
                      <a:ext cx="5114290" cy="3742690"/>
                    </a:xfrm>
                    <a:prstGeom prst="rect">
                      <a:avLst/>
                    </a:prstGeom>
                  </pic:spPr>
                </pic:pic>
              </a:graphicData>
            </a:graphic>
          </wp:inline>
        </w:drawing>
      </w:r>
      <w:r>
        <w:rPr>
          <w:rFonts w:cs="Courier New" w:ascii="Courier New" w:hAnsi="Courier New"/>
          <w:sz w:val="18"/>
          <w:szCs w:val="18"/>
          <w:lang w:val="en-US" w:eastAsia="it-IT"/>
        </w:rPr>
        <w:t xml:space="preserve"> </w:t>
      </w:r>
      <w:r>
        <w:rPr>
          <w:rFonts w:cs="Courier New" w:ascii="Courier New" w:hAnsi="Courier New"/>
          <w:sz w:val="18"/>
          <w:szCs w:val="18"/>
          <w:lang w:val="en-US"/>
        </w:rPr>
        <w:t xml:space="preserve"> </w:t>
      </w:r>
    </w:p>
    <w:p>
      <w:pPr>
        <w:pStyle w:val="ListParagraph"/>
        <w:spacing w:lineRule="auto" w:line="240"/>
        <w:rPr>
          <w:rFonts w:ascii="Courier New" w:hAnsi="Courier New" w:cs="Courier New"/>
          <w:sz w:val="18"/>
          <w:szCs w:val="18"/>
          <w:lang w:val="en-US"/>
        </w:rPr>
      </w:pPr>
      <w:r>
        <w:rPr>
          <w:rFonts w:cs="Courier New" w:ascii="Courier New" w:hAnsi="Courier New"/>
          <w:sz w:val="18"/>
          <w:szCs w:val="18"/>
          <w:lang w:val="en-US"/>
        </w:rPr>
      </w:r>
    </w:p>
    <w:p>
      <w:pPr>
        <w:pStyle w:val="ListParagraph"/>
        <w:spacing w:lineRule="auto" w:line="240"/>
        <w:rPr>
          <w:rFonts w:ascii="Calibri" w:hAnsi="Calibri"/>
          <w:sz w:val="20"/>
          <w:szCs w:val="20"/>
          <w:lang w:val="en-US"/>
        </w:rPr>
      </w:pPr>
      <w:r>
        <w:rPr>
          <w:sz w:val="20"/>
          <w:szCs w:val="20"/>
          <w:lang w:val="en-US"/>
        </w:rPr>
        <w:t xml:space="preserve">Supplementary Figure 4. Comparison of the observed Kaplan–Meier survival curves and Cox proportional hazard predicted survival curves. For all three groups (right, left, and transvers), observed and predicted curves substantially overlap. </w:t>
      </w:r>
    </w:p>
    <w:p>
      <w:pPr>
        <w:pStyle w:val="ListParagraph"/>
        <w:spacing w:lineRule="auto" w:line="240"/>
        <w:rPr>
          <w:rFonts w:ascii="Courier New" w:hAnsi="Courier New" w:cs="Courier New"/>
          <w:sz w:val="18"/>
          <w:szCs w:val="18"/>
          <w:lang w:val="en-US"/>
        </w:rPr>
      </w:pPr>
      <w:r>
        <w:rPr/>
        <w:drawing>
          <wp:inline distT="0" distB="0" distL="0" distR="0">
            <wp:extent cx="4688840" cy="3431540"/>
            <wp:effectExtent l="0" t="0" r="0" b="0"/>
            <wp:docPr id="4"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
                    <pic:cNvPicPr>
                      <a:picLocks noChangeAspect="1" noChangeArrowheads="1"/>
                    </pic:cNvPicPr>
                  </pic:nvPicPr>
                  <pic:blipFill>
                    <a:blip r:embed="rId6"/>
                    <a:stretch>
                      <a:fillRect/>
                    </a:stretch>
                  </pic:blipFill>
                  <pic:spPr bwMode="auto">
                    <a:xfrm>
                      <a:off x="0" y="0"/>
                      <a:ext cx="4688840" cy="3431540"/>
                    </a:xfrm>
                    <a:prstGeom prst="rect">
                      <a:avLst/>
                    </a:prstGeom>
                  </pic:spPr>
                </pic:pic>
              </a:graphicData>
            </a:graphic>
          </wp:inline>
        </w:drawing>
      </w:r>
    </w:p>
    <w:p>
      <w:pPr>
        <w:pStyle w:val="ListParagraph"/>
        <w:spacing w:lineRule="auto" w:line="240"/>
        <w:rPr>
          <w:rFonts w:ascii="Courier New" w:hAnsi="Courier New" w:cs="Courier New"/>
          <w:sz w:val="18"/>
          <w:szCs w:val="18"/>
          <w:lang w:val="en-US"/>
        </w:rPr>
      </w:pPr>
      <w:r>
        <w:rPr>
          <w:rFonts w:cs="Courier New" w:ascii="Courier New" w:hAnsi="Courier New"/>
          <w:sz w:val="18"/>
          <w:szCs w:val="18"/>
          <w:lang w:val="en-US"/>
        </w:rPr>
      </w:r>
    </w:p>
    <w:p>
      <w:pPr>
        <w:pStyle w:val="Normal"/>
        <w:rPr>
          <w:rFonts w:ascii="Calibri" w:hAnsi="Calibri"/>
          <w:b/>
          <w:b/>
          <w:sz w:val="20"/>
          <w:szCs w:val="20"/>
          <w:lang w:val="en-US"/>
        </w:rPr>
      </w:pPr>
      <w:r>
        <w:rPr>
          <w:b/>
          <w:bCs/>
          <w:color w:val="000000"/>
          <w:sz w:val="20"/>
          <w:szCs w:val="20"/>
          <w:lang w:val="en-US"/>
        </w:rPr>
        <w:t xml:space="preserve">Multivariable Cox proportional hazard model reporting hazard ratios for cancer site adjusted for age, sex, screening status. </w:t>
      </w:r>
      <w:r>
        <w:rPr>
          <w:b/>
          <w:sz w:val="20"/>
          <w:szCs w:val="20"/>
          <w:lang w:val="en-US"/>
        </w:rPr>
        <w:t xml:space="preserve">Incident colon cancer cases, Emilia-Romagna, Italy, 2000-2012, follow up until December 31, 2017. Check of the linearity of the effect of age on survival. </w:t>
      </w:r>
    </w:p>
    <w:p>
      <w:pPr>
        <w:pStyle w:val="ListParagraph"/>
        <w:spacing w:lineRule="auto" w:line="240"/>
        <w:rPr>
          <w:rFonts w:ascii="Courier New" w:hAnsi="Courier New" w:cs="Courier New"/>
          <w:sz w:val="18"/>
          <w:szCs w:val="18"/>
          <w:lang w:val="en-US"/>
        </w:rPr>
      </w:pPr>
      <w:r>
        <w:rPr>
          <w:rFonts w:cs="Courier New" w:ascii="Courier New" w:hAnsi="Courier New"/>
          <w:sz w:val="18"/>
          <w:szCs w:val="18"/>
          <w:lang w:val="en-US"/>
        </w:rPr>
      </w:r>
    </w:p>
    <w:p>
      <w:pPr>
        <w:pStyle w:val="ListParagraph"/>
        <w:spacing w:lineRule="auto" w:line="240"/>
        <w:rPr>
          <w:rFonts w:ascii="Calibri" w:hAnsi="Calibri"/>
          <w:sz w:val="20"/>
          <w:szCs w:val="20"/>
          <w:lang w:val="en-US"/>
        </w:rPr>
      </w:pPr>
      <w:r>
        <w:rPr>
          <w:sz w:val="20"/>
          <w:szCs w:val="20"/>
          <w:lang w:val="en-US"/>
        </w:rPr>
        <w:t>Supplementary Figure 5. Plots of Martingale residuals computed for age. The plot of Martingale residuals is random, showing no systematic patterns or trends, and the LOESS smoothed curve appears to lie around a horizontal line through zero, supporting the linear component of the age variable correctly describing the effect of age on survival.</w:t>
      </w:r>
    </w:p>
    <w:p>
      <w:pPr>
        <w:pStyle w:val="ListParagraph"/>
        <w:spacing w:lineRule="auto" w:line="240"/>
        <w:rPr>
          <w:rFonts w:ascii="Calibri" w:hAnsi="Calibri"/>
          <w:sz w:val="20"/>
          <w:szCs w:val="20"/>
          <w:lang w:val="en-US"/>
        </w:rPr>
      </w:pPr>
      <w:r>
        <w:rPr>
          <w:sz w:val="20"/>
          <w:szCs w:val="20"/>
          <w:lang w:val="en-US"/>
        </w:rPr>
      </w:r>
    </w:p>
    <w:p>
      <w:pPr>
        <w:pStyle w:val="ListParagraph"/>
        <w:spacing w:lineRule="auto" w:line="240"/>
        <w:rPr>
          <w:rFonts w:ascii="Courier New" w:hAnsi="Courier New" w:cs="Courier New"/>
          <w:sz w:val="18"/>
          <w:szCs w:val="18"/>
        </w:rPr>
      </w:pPr>
      <w:r>
        <w:rPr/>
        <w:drawing>
          <wp:inline distT="0" distB="0" distL="0" distR="0">
            <wp:extent cx="5115560" cy="3743960"/>
            <wp:effectExtent l="0" t="0" r="0" b="0"/>
            <wp:docPr id="5"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 descr=""/>
                    <pic:cNvPicPr>
                      <a:picLocks noChangeAspect="1" noChangeArrowheads="1"/>
                    </pic:cNvPicPr>
                  </pic:nvPicPr>
                  <pic:blipFill>
                    <a:blip r:embed="rId7"/>
                    <a:stretch>
                      <a:fillRect/>
                    </a:stretch>
                  </pic:blipFill>
                  <pic:spPr bwMode="auto">
                    <a:xfrm>
                      <a:off x="0" y="0"/>
                      <a:ext cx="5115560" cy="3743960"/>
                    </a:xfrm>
                    <a:prstGeom prst="rect">
                      <a:avLst/>
                    </a:prstGeom>
                  </pic:spPr>
                </pic:pic>
              </a:graphicData>
            </a:graphic>
          </wp:inline>
        </w:drawing>
      </w:r>
    </w:p>
    <w:p>
      <w:pPr>
        <w:pStyle w:val="ListParagraph"/>
        <w:spacing w:lineRule="auto" w:line="240"/>
        <w:rPr>
          <w:rFonts w:ascii="Courier New" w:hAnsi="Courier New" w:cs="Courier New"/>
          <w:sz w:val="18"/>
          <w:szCs w:val="18"/>
        </w:rPr>
      </w:pPr>
      <w:r>
        <w:rPr>
          <w:rFonts w:cs="Courier New" w:ascii="Courier New" w:hAnsi="Courier New"/>
          <w:sz w:val="18"/>
          <w:szCs w:val="18"/>
        </w:rPr>
      </w:r>
    </w:p>
    <w:p>
      <w:pPr>
        <w:pStyle w:val="Normal"/>
        <w:spacing w:lineRule="auto" w:line="240" w:before="0" w:after="0"/>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sz w:val="20"/>
          <w:szCs w:val="20"/>
          <w:lang w:val="en-US"/>
        </w:rPr>
      </w:pPr>
      <w:r>
        <w:rPr>
          <w:sz w:val="20"/>
          <w:szCs w:val="20"/>
          <w:lang w:val="en-US"/>
        </w:rPr>
      </w:r>
    </w:p>
    <w:p>
      <w:pPr>
        <w:pStyle w:val="Normal"/>
        <w:rPr>
          <w:rFonts w:ascii="Calibri" w:hAnsi="Calibri"/>
          <w:b/>
          <w:b/>
          <w:bCs/>
          <w:color w:val="000000"/>
          <w:sz w:val="20"/>
          <w:szCs w:val="20"/>
          <w:lang w:val="en-US"/>
        </w:rPr>
      </w:pPr>
      <w:r>
        <w:rPr>
          <w:b/>
          <w:bCs/>
          <w:color w:val="000000"/>
          <w:sz w:val="20"/>
          <w:szCs w:val="20"/>
          <w:lang w:val="en-US"/>
        </w:rPr>
        <w:t xml:space="preserve">Multivariable Cox proportional hazard models reporting hazard ratios for cancer number of lymph nodes removed by cancer site. </w:t>
      </w:r>
      <w:r>
        <w:rPr>
          <w:b/>
          <w:sz w:val="20"/>
          <w:szCs w:val="20"/>
          <w:lang w:val="en-US"/>
        </w:rPr>
        <w:t xml:space="preserve">Incident colon cancer cases with lymphadenectomy, stages II and III, Emilia-Romagna, Italy, 2000-2012, follow up until December 31, 2017. Check of the proportional hazard assumption for the number of removed lymph nodes. </w:t>
      </w:r>
    </w:p>
    <w:p>
      <w:pPr>
        <w:pStyle w:val="ListParagraph"/>
        <w:spacing w:lineRule="auto" w:line="240"/>
        <w:rPr>
          <w:rFonts w:ascii="Calibri" w:hAnsi="Calibri"/>
          <w:sz w:val="20"/>
          <w:szCs w:val="20"/>
          <w:lang w:val="en-US"/>
        </w:rPr>
      </w:pPr>
      <w:r>
        <w:rPr>
          <w:sz w:val="20"/>
          <w:szCs w:val="20"/>
          <w:lang w:val="en-US"/>
        </w:rPr>
        <w:t xml:space="preserve">Supplementary Figure 6. Log-log plot of survival curves by number of lymph nodes, right-sided cancers. Curves are constantly parallel throughout follow up.                      </w:t>
      </w:r>
    </w:p>
    <w:p>
      <w:pPr>
        <w:pStyle w:val="ListParagraph"/>
        <w:spacing w:lineRule="auto" w:line="240"/>
        <w:rPr>
          <w:rFonts w:ascii="Calibri" w:hAnsi="Calibri"/>
          <w:sz w:val="20"/>
          <w:szCs w:val="20"/>
          <w:lang w:val="en-US"/>
        </w:rPr>
      </w:pPr>
      <w:r>
        <w:rPr/>
        <w:drawing>
          <wp:inline distT="0" distB="0" distL="0" distR="0">
            <wp:extent cx="4533900" cy="3317875"/>
            <wp:effectExtent l="0" t="0" r="0" b="0"/>
            <wp:docPr id="6" name="Immagin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20" descr=""/>
                    <pic:cNvPicPr>
                      <a:picLocks noChangeAspect="1" noChangeArrowheads="1"/>
                    </pic:cNvPicPr>
                  </pic:nvPicPr>
                  <pic:blipFill>
                    <a:blip r:embed="rId8"/>
                    <a:stretch>
                      <a:fillRect/>
                    </a:stretch>
                  </pic:blipFill>
                  <pic:spPr bwMode="auto">
                    <a:xfrm>
                      <a:off x="0" y="0"/>
                      <a:ext cx="4533900" cy="3317875"/>
                    </a:xfrm>
                    <a:prstGeom prst="rect">
                      <a:avLst/>
                    </a:prstGeom>
                  </pic:spPr>
                </pic:pic>
              </a:graphicData>
            </a:graphic>
          </wp:inline>
        </w:drawing>
      </w:r>
      <w:r>
        <w:rPr>
          <w:sz w:val="20"/>
          <w:szCs w:val="20"/>
          <w:lang w:val="en-US"/>
        </w:rPr>
        <w:t xml:space="preserve">                  </w:t>
      </w:r>
    </w:p>
    <w:p>
      <w:pPr>
        <w:pStyle w:val="ListParagraph"/>
        <w:spacing w:lineRule="auto" w:line="240"/>
        <w:rPr>
          <w:rFonts w:ascii="Courier New" w:hAnsi="Courier New" w:cs="Courier New"/>
          <w:sz w:val="18"/>
          <w:szCs w:val="18"/>
          <w:lang w:val="en-US"/>
        </w:rPr>
      </w:pPr>
      <w:r>
        <w:rPr>
          <w:rFonts w:cs="Courier New" w:ascii="Courier New" w:hAnsi="Courier New"/>
          <w:sz w:val="18"/>
          <w:szCs w:val="18"/>
          <w:lang w:val="en-US"/>
        </w:rPr>
      </w:r>
    </w:p>
    <w:p>
      <w:pPr>
        <w:pStyle w:val="ListParagraph"/>
        <w:spacing w:lineRule="auto" w:line="240"/>
        <w:rPr>
          <w:rFonts w:ascii="Courier New" w:hAnsi="Courier New" w:cs="Courier New"/>
          <w:sz w:val="18"/>
          <w:szCs w:val="18"/>
          <w:lang w:val="en-US"/>
        </w:rPr>
      </w:pPr>
      <w:r>
        <w:rPr>
          <w:rFonts w:cs="Courier New" w:ascii="Courier New" w:hAnsi="Courier New"/>
          <w:sz w:val="18"/>
          <w:szCs w:val="18"/>
          <w:lang w:val="en-US"/>
        </w:rPr>
      </w:r>
    </w:p>
    <w:p>
      <w:pPr>
        <w:pStyle w:val="ListParagraph"/>
        <w:spacing w:lineRule="auto" w:line="240"/>
        <w:rPr>
          <w:rFonts w:ascii="Calibri" w:hAnsi="Calibri"/>
          <w:sz w:val="20"/>
          <w:szCs w:val="20"/>
          <w:lang w:val="en-US"/>
        </w:rPr>
      </w:pPr>
      <w:r>
        <w:rPr>
          <w:sz w:val="20"/>
          <w:szCs w:val="20"/>
          <w:lang w:val="en-US"/>
        </w:rPr>
        <w:t xml:space="preserve">Supplementary Figure 7. Comparison of the observed Kaplan–Meier survival curves and Cox proportional hazard predicted survival curves, right-sided cancers. For all the three groups (&lt;12, 12-21, &gt;21 removed lymph nodes), observed and predicted curves substantially overlap. </w:t>
      </w:r>
    </w:p>
    <w:p>
      <w:pPr>
        <w:pStyle w:val="Normal"/>
        <w:spacing w:lineRule="auto" w:line="240"/>
        <w:rPr>
          <w:rFonts w:ascii="Courier New" w:hAnsi="Courier New" w:cs="Courier New"/>
          <w:sz w:val="18"/>
          <w:szCs w:val="18"/>
          <w:lang w:val="en-US"/>
        </w:rPr>
      </w:pPr>
      <w:r>
        <w:rPr>
          <w:rFonts w:cs="Courier New" w:ascii="Courier New" w:hAnsi="Courier New"/>
          <w:sz w:val="18"/>
          <w:szCs w:val="18"/>
          <w:lang w:val="en-US"/>
        </w:rPr>
        <w:t xml:space="preserve">        </w:t>
      </w:r>
      <w:r>
        <w:rPr/>
        <w:drawing>
          <wp:inline distT="0" distB="0" distL="0" distR="0">
            <wp:extent cx="4411980" cy="3228975"/>
            <wp:effectExtent l="0" t="0" r="0" b="0"/>
            <wp:docPr id="7" name="Immagin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4" descr=""/>
                    <pic:cNvPicPr>
                      <a:picLocks noChangeAspect="1" noChangeArrowheads="1"/>
                    </pic:cNvPicPr>
                  </pic:nvPicPr>
                  <pic:blipFill>
                    <a:blip r:embed="rId9"/>
                    <a:stretch>
                      <a:fillRect/>
                    </a:stretch>
                  </pic:blipFill>
                  <pic:spPr bwMode="auto">
                    <a:xfrm>
                      <a:off x="0" y="0"/>
                      <a:ext cx="4411980" cy="3228975"/>
                    </a:xfrm>
                    <a:prstGeom prst="rect">
                      <a:avLst/>
                    </a:prstGeom>
                  </pic:spPr>
                </pic:pic>
              </a:graphicData>
            </a:graphic>
          </wp:inline>
        </w:drawing>
      </w:r>
      <w:r>
        <w:rPr>
          <w:rFonts w:cs="Courier New" w:ascii="Courier New" w:hAnsi="Courier New"/>
          <w:sz w:val="18"/>
          <w:szCs w:val="18"/>
          <w:lang w:val="en-US"/>
        </w:rPr>
        <w:t xml:space="preserve"> </w:t>
      </w:r>
    </w:p>
    <w:p>
      <w:pPr>
        <w:pStyle w:val="ListParagraph"/>
        <w:spacing w:lineRule="auto" w:line="240"/>
        <w:rPr>
          <w:rFonts w:ascii="Calibri" w:hAnsi="Calibri"/>
          <w:sz w:val="20"/>
          <w:szCs w:val="20"/>
          <w:lang w:val="en-US"/>
        </w:rPr>
      </w:pPr>
      <w:r>
        <w:rPr>
          <w:sz w:val="20"/>
          <w:szCs w:val="20"/>
          <w:lang w:val="en-US"/>
        </w:rPr>
      </w:r>
    </w:p>
    <w:p>
      <w:pPr>
        <w:pStyle w:val="ListParagraph"/>
        <w:spacing w:lineRule="auto" w:line="240"/>
        <w:rPr>
          <w:rFonts w:ascii="Calibri" w:hAnsi="Calibri"/>
          <w:sz w:val="20"/>
          <w:szCs w:val="20"/>
          <w:lang w:val="en-US"/>
        </w:rPr>
      </w:pPr>
      <w:r>
        <w:rPr>
          <w:sz w:val="20"/>
          <w:szCs w:val="20"/>
          <w:lang w:val="en-US"/>
        </w:rPr>
        <w:t xml:space="preserve">Supplementary Figure 8. Log-log plot of survival curves by number of lymph nodes, left-sided cancers. Curves are constantly parallel throughout follow up.                      </w:t>
      </w:r>
    </w:p>
    <w:p>
      <w:pPr>
        <w:pStyle w:val="ListParagraph"/>
        <w:spacing w:lineRule="auto" w:line="240"/>
        <w:rPr>
          <w:rFonts w:ascii="Calibri" w:hAnsi="Calibri"/>
          <w:sz w:val="20"/>
          <w:szCs w:val="20"/>
          <w:lang w:val="en-US"/>
        </w:rPr>
      </w:pPr>
      <w:r>
        <w:rPr>
          <w:sz w:val="20"/>
          <w:szCs w:val="20"/>
          <w:lang w:val="en-US"/>
        </w:rPr>
      </w:r>
    </w:p>
    <w:p>
      <w:pPr>
        <w:pStyle w:val="ListParagraph"/>
        <w:spacing w:lineRule="auto" w:line="240"/>
        <w:rPr>
          <w:rFonts w:ascii="Calibri" w:hAnsi="Calibri"/>
          <w:sz w:val="20"/>
          <w:szCs w:val="20"/>
          <w:lang w:val="en-US"/>
        </w:rPr>
      </w:pPr>
      <w:r>
        <w:rPr/>
        <w:drawing>
          <wp:inline distT="0" distB="0" distL="0" distR="0">
            <wp:extent cx="5011420" cy="3667125"/>
            <wp:effectExtent l="0" t="0" r="0" b="0"/>
            <wp:docPr id="8" name="Immagin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8" descr=""/>
                    <pic:cNvPicPr>
                      <a:picLocks noChangeAspect="1" noChangeArrowheads="1"/>
                    </pic:cNvPicPr>
                  </pic:nvPicPr>
                  <pic:blipFill>
                    <a:blip r:embed="rId10"/>
                    <a:stretch>
                      <a:fillRect/>
                    </a:stretch>
                  </pic:blipFill>
                  <pic:spPr bwMode="auto">
                    <a:xfrm>
                      <a:off x="0" y="0"/>
                      <a:ext cx="5011420" cy="3667125"/>
                    </a:xfrm>
                    <a:prstGeom prst="rect">
                      <a:avLst/>
                    </a:prstGeom>
                  </pic:spPr>
                </pic:pic>
              </a:graphicData>
            </a:graphic>
          </wp:inline>
        </w:drawing>
      </w:r>
    </w:p>
    <w:p>
      <w:pPr>
        <w:pStyle w:val="ListParagraph"/>
        <w:spacing w:lineRule="auto" w:line="240"/>
        <w:rPr>
          <w:rFonts w:ascii="Calibri" w:hAnsi="Calibri"/>
          <w:sz w:val="20"/>
          <w:szCs w:val="20"/>
          <w:lang w:val="en-US"/>
        </w:rPr>
      </w:pPr>
      <w:r>
        <w:rPr>
          <w:sz w:val="20"/>
          <w:szCs w:val="20"/>
          <w:lang w:val="en-US"/>
        </w:rPr>
      </w:r>
    </w:p>
    <w:p>
      <w:pPr>
        <w:pStyle w:val="ListParagraph"/>
        <w:spacing w:lineRule="auto" w:line="240"/>
        <w:rPr>
          <w:rFonts w:ascii="Calibri" w:hAnsi="Calibri"/>
          <w:sz w:val="20"/>
          <w:szCs w:val="20"/>
          <w:lang w:val="en-US"/>
        </w:rPr>
      </w:pPr>
      <w:r>
        <w:rPr>
          <w:sz w:val="20"/>
          <w:szCs w:val="20"/>
          <w:lang w:val="en-US"/>
        </w:rPr>
        <w:t xml:space="preserve">Supplementary Figure 9. Comparison of the observed Kaplan–Meier survival curves and Cox proportional hazard predicted survival curves, left-sided cancers. For all the three groups (&lt;12, 12-21, &gt;21 removed lymph nodes), observed and predicted curves substantially overlap. </w:t>
      </w:r>
    </w:p>
    <w:p>
      <w:pPr>
        <w:pStyle w:val="Normal"/>
        <w:spacing w:lineRule="auto" w:line="240"/>
        <w:ind w:left="709" w:hanging="0"/>
        <w:rPr>
          <w:rFonts w:ascii="Courier New" w:hAnsi="Courier New" w:cs="Courier New"/>
          <w:sz w:val="18"/>
          <w:szCs w:val="18"/>
        </w:rPr>
      </w:pPr>
      <w:r>
        <w:rPr/>
        <w:drawing>
          <wp:inline distT="0" distB="0" distL="0" distR="0">
            <wp:extent cx="4971415" cy="3638550"/>
            <wp:effectExtent l="0" t="0" r="0" b="0"/>
            <wp:docPr id="9" name="Immagin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22" descr=""/>
                    <pic:cNvPicPr>
                      <a:picLocks noChangeAspect="1" noChangeArrowheads="1"/>
                    </pic:cNvPicPr>
                  </pic:nvPicPr>
                  <pic:blipFill>
                    <a:blip r:embed="rId11"/>
                    <a:stretch>
                      <a:fillRect/>
                    </a:stretch>
                  </pic:blipFill>
                  <pic:spPr bwMode="auto">
                    <a:xfrm>
                      <a:off x="0" y="0"/>
                      <a:ext cx="4971415" cy="3638550"/>
                    </a:xfrm>
                    <a:prstGeom prst="rect">
                      <a:avLst/>
                    </a:prstGeom>
                  </pic:spPr>
                </pic:pic>
              </a:graphicData>
            </a:graphic>
          </wp:inline>
        </w:drawing>
      </w:r>
    </w:p>
    <w:p>
      <w:pPr>
        <w:pStyle w:val="ListParagraph"/>
        <w:spacing w:lineRule="auto" w:line="240"/>
        <w:rPr>
          <w:rFonts w:ascii="Courier New" w:hAnsi="Courier New" w:cs="Courier New"/>
          <w:sz w:val="18"/>
          <w:szCs w:val="18"/>
        </w:rPr>
      </w:pPr>
      <w:r>
        <w:rPr>
          <w:rFonts w:cs="Courier New" w:ascii="Courier New" w:hAnsi="Courier New"/>
          <w:sz w:val="18"/>
          <w:szCs w:val="18"/>
        </w:rPr>
      </w:r>
    </w:p>
    <w:p>
      <w:pPr>
        <w:pStyle w:val="ListParagraph"/>
        <w:spacing w:lineRule="auto" w:line="240"/>
        <w:rPr>
          <w:rFonts w:ascii="Courier New" w:hAnsi="Courier New" w:cs="Courier New"/>
          <w:sz w:val="18"/>
          <w:szCs w:val="18"/>
        </w:rPr>
      </w:pPr>
      <w:r>
        <w:rPr>
          <w:rFonts w:cs="Courier New" w:ascii="Courier New" w:hAnsi="Courier New"/>
          <w:sz w:val="18"/>
          <w:szCs w:val="18"/>
        </w:rPr>
      </w:r>
    </w:p>
    <w:p>
      <w:pPr>
        <w:pStyle w:val="Normal"/>
        <w:spacing w:lineRule="auto" w:line="240"/>
        <w:rPr>
          <w:rFonts w:ascii="Calibri" w:hAnsi="Calibri"/>
          <w:sz w:val="20"/>
          <w:szCs w:val="20"/>
          <w:lang w:val="en-US"/>
        </w:rPr>
      </w:pPr>
      <w:r>
        <w:rPr>
          <w:sz w:val="20"/>
          <w:szCs w:val="20"/>
          <w:lang w:val="en-US"/>
        </w:rPr>
        <w:t xml:space="preserve">Supplementary Table 2. </w:t>
      </w:r>
      <w:r>
        <w:rPr>
          <w:bCs/>
          <w:color w:val="000000"/>
          <w:sz w:val="20"/>
          <w:szCs w:val="20"/>
          <w:lang w:val="en-US"/>
        </w:rPr>
        <w:t xml:space="preserve">Multivariable Cox proportional hazard model reporting hazard ratios for cancer site adjusted for age, sex, screening status, stage, and grade. </w:t>
      </w:r>
      <w:r>
        <w:rPr>
          <w:sz w:val="20"/>
          <w:szCs w:val="20"/>
          <w:lang w:val="en-US"/>
        </w:rPr>
        <w:t>Incident colon cancer cases, Emilia-Romagna, Italy, 2000-2012, follow up until December 31, 2017. Number of observations=8,327.</w:t>
      </w:r>
    </w:p>
    <w:tbl>
      <w:tblPr>
        <w:tblW w:w="3050" w:type="pct"/>
        <w:jc w:val="left"/>
        <w:tblInd w:w="922" w:type="dxa"/>
        <w:tblLayout w:type="fixed"/>
        <w:tblCellMar>
          <w:top w:w="0" w:type="dxa"/>
          <w:left w:w="70" w:type="dxa"/>
          <w:bottom w:w="0" w:type="dxa"/>
          <w:right w:w="70" w:type="dxa"/>
        </w:tblCellMar>
        <w:tblLook w:firstRow="1" w:noVBand="1" w:lastRow="0" w:firstColumn="1" w:lastColumn="0" w:noHBand="0" w:val="04a0"/>
      </w:tblPr>
      <w:tblGrid>
        <w:gridCol w:w="3125"/>
        <w:gridCol w:w="144"/>
        <w:gridCol w:w="584"/>
        <w:gridCol w:w="1128"/>
        <w:gridCol w:w="898"/>
      </w:tblGrid>
      <w:tr>
        <w:trPr>
          <w:trHeight w:val="300" w:hRule="atLeast"/>
        </w:trPr>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Factors</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b/>
                <w:b/>
                <w:i/>
                <w:i/>
                <w:color w:val="000000"/>
                <w:sz w:val="20"/>
                <w:szCs w:val="20"/>
                <w:lang w:val="en-GB"/>
              </w:rPr>
            </w:pPr>
            <w:r>
              <w:rPr>
                <w:b/>
                <w:i/>
                <w:color w:val="000000"/>
                <w:sz w:val="20"/>
                <w:szCs w:val="20"/>
                <w:lang w:val="en-GB"/>
              </w:rPr>
            </w:r>
          </w:p>
        </w:tc>
        <w:tc>
          <w:tcPr>
            <w:tcW w:w="2610" w:type="dxa"/>
            <w:gridSpan w:val="3"/>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b/>
                <w:b/>
                <w:i/>
                <w:i/>
                <w:color w:val="000000"/>
                <w:sz w:val="20"/>
                <w:szCs w:val="20"/>
                <w:lang w:val="en-GB"/>
              </w:rPr>
            </w:pPr>
            <w:r>
              <w:rPr>
                <w:b/>
                <w:i/>
                <w:color w:val="000000"/>
                <w:sz w:val="20"/>
                <w:szCs w:val="20"/>
                <w:lang w:val="en-GB"/>
              </w:rPr>
              <w:t>Multivariable analysis</w:t>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r>
          </w:p>
        </w:tc>
        <w:tc>
          <w:tcPr>
            <w:tcW w:w="144" w:type="dxa"/>
            <w:tcBorders>
              <w:bottom w:val="single" w:sz="4" w:space="0" w:color="000000"/>
            </w:tcBorders>
          </w:tcPr>
          <w:p>
            <w:pPr>
              <w:pStyle w:val="Normal"/>
              <w:widowControl w:val="false"/>
              <w:spacing w:before="0" w:after="200"/>
              <w:jc w:val="center"/>
              <w:rPr>
                <w:rFonts w:ascii="Calibri" w:hAnsi="Calibri"/>
                <w:i/>
                <w:i/>
                <w:iCs/>
                <w:color w:val="000000"/>
                <w:sz w:val="20"/>
                <w:szCs w:val="20"/>
                <w:lang w:val="en-GB"/>
              </w:rPr>
            </w:pPr>
            <w:r>
              <w:rPr>
                <w:i/>
                <w:iCs/>
                <w:color w:val="000000"/>
                <w:sz w:val="20"/>
                <w:szCs w:val="20"/>
                <w:lang w:val="en-GB"/>
              </w:rPr>
            </w:r>
          </w:p>
        </w:tc>
        <w:tc>
          <w:tcPr>
            <w:tcW w:w="584" w:type="dxa"/>
            <w:tcBorders>
              <w:bottom w:val="single" w:sz="4" w:space="0" w:color="000000"/>
            </w:tcBorders>
            <w:vAlign w:val="bottom"/>
          </w:tcPr>
          <w:p>
            <w:pPr>
              <w:pStyle w:val="Normal"/>
              <w:widowControl w:val="false"/>
              <w:spacing w:before="0" w:after="200"/>
              <w:jc w:val="center"/>
              <w:rPr>
                <w:rFonts w:ascii="Calibri" w:hAnsi="Calibri"/>
                <w:i/>
                <w:i/>
                <w:iCs/>
                <w:color w:val="000000" w:themeColor="text1"/>
                <w:sz w:val="20"/>
                <w:szCs w:val="20"/>
                <w:lang w:val="en-GB"/>
              </w:rPr>
            </w:pPr>
            <w:r>
              <w:rPr>
                <w:i/>
                <w:iCs/>
                <w:color w:val="000000" w:themeColor="text1"/>
                <w:sz w:val="20"/>
                <w:szCs w:val="20"/>
                <w:lang w:val="en-GB"/>
              </w:rPr>
              <w:t>HR</w:t>
            </w:r>
          </w:p>
        </w:tc>
        <w:tc>
          <w:tcPr>
            <w:tcW w:w="112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i/>
                <w:i/>
                <w:iCs/>
                <w:color w:val="000000"/>
                <w:sz w:val="20"/>
                <w:szCs w:val="20"/>
                <w:lang w:val="en-GB"/>
              </w:rPr>
            </w:pPr>
            <w:r>
              <w:rPr>
                <w:i/>
                <w:iCs/>
                <w:color w:val="000000"/>
                <w:sz w:val="20"/>
                <w:szCs w:val="20"/>
                <w:lang w:val="en-GB"/>
              </w:rPr>
              <w:t>95% CI</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i/>
                <w:i/>
                <w:iCs/>
                <w:color w:val="000000"/>
                <w:sz w:val="20"/>
                <w:szCs w:val="20"/>
                <w:lang w:val="en-GB"/>
              </w:rPr>
            </w:pPr>
            <w:r>
              <w:rPr>
                <w:color w:val="000000"/>
                <w:sz w:val="20"/>
                <w:szCs w:val="20"/>
                <w:lang w:val="en-GB"/>
              </w:rPr>
              <w:t>P</w:t>
            </w:r>
            <w:r>
              <w:rPr>
                <w:i/>
                <w:iCs/>
                <w:color w:val="000000"/>
                <w:sz w:val="20"/>
                <w:szCs w:val="20"/>
                <w:lang w:val="en-GB"/>
              </w:rPr>
              <w:t xml:space="preserve"> value</w:t>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(Site) Left</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r>
      <w:tr>
        <w:trPr>
          <w:trHeight w:val="300" w:hRule="atLeast"/>
        </w:trPr>
        <w:tc>
          <w:tcPr>
            <w:tcW w:w="3125"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Calibri" w:hAnsi="Calibri"/>
                <w:color w:val="000000"/>
                <w:sz w:val="20"/>
                <w:szCs w:val="20"/>
                <w:lang w:val="en-GB"/>
              </w:rPr>
            </w:pPr>
            <w:r>
              <w:rPr>
                <w:color w:val="000000"/>
                <w:sz w:val="20"/>
                <w:szCs w:val="20"/>
                <w:lang w:val="en-GB"/>
              </w:rPr>
              <w:t>Right</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1.11</w:t>
            </w:r>
          </w:p>
        </w:tc>
        <w:tc>
          <w:tcPr>
            <w:tcW w:w="1128"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(1.02-1.21)</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0.012</w:t>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Transverse</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1.03</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(0.87-1.22)</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0.696</w:t>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Age</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1.05</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(1.04-1.05)</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&lt;0.001</w:t>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(Sex) Male</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Female</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0.70</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(0.65-0.76)</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&lt;0.001</w:t>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i/>
                <w:iCs/>
                <w:color w:val="000000"/>
                <w:sz w:val="20"/>
                <w:szCs w:val="20"/>
                <w:lang w:val="en-GB"/>
              </w:rPr>
              <w:t>(Screening) Uninvited/ non-attendees</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Screen-detected/interval cancers</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0.65</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(0.60-0.71)</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000000" w:themeColor="text1"/>
                <w:sz w:val="20"/>
                <w:szCs w:val="20"/>
                <w:lang w:val="en-GB"/>
              </w:rPr>
              <w:t>&lt;0.001</w:t>
            </w:r>
          </w:p>
        </w:tc>
      </w:tr>
      <w:tr>
        <w:trPr>
          <w:trHeight w:val="315"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(Histological type) Adenocarcinoma</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Carcinoma NOS</w:t>
            </w:r>
            <w:r>
              <w:rPr>
                <w:color w:val="000000" w:themeColor="text1"/>
                <w:sz w:val="20"/>
                <w:szCs w:val="20"/>
                <w:vertAlign w:val="superscript"/>
                <w:lang w:val="en-GB"/>
              </w:rPr>
              <w:t>a</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2.09</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(1.25-3.50)</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0.005</w:t>
            </w:r>
          </w:p>
        </w:tc>
      </w:tr>
      <w:tr>
        <w:trPr>
          <w:trHeight w:val="391"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Mucinous</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1.19</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(1.04-1.36)</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0.013</w:t>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Other</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0.91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(0.40-2.03)</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0.814</w:t>
            </w:r>
          </w:p>
        </w:tc>
      </w:tr>
      <w:tr>
        <w:trPr>
          <w:trHeight w:val="300" w:hRule="atLeast"/>
        </w:trPr>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i/>
                <w:iCs/>
                <w:color w:val="000000"/>
                <w:sz w:val="20"/>
                <w:szCs w:val="20"/>
                <w:lang w:val="en-GB"/>
              </w:rPr>
              <w:t>(Stage) I</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c>
          <w:tcPr>
            <w:tcW w:w="89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r>
      <w:tr>
        <w:trPr>
          <w:trHeight w:val="300" w:hRule="atLeast"/>
        </w:trPr>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II</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1.43</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(1.25-1.64)</w:t>
            </w:r>
          </w:p>
        </w:tc>
        <w:tc>
          <w:tcPr>
            <w:tcW w:w="89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&lt;0.001</w:t>
            </w:r>
          </w:p>
        </w:tc>
      </w:tr>
      <w:tr>
        <w:trPr>
          <w:trHeight w:val="300" w:hRule="atLeast"/>
        </w:trPr>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III</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2.51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(2.20-2.85)</w:t>
            </w:r>
          </w:p>
        </w:tc>
        <w:tc>
          <w:tcPr>
            <w:tcW w:w="89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IV</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11.76</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(10.3-13.37)</w:t>
            </w:r>
          </w:p>
        </w:tc>
        <w:tc>
          <w:tcPr>
            <w:tcW w:w="89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&lt;0.001</w:t>
            </w:r>
          </w:p>
        </w:tc>
      </w:tr>
      <w:tr>
        <w:trPr>
          <w:trHeight w:val="300" w:hRule="atLeast"/>
        </w:trPr>
        <w:tc>
          <w:tcPr>
            <w:tcW w:w="3125"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Unknown</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2.32</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(1.74-3.09)</w:t>
            </w:r>
          </w:p>
        </w:tc>
        <w:tc>
          <w:tcPr>
            <w:tcW w:w="89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t>&lt;0.001</w:t>
            </w:r>
          </w:p>
        </w:tc>
      </w:tr>
      <w:tr>
        <w:trPr>
          <w:trHeight w:val="300" w:hRule="atLeast"/>
        </w:trPr>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color w:val="000000"/>
                <w:sz w:val="20"/>
                <w:szCs w:val="20"/>
                <w:lang w:val="en-GB"/>
              </w:rPr>
            </w:pPr>
            <w:r>
              <w:rPr>
                <w:i/>
                <w:color w:val="000000"/>
                <w:sz w:val="20"/>
                <w:szCs w:val="20"/>
                <w:lang w:val="en-GB"/>
              </w:rPr>
              <w:t>(Grade) G1</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c>
          <w:tcPr>
            <w:tcW w:w="89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r>
      <w:tr>
        <w:trPr>
          <w:trHeight w:val="300" w:hRule="atLeast"/>
        </w:trPr>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G2</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0.85</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(0.75-0.98)</w:t>
            </w:r>
          </w:p>
        </w:tc>
        <w:tc>
          <w:tcPr>
            <w:tcW w:w="89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0.023</w:t>
            </w:r>
          </w:p>
        </w:tc>
      </w:tr>
      <w:tr>
        <w:trPr>
          <w:trHeight w:val="300" w:hRule="atLeast"/>
        </w:trPr>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G3-4</w:t>
            </w:r>
          </w:p>
        </w:tc>
        <w:tc>
          <w:tcPr>
            <w:tcW w:w="144"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4"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1.31</w:t>
            </w:r>
          </w:p>
        </w:tc>
        <w:tc>
          <w:tcPr>
            <w:tcW w:w="112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(1.13-1.52)</w:t>
            </w:r>
          </w:p>
        </w:tc>
        <w:tc>
          <w:tcPr>
            <w:tcW w:w="89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bl>
    <w:p>
      <w:pPr>
        <w:pStyle w:val="ListParagraph"/>
        <w:spacing w:lineRule="auto" w:line="240"/>
        <w:rPr>
          <w:rFonts w:ascii="Courier New" w:hAnsi="Courier New" w:cs="Courier New"/>
          <w:sz w:val="18"/>
          <w:szCs w:val="18"/>
        </w:rPr>
      </w:pPr>
      <w:r>
        <w:rPr>
          <w:rFonts w:cs="Courier New" w:ascii="Courier New" w:hAnsi="Courier New"/>
          <w:sz w:val="18"/>
          <w:szCs w:val="18"/>
        </w:rPr>
      </w:r>
    </w:p>
    <w:p>
      <w:pPr>
        <w:pStyle w:val="ListParagraph"/>
        <w:spacing w:lineRule="auto" w:line="240"/>
        <w:rPr>
          <w:rFonts w:ascii="Courier New" w:hAnsi="Courier New" w:cs="Courier New"/>
          <w:sz w:val="18"/>
          <w:szCs w:val="18"/>
        </w:rPr>
      </w:pPr>
      <w:r>
        <w:rPr>
          <w:rFonts w:cs="Courier New" w:ascii="Courier New" w:hAnsi="Courier New"/>
          <w:sz w:val="18"/>
          <w:szCs w:val="18"/>
        </w:rPr>
      </w:r>
    </w:p>
    <w:p>
      <w:pPr>
        <w:pStyle w:val="Normal"/>
        <w:rPr>
          <w:rFonts w:ascii="Calibri" w:hAnsi="Calibri"/>
          <w:sz w:val="20"/>
          <w:szCs w:val="20"/>
          <w:lang w:val="en-US"/>
        </w:rPr>
      </w:pPr>
      <w:r>
        <w:rPr>
          <w:sz w:val="20"/>
          <w:szCs w:val="20"/>
          <w:lang w:val="en-US"/>
        </w:rPr>
      </w:r>
      <w:r>
        <w:br w:type="page"/>
      </w:r>
    </w:p>
    <w:p>
      <w:pPr>
        <w:pStyle w:val="Normal"/>
        <w:spacing w:lineRule="auto" w:line="240"/>
        <w:rPr>
          <w:rFonts w:ascii="Calibri" w:hAnsi="Calibri"/>
          <w:sz w:val="20"/>
          <w:szCs w:val="20"/>
          <w:lang w:val="en-US"/>
        </w:rPr>
      </w:pPr>
      <w:r>
        <w:rPr>
          <w:sz w:val="20"/>
          <w:szCs w:val="20"/>
          <w:lang w:val="en-US"/>
        </w:rPr>
        <w:t xml:space="preserve">Supplementary Table 3. </w:t>
      </w:r>
      <w:r>
        <w:rPr>
          <w:bCs/>
          <w:color w:val="000000"/>
          <w:sz w:val="20"/>
          <w:szCs w:val="20"/>
          <w:lang w:val="en-US"/>
        </w:rPr>
        <w:t xml:space="preserve">Multivariable Cox proportional hazard model reporting hazard ratios for cancer site adjusted for age, sex, screening status, stage, grade, and number of removed lymph nodes. </w:t>
      </w:r>
      <w:r>
        <w:rPr>
          <w:sz w:val="20"/>
          <w:szCs w:val="20"/>
          <w:lang w:val="en-US"/>
        </w:rPr>
        <w:t>Incident colon cancer cases, Emilia-Romagna, Italy, 2000-2012, follow up until December 31, 2017. Number of observations=8,274.</w:t>
      </w:r>
    </w:p>
    <w:tbl>
      <w:tblPr>
        <w:tblW w:w="3050" w:type="pct"/>
        <w:jc w:val="left"/>
        <w:tblInd w:w="922" w:type="dxa"/>
        <w:tblLayout w:type="fixed"/>
        <w:tblCellMar>
          <w:top w:w="0" w:type="dxa"/>
          <w:left w:w="70" w:type="dxa"/>
          <w:bottom w:w="0" w:type="dxa"/>
          <w:right w:w="70" w:type="dxa"/>
        </w:tblCellMar>
        <w:tblLook w:firstRow="1" w:noVBand="1" w:lastRow="0" w:firstColumn="1" w:lastColumn="0" w:noHBand="0" w:val="04a0"/>
      </w:tblPr>
      <w:tblGrid>
        <w:gridCol w:w="3078"/>
        <w:gridCol w:w="143"/>
        <w:gridCol w:w="582"/>
        <w:gridCol w:w="1208"/>
        <w:gridCol w:w="868"/>
      </w:tblGrid>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Factors</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b/>
                <w:b/>
                <w:i/>
                <w:i/>
                <w:color w:val="000000"/>
                <w:sz w:val="20"/>
                <w:szCs w:val="20"/>
                <w:lang w:val="en-GB"/>
              </w:rPr>
            </w:pPr>
            <w:r>
              <w:rPr>
                <w:b/>
                <w:i/>
                <w:color w:val="000000"/>
                <w:sz w:val="20"/>
                <w:szCs w:val="20"/>
                <w:lang w:val="en-GB"/>
              </w:rPr>
            </w:r>
          </w:p>
        </w:tc>
        <w:tc>
          <w:tcPr>
            <w:tcW w:w="2658" w:type="dxa"/>
            <w:gridSpan w:val="3"/>
            <w:tcBorders>
              <w:top w:val="single" w:sz="4" w:space="0" w:color="000000"/>
              <w:bottom w:val="single" w:sz="4" w:space="0" w:color="000000"/>
              <w:right w:val="single" w:sz="4" w:space="0" w:color="000000"/>
            </w:tcBorders>
          </w:tcPr>
          <w:p>
            <w:pPr>
              <w:pStyle w:val="Normal"/>
              <w:widowControl w:val="false"/>
              <w:spacing w:before="0" w:after="200"/>
              <w:jc w:val="center"/>
              <w:rPr>
                <w:rFonts w:ascii="Calibri" w:hAnsi="Calibri"/>
                <w:b/>
                <w:b/>
                <w:i/>
                <w:i/>
                <w:color w:val="000000"/>
                <w:sz w:val="20"/>
                <w:szCs w:val="20"/>
                <w:lang w:val="en-GB"/>
              </w:rPr>
            </w:pPr>
            <w:r>
              <w:rPr>
                <w:b/>
                <w:i/>
                <w:color w:val="000000"/>
                <w:sz w:val="20"/>
                <w:szCs w:val="20"/>
                <w:lang w:val="en-GB"/>
              </w:rPr>
              <w:t>Multivariable analysis</w:t>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r>
          </w:p>
        </w:tc>
        <w:tc>
          <w:tcPr>
            <w:tcW w:w="143" w:type="dxa"/>
            <w:tcBorders>
              <w:bottom w:val="single" w:sz="4" w:space="0" w:color="000000"/>
            </w:tcBorders>
          </w:tcPr>
          <w:p>
            <w:pPr>
              <w:pStyle w:val="Normal"/>
              <w:widowControl w:val="false"/>
              <w:spacing w:before="0" w:after="200"/>
              <w:jc w:val="center"/>
              <w:rPr>
                <w:rFonts w:ascii="Calibri" w:hAnsi="Calibri"/>
                <w:i/>
                <w:i/>
                <w:iCs/>
                <w:color w:val="000000"/>
                <w:sz w:val="20"/>
                <w:szCs w:val="20"/>
                <w:lang w:val="en-GB"/>
              </w:rPr>
            </w:pPr>
            <w:r>
              <w:rPr>
                <w:i/>
                <w:iCs/>
                <w:color w:val="000000"/>
                <w:sz w:val="20"/>
                <w:szCs w:val="20"/>
                <w:lang w:val="en-GB"/>
              </w:rPr>
            </w:r>
          </w:p>
        </w:tc>
        <w:tc>
          <w:tcPr>
            <w:tcW w:w="582" w:type="dxa"/>
            <w:tcBorders>
              <w:bottom w:val="single" w:sz="4" w:space="0" w:color="000000"/>
            </w:tcBorders>
            <w:vAlign w:val="bottom"/>
          </w:tcPr>
          <w:p>
            <w:pPr>
              <w:pStyle w:val="Normal"/>
              <w:widowControl w:val="false"/>
              <w:spacing w:before="0" w:after="200"/>
              <w:jc w:val="center"/>
              <w:rPr>
                <w:rFonts w:ascii="Calibri" w:hAnsi="Calibri"/>
                <w:i/>
                <w:i/>
                <w:iCs/>
                <w:color w:val="000000"/>
                <w:sz w:val="20"/>
                <w:szCs w:val="20"/>
                <w:lang w:val="en-GB"/>
              </w:rPr>
            </w:pPr>
            <w:r>
              <w:rPr>
                <w:i/>
                <w:iCs/>
                <w:color w:val="000000"/>
                <w:sz w:val="20"/>
                <w:szCs w:val="20"/>
                <w:lang w:val="en-GB"/>
              </w:rPr>
              <w:t>HR</w:t>
            </w:r>
          </w:p>
        </w:tc>
        <w:tc>
          <w:tcPr>
            <w:tcW w:w="120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i/>
                <w:i/>
                <w:iCs/>
                <w:color w:val="000000"/>
                <w:sz w:val="20"/>
                <w:szCs w:val="20"/>
                <w:lang w:val="en-GB"/>
              </w:rPr>
            </w:pPr>
            <w:r>
              <w:rPr>
                <w:i/>
                <w:iCs/>
                <w:color w:val="000000"/>
                <w:sz w:val="20"/>
                <w:szCs w:val="20"/>
                <w:lang w:val="en-GB"/>
              </w:rPr>
              <w:t>95% CI</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i/>
                <w:i/>
                <w:iCs/>
                <w:color w:val="000000"/>
                <w:sz w:val="20"/>
                <w:szCs w:val="20"/>
                <w:lang w:val="en-GB"/>
              </w:rPr>
            </w:pPr>
            <w:r>
              <w:rPr>
                <w:color w:val="000000"/>
                <w:sz w:val="20"/>
                <w:szCs w:val="20"/>
                <w:lang w:val="en-GB"/>
              </w:rPr>
              <w:t>P</w:t>
            </w:r>
            <w:r>
              <w:rPr>
                <w:i/>
                <w:iCs/>
                <w:color w:val="000000"/>
                <w:sz w:val="20"/>
                <w:szCs w:val="20"/>
                <w:lang w:val="en-GB"/>
              </w:rPr>
              <w:t xml:space="preserve"> value</w:t>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(Site) Left</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r>
      <w:tr>
        <w:trPr>
          <w:trHeight w:val="300" w:hRule="atLeast"/>
        </w:trPr>
        <w:tc>
          <w:tcPr>
            <w:tcW w:w="3078"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Calibri" w:hAnsi="Calibri"/>
                <w:color w:val="000000"/>
                <w:sz w:val="20"/>
                <w:szCs w:val="20"/>
                <w:lang w:val="en-GB"/>
              </w:rPr>
            </w:pPr>
            <w:r>
              <w:rPr>
                <w:color w:val="000000"/>
                <w:sz w:val="20"/>
                <w:szCs w:val="20"/>
                <w:lang w:val="en-GB"/>
              </w:rPr>
              <w:t>Right</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center"/>
          </w:tcPr>
          <w:p>
            <w:pPr>
              <w:pStyle w:val="Normal"/>
              <w:widowControl w:val="false"/>
              <w:spacing w:before="0" w:after="200"/>
              <w:jc w:val="center"/>
              <w:rPr>
                <w:rFonts w:ascii="Calibri" w:hAnsi="Calibri"/>
                <w:sz w:val="20"/>
                <w:szCs w:val="20"/>
                <w:lang w:val="en-GB"/>
              </w:rPr>
            </w:pPr>
            <w:r>
              <w:rPr>
                <w:sz w:val="20"/>
                <w:szCs w:val="20"/>
                <w:lang w:val="en-GB"/>
              </w:rPr>
              <w:t>1.22</w:t>
            </w:r>
          </w:p>
        </w:tc>
        <w:tc>
          <w:tcPr>
            <w:tcW w:w="1208"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Calibri" w:hAnsi="Calibri"/>
                <w:sz w:val="20"/>
                <w:szCs w:val="20"/>
                <w:lang w:val="en-GB"/>
              </w:rPr>
            </w:pPr>
            <w:r>
              <w:rPr>
                <w:sz w:val="20"/>
                <w:szCs w:val="20"/>
                <w:lang w:val="en-GB"/>
              </w:rPr>
              <w:t>(1.12-1.33)</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Transverse</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1.06</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(0.90-1.26)</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0.480</w:t>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Age</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1.04</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(1.04-1.05)</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(Sex) Male</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Female</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0.70</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(0.65-0.76)</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15"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(Histological type) Adenocarcinoma</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themeColor="text1"/>
                <w:sz w:val="20"/>
                <w:szCs w:val="20"/>
                <w:lang w:val="en-GB"/>
              </w:rPr>
            </w:pPr>
            <w:r>
              <w:rPr>
                <w:color w:val="000000" w:themeColor="text1"/>
                <w:sz w:val="20"/>
                <w:szCs w:val="20"/>
                <w:lang w:val="en-GB"/>
              </w:rPr>
              <w:t>Carcinoma NOS</w:t>
            </w:r>
            <w:r>
              <w:rPr>
                <w:color w:val="000000" w:themeColor="text1"/>
                <w:sz w:val="20"/>
                <w:szCs w:val="20"/>
                <w:vertAlign w:val="superscript"/>
                <w:lang w:val="en-GB"/>
              </w:rPr>
              <w:t>a</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themeColor="text1"/>
                <w:sz w:val="20"/>
                <w:szCs w:val="20"/>
                <w:lang w:val="en-GB"/>
              </w:rPr>
            </w:pPr>
            <w:r>
              <w:rPr>
                <w:color w:val="000000" w:themeColor="text1"/>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1.78</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(1.06-2.98)</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0.029</w:t>
            </w:r>
          </w:p>
        </w:tc>
      </w:tr>
      <w:tr>
        <w:trPr>
          <w:trHeight w:val="391"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Mucinous</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1.20</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(1.05-1.38)</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0.007</w:t>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Other</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0.75</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(0.34-1.68)</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0.483</w:t>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iCs/>
                <w:color w:val="000000"/>
                <w:sz w:val="20"/>
                <w:szCs w:val="20"/>
                <w:lang w:val="en-GB"/>
              </w:rPr>
            </w:pPr>
            <w:r>
              <w:rPr>
                <w:i/>
                <w:iCs/>
                <w:color w:val="000000"/>
                <w:sz w:val="20"/>
                <w:szCs w:val="20"/>
                <w:lang w:val="en-GB"/>
              </w:rPr>
              <w:t>(Screening) Uninvited/ non-attenders</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r>
      <w:tr>
        <w:trPr>
          <w:trHeight w:val="315"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Screen-detected/interval cancers</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0.64</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(0.59-0.69)</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i/>
                <w:iCs/>
                <w:color w:val="000000"/>
                <w:sz w:val="20"/>
                <w:szCs w:val="20"/>
                <w:lang w:val="en-GB"/>
              </w:rPr>
              <w:t>(Stage) I</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II</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1.75</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(1.51-2.02)</w:t>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III</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3.05</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(2.66-3.49)</w:t>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IV</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13.61</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(11.93-15.54)</w:t>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Unknown</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1.63</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(1.21-2.19)</w:t>
            </w:r>
          </w:p>
        </w:tc>
        <w:tc>
          <w:tcPr>
            <w:tcW w:w="868" w:type="dxa"/>
            <w:tcBorders>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0.001</w:t>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i/>
                <w:i/>
                <w:color w:val="000000"/>
                <w:sz w:val="20"/>
                <w:szCs w:val="20"/>
                <w:lang w:val="en-GB"/>
              </w:rPr>
            </w:pPr>
            <w:r>
              <w:rPr>
                <w:i/>
                <w:color w:val="000000"/>
                <w:sz w:val="20"/>
                <w:szCs w:val="20"/>
                <w:lang w:val="en-GB"/>
              </w:rPr>
              <w:t>(Grade) G1</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sz w:val="20"/>
                <w:szCs w:val="20"/>
                <w:lang w:val="en-GB"/>
              </w:rPr>
              <w:t>1</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G2</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0.98</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(0.85-1.12)</w:t>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0.731</w:t>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lang w:val="en-GB"/>
              </w:rPr>
            </w:pPr>
            <w:r>
              <w:rPr>
                <w:color w:val="000000"/>
                <w:sz w:val="20"/>
                <w:szCs w:val="20"/>
                <w:lang w:val="en-GB"/>
              </w:rPr>
              <w:t>G3-4</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1.49</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(1.28-1.73)</w:t>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i/>
                <w:i/>
                <w:color w:val="000000"/>
                <w:sz w:val="20"/>
                <w:szCs w:val="20"/>
                <w:lang w:val="en-GB"/>
              </w:rPr>
            </w:pPr>
            <w:r>
              <w:rPr>
                <w:i/>
                <w:color w:val="000000"/>
                <w:sz w:val="20"/>
                <w:szCs w:val="20"/>
              </w:rPr>
              <w:t>(LN harvest) &lt;12</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color w:val="FF0000"/>
                <w:sz w:val="20"/>
                <w:szCs w:val="20"/>
                <w:lang w:val="en-GB"/>
              </w:rPr>
            </w:pPr>
            <w:r>
              <w:rPr>
                <w:color w:val="FF0000"/>
                <w:sz w:val="20"/>
                <w:szCs w:val="20"/>
                <w:lang w:val="en-GB"/>
              </w:rPr>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color w:val="000000"/>
                <w:sz w:val="20"/>
                <w:szCs w:val="20"/>
                <w:lang w:val="en-GB"/>
              </w:rPr>
            </w:pPr>
            <w:r>
              <w:rPr>
                <w:color w:val="000000"/>
                <w:sz w:val="20"/>
                <w:szCs w:val="20"/>
              </w:rPr>
              <w:t>12-21</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0.82</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(0.74-0.91)</w:t>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rPr>
            </w:pPr>
            <w:r>
              <w:rPr>
                <w:color w:val="000000"/>
                <w:sz w:val="20"/>
                <w:szCs w:val="20"/>
              </w:rPr>
              <w:t>&gt;21</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0.69</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(0.61-0.77)</w:t>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r>
        <w:trPr>
          <w:trHeight w:val="300" w:hRule="atLeast"/>
        </w:trPr>
        <w:tc>
          <w:tcPr>
            <w:tcW w:w="3078"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0" w:after="200"/>
              <w:rPr>
                <w:rFonts w:ascii="Calibri" w:hAnsi="Calibri"/>
                <w:color w:val="000000"/>
                <w:sz w:val="20"/>
                <w:szCs w:val="20"/>
              </w:rPr>
            </w:pPr>
            <w:r>
              <w:rPr>
                <w:color w:val="000000"/>
                <w:sz w:val="20"/>
                <w:szCs w:val="20"/>
              </w:rPr>
              <w:t xml:space="preserve">Not </w:t>
            </w:r>
            <w:r>
              <w:rPr>
                <w:color w:val="000000"/>
                <w:sz w:val="20"/>
                <w:szCs w:val="20"/>
                <w:lang w:val="en-GB"/>
              </w:rPr>
              <w:t>Removed</w:t>
            </w:r>
          </w:p>
        </w:tc>
        <w:tc>
          <w:tcPr>
            <w:tcW w:w="143" w:type="dxa"/>
            <w:tcBorders>
              <w:top w:val="single" w:sz="4" w:space="0" w:color="000000"/>
              <w:bottom w:val="single" w:sz="4" w:space="0" w:color="000000"/>
            </w:tcBorders>
          </w:tcPr>
          <w:p>
            <w:pPr>
              <w:pStyle w:val="Normal"/>
              <w:widowControl w:val="false"/>
              <w:spacing w:before="0" w:after="200"/>
              <w:jc w:val="center"/>
              <w:rPr>
                <w:rFonts w:ascii="Calibri" w:hAnsi="Calibri"/>
                <w:color w:val="000000"/>
                <w:sz w:val="20"/>
                <w:szCs w:val="20"/>
                <w:lang w:val="en-GB"/>
              </w:rPr>
            </w:pPr>
            <w:r>
              <w:rPr>
                <w:color w:val="000000"/>
                <w:sz w:val="20"/>
                <w:szCs w:val="20"/>
                <w:lang w:val="en-GB"/>
              </w:rPr>
            </w:r>
          </w:p>
        </w:tc>
        <w:tc>
          <w:tcPr>
            <w:tcW w:w="582" w:type="dxa"/>
            <w:tcBorders>
              <w:top w:val="single" w:sz="4" w:space="0" w:color="000000"/>
              <w:bottom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1.74</w:t>
            </w:r>
          </w:p>
        </w:tc>
        <w:tc>
          <w:tcPr>
            <w:tcW w:w="120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(1.49-2.04)</w:t>
            </w:r>
          </w:p>
        </w:tc>
        <w:tc>
          <w:tcPr>
            <w:tcW w:w="868" w:type="dxa"/>
            <w:tcBorders>
              <w:top w:val="single" w:sz="4" w:space="0" w:color="000000"/>
              <w:bottom w:val="single" w:sz="4" w:space="0" w:color="000000"/>
              <w:right w:val="single" w:sz="4" w:space="0" w:color="000000"/>
            </w:tcBorders>
            <w:vAlign w:val="bottom"/>
          </w:tcPr>
          <w:p>
            <w:pPr>
              <w:pStyle w:val="Normal"/>
              <w:widowControl w:val="false"/>
              <w:spacing w:before="0" w:after="200"/>
              <w:jc w:val="center"/>
              <w:rPr>
                <w:rFonts w:ascii="Calibri" w:hAnsi="Calibri"/>
                <w:sz w:val="20"/>
                <w:szCs w:val="20"/>
                <w:lang w:val="en-GB"/>
              </w:rPr>
            </w:pPr>
            <w:r>
              <w:rPr>
                <w:sz w:val="20"/>
                <w:szCs w:val="20"/>
                <w:lang w:val="en-GB"/>
              </w:rPr>
              <w:t>&lt;0.001</w:t>
            </w:r>
          </w:p>
        </w:tc>
      </w:tr>
    </w:tbl>
    <w:p>
      <w:pPr>
        <w:sectPr>
          <w:type w:val="nextPage"/>
          <w:pgSz w:w="11906" w:h="16838"/>
          <w:pgMar w:left="1134" w:right="1133" w:header="0" w:top="1417" w:footer="0" w:bottom="1134" w:gutter="0"/>
          <w:pgNumType w:fmt="decimal"/>
          <w:formProt w:val="false"/>
          <w:textDirection w:val="lrTb"/>
          <w:docGrid w:type="default" w:linePitch="360" w:charSpace="4096"/>
        </w:sectPr>
      </w:pPr>
    </w:p>
    <w:p>
      <w:pPr>
        <w:pStyle w:val="Normal"/>
        <w:rPr>
          <w:rFonts w:ascii="Arial" w:hAnsi="Arial" w:cs="Arial"/>
          <w:sz w:val="20"/>
          <w:szCs w:val="20"/>
          <w:lang w:val="en-US"/>
        </w:rPr>
      </w:pPr>
      <w:r>
        <w:rPr>
          <w:rFonts w:cs="Arial" w:ascii="Arial" w:hAnsi="Arial"/>
          <w:sz w:val="20"/>
          <w:szCs w:val="20"/>
          <w:lang w:val="en-US"/>
        </w:rPr>
        <w:t>Supplementary Figure 10. Definition of left and right colon as reported in recently published studies.</w:t>
      </w:r>
    </w:p>
    <w:p>
      <w:pPr>
        <w:pStyle w:val="Normal"/>
        <w:spacing w:lineRule="auto" w:line="480"/>
        <w:rPr>
          <w:lang w:val="en-GB"/>
        </w:rPr>
      </w:pPr>
      <w:r>
        <w:rPr/>
        <w:drawing>
          <wp:inline distT="0" distB="0" distL="0" distR="0">
            <wp:extent cx="6467475" cy="3152775"/>
            <wp:effectExtent l="0" t="0" r="0" b="0"/>
            <wp:docPr id="10" name="Immagin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
                    <pic:cNvPicPr>
                      <a:picLocks noChangeAspect="1" noChangeArrowheads="1"/>
                    </pic:cNvPicPr>
                  </pic:nvPicPr>
                  <pic:blipFill>
                    <a:blip r:embed="rId12"/>
                    <a:stretch>
                      <a:fillRect/>
                    </a:stretch>
                  </pic:blipFill>
                  <pic:spPr bwMode="auto">
                    <a:xfrm>
                      <a:off x="0" y="0"/>
                      <a:ext cx="6467475" cy="3152775"/>
                    </a:xfrm>
                    <a:prstGeom prst="rect">
                      <a:avLst/>
                    </a:prstGeom>
                  </pic:spPr>
                </pic:pic>
              </a:graphicData>
            </a:graphic>
          </wp:inline>
        </w:drawing>
      </w:r>
    </w:p>
    <w:p>
      <w:pPr>
        <w:pStyle w:val="Normal"/>
        <w:rPr>
          <w:rFonts w:ascii="Courier New" w:hAnsi="Courier New" w:cs="Courier New"/>
          <w:sz w:val="18"/>
          <w:szCs w:val="18"/>
        </w:rPr>
      </w:pPr>
      <w:r>
        <w:rPr>
          <w:rFonts w:cs="Courier New" w:ascii="Courier New" w:hAnsi="Courier New"/>
          <w:sz w:val="18"/>
          <w:szCs w:val="18"/>
        </w:rPr>
      </w:r>
    </w:p>
    <w:p>
      <w:pPr>
        <w:pStyle w:val="Normal"/>
        <w:spacing w:lineRule="auto" w:line="240" w:before="0" w:after="0"/>
        <w:rPr>
          <w:rFonts w:ascii="Courier New" w:hAnsi="Courier New" w:cs="Courier New"/>
          <w:sz w:val="18"/>
          <w:szCs w:val="18"/>
        </w:rPr>
      </w:pPr>
      <w:r>
        <w:rPr/>
      </w:r>
    </w:p>
    <w:sectPr>
      <w:type w:val="nextPage"/>
      <w:pgSz w:w="11906" w:h="16838"/>
      <w:pgMar w:left="1134" w:right="1133"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Times New Roman">
    <w:charset w:val="01"/>
    <w:family w:val="roman"/>
    <w:pitch w:val="variable"/>
  </w:font>
  <w:font w:name="Courier New">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4f43cd"/>
    <w:rPr>
      <w:rFonts w:ascii="Tahoma" w:hAnsi="Tahoma" w:cs="Tahoma"/>
      <w:sz w:val="16"/>
      <w:szCs w:val="16"/>
    </w:rPr>
  </w:style>
  <w:style w:type="character" w:styleId="Annotationreference">
    <w:name w:val="annotation reference"/>
    <w:basedOn w:val="DefaultParagraphFont"/>
    <w:uiPriority w:val="99"/>
    <w:semiHidden/>
    <w:unhideWhenUsed/>
    <w:qFormat/>
    <w:rsid w:val="00074481"/>
    <w:rPr>
      <w:sz w:val="16"/>
      <w:szCs w:val="16"/>
    </w:rPr>
  </w:style>
  <w:style w:type="character" w:styleId="TestocommentoCarattere" w:customStyle="1">
    <w:name w:val="Testo commento Carattere"/>
    <w:basedOn w:val="DefaultParagraphFont"/>
    <w:link w:val="Testocommento"/>
    <w:uiPriority w:val="99"/>
    <w:semiHidden/>
    <w:qFormat/>
    <w:rsid w:val="00074481"/>
    <w:rPr>
      <w:sz w:val="20"/>
      <w:szCs w:val="20"/>
    </w:rPr>
  </w:style>
  <w:style w:type="character" w:styleId="SoggettocommentoCarattere" w:customStyle="1">
    <w:name w:val="Soggetto commento Carattere"/>
    <w:basedOn w:val="TestocommentoCarattere"/>
    <w:link w:val="Soggettocommento"/>
    <w:uiPriority w:val="99"/>
    <w:semiHidden/>
    <w:qFormat/>
    <w:rsid w:val="00074481"/>
    <w:rPr>
      <w:b/>
      <w:bCs/>
      <w:sz w:val="20"/>
      <w:szCs w:val="20"/>
    </w:rPr>
  </w:style>
  <w:style w:type="character" w:styleId="Markpo3u2uuje" w:customStyle="1">
    <w:name w:val="markpo3u2uuje"/>
    <w:qFormat/>
    <w:rsid w:val="00ee266a"/>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34"/>
    <w:qFormat/>
    <w:rsid w:val="00341128"/>
    <w:pPr>
      <w:spacing w:before="0" w:after="200"/>
      <w:ind w:left="720" w:hanging="0"/>
      <w:contextualSpacing/>
    </w:pPr>
    <w:rPr/>
  </w:style>
  <w:style w:type="paragraph" w:styleId="BalloonText">
    <w:name w:val="Balloon Text"/>
    <w:basedOn w:val="Normal"/>
    <w:link w:val="TestofumettoCarattere"/>
    <w:uiPriority w:val="99"/>
    <w:semiHidden/>
    <w:unhideWhenUsed/>
    <w:qFormat/>
    <w:rsid w:val="004f43cd"/>
    <w:pPr>
      <w:spacing w:lineRule="auto" w:line="240" w:before="0" w:after="0"/>
    </w:pPr>
    <w:rPr>
      <w:rFonts w:ascii="Tahoma" w:hAnsi="Tahoma" w:cs="Tahoma"/>
      <w:sz w:val="16"/>
      <w:szCs w:val="16"/>
    </w:rPr>
  </w:style>
  <w:style w:type="paragraph" w:styleId="Annotationtext">
    <w:name w:val="annotation text"/>
    <w:basedOn w:val="Normal"/>
    <w:link w:val="TestocommentoCarattere"/>
    <w:uiPriority w:val="99"/>
    <w:semiHidden/>
    <w:unhideWhenUsed/>
    <w:qFormat/>
    <w:rsid w:val="00074481"/>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074481"/>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ngone.lucia@ausl.re.it"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wmf"/><Relationship Id="rId6" Type="http://schemas.openxmlformats.org/officeDocument/2006/relationships/image" Target="media/image4.wmf"/><Relationship Id="rId7" Type="http://schemas.openxmlformats.org/officeDocument/2006/relationships/image" Target="media/image5.wmf"/><Relationship Id="rId8" Type="http://schemas.openxmlformats.org/officeDocument/2006/relationships/image" Target="media/image6.wmf"/><Relationship Id="rId9" Type="http://schemas.openxmlformats.org/officeDocument/2006/relationships/image" Target="media/image7.wmf"/><Relationship Id="rId10" Type="http://schemas.openxmlformats.org/officeDocument/2006/relationships/image" Target="media/image8.wmf"/><Relationship Id="rId11" Type="http://schemas.openxmlformats.org/officeDocument/2006/relationships/image" Target="media/image9.wmf"/><Relationship Id="rId12" Type="http://schemas.openxmlformats.org/officeDocument/2006/relationships/image" Target="media/image10.wmf"/><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071D8-BE42-41A9-B663-F8465C97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LibreOffice/7.0.3.1$Windows_X86_64 LibreOffice_project/d7547858d014d4cf69878db179d326fc3483e082</Application>
  <Pages>13</Pages>
  <Words>1720</Words>
  <Characters>9410</Characters>
  <CharactersWithSpaces>10756</CharactersWithSpaces>
  <Paragraphs>503</Paragraphs>
  <Company>Azienda USL di Reggio Emilia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2021-01-18T13:58:00Z</dcterms:created>
  <dc:creator>Martolina</dc:creator>
  <dc:description/>
  <dc:language>it-IT</dc:language>
  <cp:lastModifiedBy/>
  <dcterms:modified xsi:type="dcterms:W3CDTF">2021-02-02T10:07:54Z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Azienda USL di Reggio Emilia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