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89EE1" w14:textId="77777777" w:rsidR="00E170FE" w:rsidRDefault="00E170FE" w:rsidP="00E170FE">
      <w:pPr>
        <w:spacing w:line="480" w:lineRule="auto"/>
        <w:rPr>
          <w:b/>
          <w:sz w:val="32"/>
          <w:szCs w:val="32"/>
        </w:rPr>
      </w:pPr>
      <w:r>
        <w:rPr>
          <w:b/>
          <w:sz w:val="32"/>
          <w:szCs w:val="32"/>
        </w:rPr>
        <w:t>Individually optimal choices can be collectively disastrous in COVID-19 disease control</w:t>
      </w:r>
    </w:p>
    <w:p w14:paraId="4183CAEC" w14:textId="753A1E7D" w:rsidR="00E170FE" w:rsidRPr="002A1CF1" w:rsidRDefault="00E170FE" w:rsidP="00E170FE">
      <w:pPr>
        <w:spacing w:line="480" w:lineRule="auto"/>
        <w:rPr>
          <w:bCs/>
        </w:rPr>
      </w:pPr>
      <w:r w:rsidRPr="00AA6839">
        <w:rPr>
          <w:b/>
        </w:rPr>
        <w:t>Authors:</w:t>
      </w:r>
      <w:r>
        <w:rPr>
          <w:b/>
        </w:rPr>
        <w:t xml:space="preserve"> </w:t>
      </w:r>
      <w:r w:rsidRPr="00B95D33">
        <w:rPr>
          <w:bCs/>
        </w:rPr>
        <w:t>Madison Stoddard</w:t>
      </w:r>
      <w:r>
        <w:rPr>
          <w:bCs/>
          <w:vertAlign w:val="superscript"/>
        </w:rPr>
        <w:t>1</w:t>
      </w:r>
      <w:r w:rsidRPr="00B95D33">
        <w:rPr>
          <w:bCs/>
        </w:rPr>
        <w:t xml:space="preserve">, </w:t>
      </w:r>
      <w:r>
        <w:rPr>
          <w:bCs/>
        </w:rPr>
        <w:t>Debra Van Egeren</w:t>
      </w:r>
      <w:r>
        <w:rPr>
          <w:bCs/>
          <w:vertAlign w:val="superscript"/>
        </w:rPr>
        <w:t>2,3,4</w:t>
      </w:r>
      <w:r w:rsidRPr="00B95D33">
        <w:rPr>
          <w:bCs/>
        </w:rPr>
        <w:t xml:space="preserve">, </w:t>
      </w:r>
      <w:r>
        <w:rPr>
          <w:bCs/>
        </w:rPr>
        <w:t xml:space="preserve">Kaitlyn </w:t>
      </w:r>
      <w:r w:rsidR="00797789">
        <w:rPr>
          <w:bCs/>
        </w:rPr>
        <w:t xml:space="preserve">E. </w:t>
      </w:r>
      <w:r>
        <w:rPr>
          <w:bCs/>
        </w:rPr>
        <w:t>Johnson</w:t>
      </w:r>
      <w:r>
        <w:rPr>
          <w:bCs/>
          <w:vertAlign w:val="superscript"/>
        </w:rPr>
        <w:t>5</w:t>
      </w:r>
      <w:r>
        <w:rPr>
          <w:bCs/>
        </w:rPr>
        <w:t>, Smriti Rao</w:t>
      </w:r>
      <w:r>
        <w:rPr>
          <w:bCs/>
          <w:vertAlign w:val="superscript"/>
        </w:rPr>
        <w:t>6</w:t>
      </w:r>
      <w:r>
        <w:rPr>
          <w:bCs/>
        </w:rPr>
        <w:t>, Josh Furgeson</w:t>
      </w:r>
      <w:r w:rsidRPr="003746AD">
        <w:rPr>
          <w:bCs/>
          <w:vertAlign w:val="superscript"/>
        </w:rPr>
        <w:t>7</w:t>
      </w:r>
      <w:r>
        <w:rPr>
          <w:bCs/>
        </w:rPr>
        <w:t>, Douglas E. White</w:t>
      </w:r>
      <w:r w:rsidRPr="003746AD">
        <w:rPr>
          <w:bCs/>
          <w:vertAlign w:val="superscript"/>
        </w:rPr>
        <w:t>8</w:t>
      </w:r>
      <w:r>
        <w:rPr>
          <w:bCs/>
        </w:rPr>
        <w:t>, Ryan P. Nolan</w:t>
      </w:r>
      <w:r w:rsidRPr="003746AD">
        <w:rPr>
          <w:bCs/>
          <w:vertAlign w:val="superscript"/>
        </w:rPr>
        <w:t>9</w:t>
      </w:r>
      <w:r>
        <w:rPr>
          <w:bCs/>
        </w:rPr>
        <w:t>, Natasha Hochberg</w:t>
      </w:r>
      <w:r w:rsidRPr="003746AD">
        <w:rPr>
          <w:bCs/>
          <w:vertAlign w:val="superscript"/>
        </w:rPr>
        <w:t>10,11</w:t>
      </w:r>
      <w:r>
        <w:rPr>
          <w:bCs/>
          <w:vertAlign w:val="superscript"/>
        </w:rPr>
        <w:t>,12</w:t>
      </w:r>
      <w:r w:rsidRPr="00B95D33">
        <w:rPr>
          <w:bCs/>
        </w:rPr>
        <w:t>, Arijit Chakravarty</w:t>
      </w:r>
      <w:r>
        <w:rPr>
          <w:bCs/>
          <w:vertAlign w:val="superscript"/>
        </w:rPr>
        <w:t>1,*</w:t>
      </w:r>
    </w:p>
    <w:p w14:paraId="780C8783" w14:textId="77777777" w:rsidR="00E170FE" w:rsidRDefault="00E170FE" w:rsidP="00E170FE">
      <w:pPr>
        <w:spacing w:line="480" w:lineRule="auto"/>
        <w:rPr>
          <w:b/>
        </w:rPr>
      </w:pPr>
      <w:r>
        <w:rPr>
          <w:b/>
        </w:rPr>
        <w:t>Affiliations:</w:t>
      </w:r>
    </w:p>
    <w:p w14:paraId="13B7AD3F" w14:textId="77777777" w:rsidR="00E170FE" w:rsidRDefault="00E170FE" w:rsidP="00E170FE">
      <w:pPr>
        <w:spacing w:line="480" w:lineRule="auto"/>
      </w:pPr>
      <w:r w:rsidRPr="00B55A4F">
        <w:rPr>
          <w:vertAlign w:val="superscript"/>
        </w:rPr>
        <w:t>1</w:t>
      </w:r>
      <w:r w:rsidRPr="008D6ADE">
        <w:rPr>
          <w:bCs/>
        </w:rPr>
        <w:t xml:space="preserve"> </w:t>
      </w:r>
      <w:r w:rsidRPr="00D7220E">
        <w:rPr>
          <w:bCs/>
        </w:rPr>
        <w:t>Fractal Therapeutics, Cambridge</w:t>
      </w:r>
      <w:r w:rsidRPr="00264513">
        <w:t xml:space="preserve">, </w:t>
      </w:r>
      <w:r>
        <w:t xml:space="preserve">MA, </w:t>
      </w:r>
      <w:r w:rsidRPr="00264513">
        <w:t xml:space="preserve">USA </w:t>
      </w:r>
    </w:p>
    <w:p w14:paraId="087DF8B8" w14:textId="77777777" w:rsidR="00E170FE" w:rsidRDefault="00E170FE" w:rsidP="00E170FE">
      <w:pPr>
        <w:spacing w:line="480" w:lineRule="auto"/>
      </w:pPr>
      <w:r w:rsidRPr="00A35B07">
        <w:rPr>
          <w:vertAlign w:val="superscript"/>
        </w:rPr>
        <w:t>2</w:t>
      </w:r>
      <w:r>
        <w:t xml:space="preserve">Department of Systems Biology, </w:t>
      </w:r>
      <w:r w:rsidRPr="00264513">
        <w:t>Harvard Medical School, Boston,</w:t>
      </w:r>
      <w:r>
        <w:t xml:space="preserve"> MA,</w:t>
      </w:r>
      <w:r w:rsidRPr="00264513">
        <w:t xml:space="preserve"> USA.</w:t>
      </w:r>
      <w:r>
        <w:t xml:space="preserve"> </w:t>
      </w:r>
    </w:p>
    <w:p w14:paraId="63BB7279" w14:textId="77777777" w:rsidR="00E170FE" w:rsidRPr="002E316A" w:rsidRDefault="00E170FE" w:rsidP="00E170FE">
      <w:pPr>
        <w:spacing w:line="480" w:lineRule="auto"/>
        <w:rPr>
          <w:bCs/>
        </w:rPr>
      </w:pPr>
      <w:r w:rsidRPr="002E316A">
        <w:rPr>
          <w:vertAlign w:val="superscript"/>
        </w:rPr>
        <w:t>3</w:t>
      </w:r>
      <w:r w:rsidRPr="002E316A">
        <w:t xml:space="preserve">Department of Data Science, Dana-Farber Cancer Institute, Boston, MA, USA. </w:t>
      </w:r>
    </w:p>
    <w:p w14:paraId="29237EAD" w14:textId="77777777" w:rsidR="00E170FE" w:rsidRPr="00B55A4F" w:rsidRDefault="00E170FE" w:rsidP="00E170FE">
      <w:pPr>
        <w:spacing w:line="480" w:lineRule="auto"/>
        <w:rPr>
          <w:bCs/>
        </w:rPr>
      </w:pPr>
      <w:r w:rsidRPr="00D7220E">
        <w:rPr>
          <w:vertAlign w:val="superscript"/>
        </w:rPr>
        <w:t>4</w:t>
      </w:r>
      <w:r>
        <w:t xml:space="preserve">Stem Cell Program, </w:t>
      </w:r>
      <w:r w:rsidRPr="00264513">
        <w:t xml:space="preserve">Boston Children’s Hospital, Boston, </w:t>
      </w:r>
      <w:r>
        <w:t xml:space="preserve">MA, </w:t>
      </w:r>
      <w:r w:rsidRPr="00264513">
        <w:t>USA.</w:t>
      </w:r>
      <w:r>
        <w:t xml:space="preserve"> </w:t>
      </w:r>
    </w:p>
    <w:p w14:paraId="51BF69D8" w14:textId="77777777" w:rsidR="00E170FE" w:rsidRDefault="00E170FE" w:rsidP="00E170FE">
      <w:pPr>
        <w:spacing w:line="480" w:lineRule="auto"/>
        <w:rPr>
          <w:vertAlign w:val="superscript"/>
        </w:rPr>
      </w:pPr>
      <w:r>
        <w:rPr>
          <w:vertAlign w:val="superscript"/>
        </w:rPr>
        <w:t>5</w:t>
      </w:r>
      <w:r w:rsidRPr="00B95D33">
        <w:rPr>
          <w:bCs/>
        </w:rPr>
        <w:t>Department of Biomedical Engineering</w:t>
      </w:r>
      <w:r>
        <w:rPr>
          <w:bCs/>
        </w:rPr>
        <w:t>, University of Texas</w:t>
      </w:r>
      <w:r w:rsidRPr="00B95D33">
        <w:rPr>
          <w:bCs/>
        </w:rPr>
        <w:t xml:space="preserve">, </w:t>
      </w:r>
      <w:r>
        <w:rPr>
          <w:bCs/>
        </w:rPr>
        <w:t>Austin, TX, USA</w:t>
      </w:r>
      <w:r w:rsidRPr="00D7220E">
        <w:rPr>
          <w:vertAlign w:val="superscript"/>
        </w:rPr>
        <w:t xml:space="preserve"> </w:t>
      </w:r>
    </w:p>
    <w:p w14:paraId="374C69BF" w14:textId="77777777" w:rsidR="00E170FE" w:rsidRDefault="00E170FE" w:rsidP="00E170FE">
      <w:pPr>
        <w:spacing w:line="480" w:lineRule="auto"/>
      </w:pPr>
      <w:r>
        <w:rPr>
          <w:vertAlign w:val="superscript"/>
        </w:rPr>
        <w:t>6</w:t>
      </w:r>
      <w:r>
        <w:t>Department of Economics, Assumption College, Worcester, MA, USA</w:t>
      </w:r>
    </w:p>
    <w:p w14:paraId="09819BE8" w14:textId="77777777" w:rsidR="00E170FE" w:rsidRDefault="00E170FE" w:rsidP="00E170FE">
      <w:pPr>
        <w:spacing w:line="480" w:lineRule="auto"/>
      </w:pPr>
      <w:r>
        <w:rPr>
          <w:vertAlign w:val="superscript"/>
        </w:rPr>
        <w:t>7</w:t>
      </w:r>
      <w:r>
        <w:t>International Initiative for Impact Evaluation, Cambridge, MA, USA</w:t>
      </w:r>
    </w:p>
    <w:p w14:paraId="4C46CCC0" w14:textId="7FC7C56F" w:rsidR="00E170FE" w:rsidRPr="00026CE0" w:rsidRDefault="00E170FE" w:rsidP="00E170FE">
      <w:pPr>
        <w:spacing w:line="480" w:lineRule="auto"/>
        <w:rPr>
          <w:bCs/>
        </w:rPr>
      </w:pPr>
      <w:r w:rsidRPr="00026CE0">
        <w:rPr>
          <w:bCs/>
          <w:vertAlign w:val="superscript"/>
        </w:rPr>
        <w:t>8</w:t>
      </w:r>
      <w:r w:rsidR="006F3014" w:rsidRPr="00026CE0">
        <w:rPr>
          <w:bCs/>
        </w:rPr>
        <w:t>Georgia Institute of Technology,</w:t>
      </w:r>
      <w:r w:rsidRPr="00026CE0">
        <w:rPr>
          <w:bCs/>
        </w:rPr>
        <w:t xml:space="preserve"> </w:t>
      </w:r>
      <w:r w:rsidR="00026CE0" w:rsidRPr="00026CE0">
        <w:rPr>
          <w:bCs/>
        </w:rPr>
        <w:t>A</w:t>
      </w:r>
      <w:r w:rsidR="00026CE0">
        <w:rPr>
          <w:bCs/>
        </w:rPr>
        <w:t>tlanta, GA, USA</w:t>
      </w:r>
    </w:p>
    <w:p w14:paraId="5329C7CD" w14:textId="77777777" w:rsidR="00E170FE" w:rsidRPr="00E170FE" w:rsidRDefault="00E170FE" w:rsidP="00E170FE">
      <w:pPr>
        <w:spacing w:line="480" w:lineRule="auto"/>
        <w:rPr>
          <w:bCs/>
          <w:lang w:val="it-IT"/>
        </w:rPr>
      </w:pPr>
      <w:r w:rsidRPr="00E170FE">
        <w:rPr>
          <w:bCs/>
          <w:vertAlign w:val="superscript"/>
          <w:lang w:val="it-IT"/>
        </w:rPr>
        <w:t>9</w:t>
      </w:r>
      <w:r w:rsidRPr="00E170FE">
        <w:rPr>
          <w:bCs/>
          <w:lang w:val="it-IT"/>
        </w:rPr>
        <w:t xml:space="preserve">Halozyme </w:t>
      </w:r>
      <w:proofErr w:type="spellStart"/>
      <w:r w:rsidRPr="00E170FE">
        <w:rPr>
          <w:bCs/>
          <w:lang w:val="it-IT"/>
        </w:rPr>
        <w:t>Therapeutics</w:t>
      </w:r>
      <w:proofErr w:type="spellEnd"/>
      <w:r w:rsidRPr="00E170FE">
        <w:rPr>
          <w:bCs/>
          <w:lang w:val="it-IT"/>
        </w:rPr>
        <w:t>, San Diego, CA, USA</w:t>
      </w:r>
    </w:p>
    <w:p w14:paraId="04E2EC73" w14:textId="77777777" w:rsidR="00E170FE" w:rsidRPr="00191228" w:rsidRDefault="00E170FE" w:rsidP="00E170FE">
      <w:pPr>
        <w:spacing w:line="480" w:lineRule="auto"/>
        <w:rPr>
          <w:bCs/>
          <w:vertAlign w:val="superscript"/>
          <w:lang w:val="it-IT"/>
        </w:rPr>
      </w:pPr>
      <w:r w:rsidRPr="00191228">
        <w:rPr>
          <w:bCs/>
          <w:vertAlign w:val="superscript"/>
          <w:lang w:val="it-IT"/>
        </w:rPr>
        <w:t>10</w:t>
      </w:r>
      <w:r w:rsidRPr="00191228">
        <w:rPr>
          <w:bCs/>
          <w:lang w:val="it-IT"/>
        </w:rPr>
        <w:t xml:space="preserve">Boston </w:t>
      </w:r>
      <w:proofErr w:type="spellStart"/>
      <w:r w:rsidRPr="00191228">
        <w:rPr>
          <w:bCs/>
          <w:lang w:val="it-IT"/>
        </w:rPr>
        <w:t>Medical</w:t>
      </w:r>
      <w:proofErr w:type="spellEnd"/>
      <w:r w:rsidRPr="00191228">
        <w:rPr>
          <w:bCs/>
          <w:lang w:val="it-IT"/>
        </w:rPr>
        <w:t xml:space="preserve"> Center, Boston, MA, USA</w:t>
      </w:r>
    </w:p>
    <w:p w14:paraId="1095BD9D" w14:textId="77777777" w:rsidR="00E170FE" w:rsidRDefault="00E170FE" w:rsidP="00E170FE">
      <w:pPr>
        <w:spacing w:line="480" w:lineRule="auto"/>
        <w:rPr>
          <w:bCs/>
        </w:rPr>
      </w:pPr>
      <w:r w:rsidRPr="003746AD">
        <w:rPr>
          <w:bCs/>
          <w:vertAlign w:val="superscript"/>
        </w:rPr>
        <w:t>11</w:t>
      </w:r>
      <w:r>
        <w:rPr>
          <w:bCs/>
        </w:rPr>
        <w:t xml:space="preserve">Department of Epidemiology, </w:t>
      </w:r>
      <w:r w:rsidRPr="00B95D33">
        <w:rPr>
          <w:bCs/>
        </w:rPr>
        <w:t>Boston University School of</w:t>
      </w:r>
      <w:r>
        <w:rPr>
          <w:bCs/>
        </w:rPr>
        <w:t xml:space="preserve"> Public Health</w:t>
      </w:r>
      <w:r w:rsidRPr="00264513">
        <w:t>, Boston,</w:t>
      </w:r>
      <w:r>
        <w:t xml:space="preserve"> MA,</w:t>
      </w:r>
      <w:r w:rsidRPr="00264513">
        <w:t xml:space="preserve"> USA.</w:t>
      </w:r>
    </w:p>
    <w:p w14:paraId="5B97EE99" w14:textId="77777777" w:rsidR="00E170FE" w:rsidRPr="00AB5CA1" w:rsidRDefault="00E170FE" w:rsidP="00E170FE">
      <w:pPr>
        <w:spacing w:line="480" w:lineRule="auto"/>
        <w:rPr>
          <w:bCs/>
        </w:rPr>
      </w:pPr>
      <w:r w:rsidRPr="003746AD">
        <w:rPr>
          <w:bCs/>
          <w:vertAlign w:val="superscript"/>
        </w:rPr>
        <w:t>1</w:t>
      </w:r>
      <w:r>
        <w:rPr>
          <w:bCs/>
          <w:vertAlign w:val="superscript"/>
        </w:rPr>
        <w:t>2</w:t>
      </w:r>
      <w:r>
        <w:rPr>
          <w:bCs/>
        </w:rPr>
        <w:t>Department of Medicine, Boston University School of Medicine</w:t>
      </w:r>
      <w:r w:rsidRPr="00264513">
        <w:t>, Boston,</w:t>
      </w:r>
      <w:r>
        <w:t xml:space="preserve"> MA,</w:t>
      </w:r>
      <w:r w:rsidRPr="00264513">
        <w:t xml:space="preserve"> USA.</w:t>
      </w:r>
    </w:p>
    <w:p w14:paraId="6EA9571E" w14:textId="77777777" w:rsidR="00E170FE" w:rsidRPr="00893274" w:rsidRDefault="00E170FE" w:rsidP="00E170FE">
      <w:pPr>
        <w:spacing w:line="480" w:lineRule="auto"/>
      </w:pPr>
      <w:r>
        <w:t xml:space="preserve">*Correspondence to: </w:t>
      </w:r>
      <w:r w:rsidRPr="00C771D7">
        <w:t>arijit@fract</w:t>
      </w:r>
      <w:r>
        <w:t xml:space="preserve">altx.com </w:t>
      </w:r>
    </w:p>
    <w:p w14:paraId="51F37307" w14:textId="71801D8B" w:rsidR="00E170FE" w:rsidRDefault="00E170FE" w:rsidP="00C57D01">
      <w:pPr>
        <w:rPr>
          <w:b/>
          <w:bCs/>
        </w:rPr>
      </w:pPr>
    </w:p>
    <w:p w14:paraId="5AFA633E" w14:textId="52BE2434" w:rsidR="00E170FE" w:rsidRDefault="00E170FE" w:rsidP="00C57D01">
      <w:pPr>
        <w:rPr>
          <w:b/>
          <w:bCs/>
        </w:rPr>
      </w:pPr>
    </w:p>
    <w:p w14:paraId="637FC132" w14:textId="372380FE" w:rsidR="00E170FE" w:rsidRDefault="00E170FE" w:rsidP="00C57D01">
      <w:pPr>
        <w:rPr>
          <w:b/>
          <w:bCs/>
        </w:rPr>
      </w:pPr>
    </w:p>
    <w:p w14:paraId="68186457" w14:textId="0ACE562B" w:rsidR="00E170FE" w:rsidRDefault="00E170FE" w:rsidP="00C57D01">
      <w:pPr>
        <w:rPr>
          <w:b/>
          <w:bCs/>
        </w:rPr>
      </w:pPr>
    </w:p>
    <w:p w14:paraId="28CC6D10" w14:textId="77777777" w:rsidR="00E170FE" w:rsidRDefault="00E170FE" w:rsidP="00C57D01">
      <w:pPr>
        <w:rPr>
          <w:b/>
          <w:bCs/>
        </w:rPr>
      </w:pPr>
    </w:p>
    <w:p w14:paraId="62CDDDF3" w14:textId="77777777" w:rsidR="00E170FE" w:rsidRDefault="00E170FE" w:rsidP="00C57D01">
      <w:pPr>
        <w:rPr>
          <w:b/>
          <w:bCs/>
        </w:rPr>
      </w:pPr>
    </w:p>
    <w:p w14:paraId="4A4CC2CF" w14:textId="0390BDCC" w:rsidR="00C57D01" w:rsidRDefault="00C57D01" w:rsidP="00C57D01">
      <w:r w:rsidRPr="00EF7456">
        <w:rPr>
          <w:b/>
          <w:bCs/>
        </w:rPr>
        <w:lastRenderedPageBreak/>
        <w:t>Table S1.</w:t>
      </w:r>
      <w:r>
        <w:t xml:space="preserve"> COVID-19 Death Risk Assessment for </w:t>
      </w:r>
      <w:r w:rsidRPr="00EF7456">
        <w:t>South Dakota</w:t>
      </w:r>
      <w:r>
        <w:t xml:space="preserve"> in</w:t>
      </w:r>
      <w:r w:rsidRPr="00EF7456">
        <w:t xml:space="preserve"> August 2020</w:t>
      </w:r>
      <w:r>
        <w:t xml:space="preserve">. </w:t>
      </w:r>
    </w:p>
    <w:tbl>
      <w:tblPr>
        <w:tblW w:w="8905" w:type="dxa"/>
        <w:tblLook w:val="04A0" w:firstRow="1" w:lastRow="0" w:firstColumn="1" w:lastColumn="0" w:noHBand="0" w:noVBand="1"/>
      </w:tblPr>
      <w:tblGrid>
        <w:gridCol w:w="445"/>
        <w:gridCol w:w="3623"/>
        <w:gridCol w:w="1867"/>
        <w:gridCol w:w="2970"/>
      </w:tblGrid>
      <w:tr w:rsidR="00C57D01" w:rsidRPr="00833637" w14:paraId="2E9EBD07" w14:textId="77777777" w:rsidTr="00945402">
        <w:trPr>
          <w:trHeight w:val="261"/>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A5A4F" w14:textId="77777777" w:rsidR="00C57D01" w:rsidRPr="00833637" w:rsidRDefault="00C57D01" w:rsidP="00945402">
            <w:pPr>
              <w:ind w:left="-583"/>
              <w:jc w:val="right"/>
              <w:rPr>
                <w:rFonts w:eastAsia="Times New Roman"/>
                <w:color w:val="000000"/>
                <w:sz w:val="22"/>
                <w:szCs w:val="22"/>
              </w:rPr>
            </w:pPr>
            <w:r w:rsidRPr="00833637">
              <w:rPr>
                <w:rFonts w:eastAsia="Times New Roman"/>
                <w:color w:val="000000"/>
                <w:sz w:val="22"/>
                <w:szCs w:val="22"/>
              </w:rPr>
              <w:t>(1)</w:t>
            </w:r>
          </w:p>
        </w:tc>
        <w:tc>
          <w:tcPr>
            <w:tcW w:w="3623" w:type="dxa"/>
            <w:tcBorders>
              <w:top w:val="single" w:sz="4" w:space="0" w:color="auto"/>
              <w:left w:val="nil"/>
              <w:bottom w:val="single" w:sz="4" w:space="0" w:color="auto"/>
              <w:right w:val="single" w:sz="4" w:space="0" w:color="auto"/>
            </w:tcBorders>
            <w:shd w:val="clear" w:color="auto" w:fill="auto"/>
            <w:noWrap/>
            <w:vAlign w:val="bottom"/>
            <w:hideMark/>
          </w:tcPr>
          <w:p w14:paraId="3CC7841B"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active cases</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4D23DFF1" w14:textId="77777777" w:rsidR="00C57D01" w:rsidRPr="00833637" w:rsidRDefault="00C57D01" w:rsidP="00945402">
            <w:pPr>
              <w:jc w:val="right"/>
              <w:rPr>
                <w:rFonts w:eastAsia="Times New Roman"/>
                <w:color w:val="000000"/>
                <w:sz w:val="22"/>
                <w:szCs w:val="22"/>
              </w:rPr>
            </w:pPr>
            <w:r w:rsidRPr="00833637">
              <w:rPr>
                <w:rFonts w:eastAsia="Times New Roman"/>
                <w:color w:val="000000"/>
                <w:sz w:val="22"/>
                <w:szCs w:val="22"/>
              </w:rPr>
              <w:t xml:space="preserve">                         1,358 </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14:paraId="7452FC1C" w14:textId="51E3A4E0" w:rsidR="00C57D01" w:rsidRPr="00833637" w:rsidRDefault="00C57D01" w:rsidP="00945402">
            <w:pPr>
              <w:rPr>
                <w:rFonts w:eastAsia="Times New Roman"/>
                <w:i/>
                <w:iCs/>
                <w:color w:val="000000"/>
                <w:sz w:val="22"/>
                <w:szCs w:val="22"/>
              </w:rPr>
            </w:pPr>
            <w:r w:rsidRPr="00C8500C">
              <w:rPr>
                <w:rFonts w:eastAsia="Times New Roman"/>
                <w:color w:val="000000"/>
                <w:sz w:val="22"/>
                <w:szCs w:val="22"/>
              </w:rPr>
              <w:t>active cases as of 8/16/2020</w:t>
            </w:r>
            <w:r>
              <w:rPr>
                <w:rFonts w:eastAsia="Times New Roman"/>
                <w:i/>
                <w:iCs/>
                <w:color w:val="000000"/>
                <w:sz w:val="22"/>
                <w:szCs w:val="22"/>
              </w:rPr>
              <w:t xml:space="preserve"> </w:t>
            </w:r>
            <w:r>
              <w:rPr>
                <w:rFonts w:eastAsia="Times New Roman"/>
                <w:i/>
                <w:iCs/>
                <w:color w:val="000000"/>
                <w:sz w:val="22"/>
                <w:szCs w:val="22"/>
              </w:rPr>
              <w:fldChar w:fldCharType="begin"/>
            </w:r>
            <w:r w:rsidR="00B25CE3">
              <w:rPr>
                <w:rFonts w:eastAsia="Times New Roman"/>
                <w:i/>
                <w:iCs/>
                <w:color w:val="000000"/>
                <w:sz w:val="22"/>
                <w:szCs w:val="22"/>
              </w:rPr>
              <w:instrText xml:space="preserve"> ADDIN ZOTERO_ITEM CSL_CITATION {"citationID":"KEynX8AP","properties":{"formattedCitation":"[1]","plainCitation":"[1]","noteIndex":0},"citationItems":[{"id":5856,"uris":["http://zotero.org/users/3776105/items/VPU9GYRA"],"uri":["http://zotero.org/users/3776105/items/VPU9GYRA"],"itemData":{"id":5856,"type":"webpage","abstract":"South Dakota COVID-19 Coronavirus update by county with statistics and graphs: total and new cases, deaths per day, current active cases, recoveries, historical data, trends, projections, and timeline.","language":"en","title":"South Dakota Coronavirus: 76,142 Cases and 849 Deaths (COVID-19 ) - Worldometer","title-short":"South Dakota Coronavirus","URL":"https://www.worldometers.info/coronavirus/usa/south-dakota/","accessed":{"date-parts":[["2020",11,26]]}}}],"schema":"https://github.com/citation-style-language/schema/raw/master/csl-citation.json"} </w:instrText>
            </w:r>
            <w:r>
              <w:rPr>
                <w:rFonts w:eastAsia="Times New Roman"/>
                <w:i/>
                <w:iCs/>
                <w:color w:val="000000"/>
                <w:sz w:val="22"/>
                <w:szCs w:val="22"/>
              </w:rPr>
              <w:fldChar w:fldCharType="separate"/>
            </w:r>
            <w:r w:rsidR="00B25CE3">
              <w:rPr>
                <w:color w:val="000000"/>
                <w:sz w:val="22"/>
              </w:rPr>
              <w:t>[1]</w:t>
            </w:r>
            <w:r>
              <w:rPr>
                <w:rFonts w:eastAsia="Times New Roman"/>
                <w:i/>
                <w:iCs/>
                <w:color w:val="000000"/>
                <w:sz w:val="22"/>
                <w:szCs w:val="22"/>
              </w:rPr>
              <w:fldChar w:fldCharType="end"/>
            </w:r>
          </w:p>
        </w:tc>
      </w:tr>
      <w:tr w:rsidR="00C57D01" w:rsidRPr="00833637" w14:paraId="4ED0D6EF" w14:textId="77777777" w:rsidTr="0094540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1AC67CF4" w14:textId="77777777" w:rsidR="00C57D01" w:rsidRPr="00833637" w:rsidRDefault="00C57D01" w:rsidP="00945402">
            <w:pPr>
              <w:ind w:left="-583"/>
              <w:jc w:val="right"/>
              <w:rPr>
                <w:rFonts w:eastAsia="Times New Roman"/>
                <w:color w:val="000000"/>
                <w:sz w:val="22"/>
                <w:szCs w:val="22"/>
              </w:rPr>
            </w:pPr>
            <w:r w:rsidRPr="00833637">
              <w:rPr>
                <w:rFonts w:eastAsia="Times New Roman"/>
                <w:color w:val="000000"/>
                <w:sz w:val="22"/>
                <w:szCs w:val="22"/>
              </w:rPr>
              <w:t>(2)</w:t>
            </w:r>
          </w:p>
        </w:tc>
        <w:tc>
          <w:tcPr>
            <w:tcW w:w="3623" w:type="dxa"/>
            <w:tcBorders>
              <w:top w:val="nil"/>
              <w:left w:val="nil"/>
              <w:bottom w:val="single" w:sz="4" w:space="0" w:color="auto"/>
              <w:right w:val="single" w:sz="4" w:space="0" w:color="auto"/>
            </w:tcBorders>
            <w:shd w:val="clear" w:color="auto" w:fill="auto"/>
            <w:noWrap/>
            <w:vAlign w:val="bottom"/>
            <w:hideMark/>
          </w:tcPr>
          <w:p w14:paraId="4BB45416"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population</w:t>
            </w:r>
          </w:p>
        </w:tc>
        <w:tc>
          <w:tcPr>
            <w:tcW w:w="1867" w:type="dxa"/>
            <w:tcBorders>
              <w:top w:val="nil"/>
              <w:left w:val="nil"/>
              <w:bottom w:val="single" w:sz="4" w:space="0" w:color="auto"/>
              <w:right w:val="single" w:sz="4" w:space="0" w:color="auto"/>
            </w:tcBorders>
            <w:shd w:val="clear" w:color="auto" w:fill="auto"/>
            <w:noWrap/>
            <w:vAlign w:val="bottom"/>
            <w:hideMark/>
          </w:tcPr>
          <w:p w14:paraId="600AB9B7" w14:textId="77777777" w:rsidR="00C57D01" w:rsidRPr="00833637" w:rsidRDefault="00C57D01" w:rsidP="00945402">
            <w:pPr>
              <w:jc w:val="right"/>
              <w:rPr>
                <w:rFonts w:eastAsia="Times New Roman"/>
                <w:color w:val="000000"/>
                <w:sz w:val="22"/>
                <w:szCs w:val="22"/>
              </w:rPr>
            </w:pPr>
            <w:r w:rsidRPr="00833637">
              <w:rPr>
                <w:rFonts w:eastAsia="Times New Roman"/>
                <w:color w:val="000000"/>
                <w:sz w:val="22"/>
                <w:szCs w:val="22"/>
              </w:rPr>
              <w:t xml:space="preserve">                   903,027 </w:t>
            </w:r>
          </w:p>
        </w:tc>
        <w:tc>
          <w:tcPr>
            <w:tcW w:w="2970" w:type="dxa"/>
            <w:tcBorders>
              <w:top w:val="nil"/>
              <w:left w:val="nil"/>
              <w:bottom w:val="single" w:sz="4" w:space="0" w:color="auto"/>
              <w:right w:val="single" w:sz="4" w:space="0" w:color="auto"/>
            </w:tcBorders>
            <w:shd w:val="clear" w:color="auto" w:fill="auto"/>
            <w:noWrap/>
            <w:vAlign w:val="bottom"/>
            <w:hideMark/>
          </w:tcPr>
          <w:p w14:paraId="168386A3" w14:textId="77777777" w:rsidR="00C57D01" w:rsidRPr="00C8500C" w:rsidRDefault="00C57D01" w:rsidP="00945402">
            <w:pPr>
              <w:ind w:firstLineChars="200" w:firstLine="440"/>
              <w:rPr>
                <w:rFonts w:eastAsia="Times New Roman"/>
                <w:color w:val="0563C1"/>
                <w:sz w:val="22"/>
                <w:szCs w:val="22"/>
                <w:u w:val="single"/>
              </w:rPr>
            </w:pPr>
            <w:r w:rsidRPr="00C8500C">
              <w:rPr>
                <w:rFonts w:eastAsia="Times New Roman"/>
                <w:color w:val="0563C1"/>
                <w:sz w:val="22"/>
                <w:szCs w:val="22"/>
                <w:u w:val="single"/>
              </w:rPr>
              <w:t> </w:t>
            </w:r>
          </w:p>
        </w:tc>
      </w:tr>
      <w:tr w:rsidR="00C57D01" w:rsidRPr="00833637" w14:paraId="35B9CA52" w14:textId="77777777" w:rsidTr="0094540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3CD25FBF" w14:textId="77777777" w:rsidR="00C57D01" w:rsidRPr="00833637" w:rsidRDefault="00C57D01" w:rsidP="00945402">
            <w:pPr>
              <w:ind w:left="-583"/>
              <w:jc w:val="right"/>
              <w:rPr>
                <w:rFonts w:eastAsia="Times New Roman"/>
                <w:color w:val="000000"/>
                <w:sz w:val="22"/>
                <w:szCs w:val="22"/>
              </w:rPr>
            </w:pPr>
            <w:r w:rsidRPr="00833637">
              <w:rPr>
                <w:rFonts w:eastAsia="Times New Roman"/>
                <w:color w:val="000000"/>
                <w:sz w:val="22"/>
                <w:szCs w:val="22"/>
              </w:rPr>
              <w:t>(3)</w:t>
            </w:r>
          </w:p>
        </w:tc>
        <w:tc>
          <w:tcPr>
            <w:tcW w:w="3623" w:type="dxa"/>
            <w:tcBorders>
              <w:top w:val="nil"/>
              <w:left w:val="nil"/>
              <w:bottom w:val="single" w:sz="4" w:space="0" w:color="auto"/>
              <w:right w:val="single" w:sz="4" w:space="0" w:color="auto"/>
            </w:tcBorders>
            <w:shd w:val="clear" w:color="auto" w:fill="auto"/>
            <w:noWrap/>
            <w:vAlign w:val="bottom"/>
            <w:hideMark/>
          </w:tcPr>
          <w:p w14:paraId="6DB002D1"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 population confirmed cases</w:t>
            </w:r>
          </w:p>
        </w:tc>
        <w:tc>
          <w:tcPr>
            <w:tcW w:w="1867" w:type="dxa"/>
            <w:tcBorders>
              <w:top w:val="nil"/>
              <w:left w:val="nil"/>
              <w:bottom w:val="single" w:sz="4" w:space="0" w:color="auto"/>
              <w:right w:val="single" w:sz="4" w:space="0" w:color="auto"/>
            </w:tcBorders>
            <w:shd w:val="clear" w:color="auto" w:fill="auto"/>
            <w:noWrap/>
            <w:vAlign w:val="bottom"/>
            <w:hideMark/>
          </w:tcPr>
          <w:p w14:paraId="1469035D" w14:textId="77777777" w:rsidR="00C57D01" w:rsidRPr="00833637" w:rsidRDefault="00C57D01" w:rsidP="00945402">
            <w:pPr>
              <w:jc w:val="right"/>
              <w:rPr>
                <w:rFonts w:eastAsia="Times New Roman"/>
                <w:color w:val="000000"/>
                <w:sz w:val="22"/>
                <w:szCs w:val="22"/>
              </w:rPr>
            </w:pPr>
            <w:r w:rsidRPr="00833637">
              <w:rPr>
                <w:rFonts w:eastAsia="Times New Roman"/>
                <w:color w:val="000000"/>
                <w:sz w:val="22"/>
                <w:szCs w:val="22"/>
              </w:rPr>
              <w:t>0.15%</w:t>
            </w:r>
          </w:p>
        </w:tc>
        <w:tc>
          <w:tcPr>
            <w:tcW w:w="2970" w:type="dxa"/>
            <w:tcBorders>
              <w:top w:val="nil"/>
              <w:left w:val="nil"/>
              <w:bottom w:val="single" w:sz="4" w:space="0" w:color="auto"/>
              <w:right w:val="single" w:sz="4" w:space="0" w:color="auto"/>
            </w:tcBorders>
            <w:shd w:val="clear" w:color="auto" w:fill="auto"/>
            <w:noWrap/>
            <w:vAlign w:val="bottom"/>
            <w:hideMark/>
          </w:tcPr>
          <w:p w14:paraId="1BB2CEF2" w14:textId="77777777" w:rsidR="00C57D01" w:rsidRPr="00C8500C" w:rsidRDefault="00C57D01" w:rsidP="00945402">
            <w:pPr>
              <w:rPr>
                <w:rFonts w:eastAsia="Times New Roman"/>
                <w:color w:val="000000"/>
                <w:sz w:val="22"/>
                <w:szCs w:val="22"/>
              </w:rPr>
            </w:pPr>
            <w:r w:rsidRPr="00C8500C">
              <w:rPr>
                <w:rFonts w:eastAsia="Times New Roman"/>
                <w:color w:val="000000"/>
                <w:sz w:val="22"/>
                <w:szCs w:val="22"/>
              </w:rPr>
              <w:t>(1) / (2)</w:t>
            </w:r>
          </w:p>
        </w:tc>
      </w:tr>
      <w:tr w:rsidR="00C57D01" w:rsidRPr="00833637" w14:paraId="72CBD391" w14:textId="77777777" w:rsidTr="0094540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33936C4E" w14:textId="77777777" w:rsidR="00C57D01" w:rsidRPr="00833637" w:rsidRDefault="00C57D01" w:rsidP="00945402">
            <w:pPr>
              <w:ind w:left="-583"/>
              <w:jc w:val="right"/>
              <w:rPr>
                <w:rFonts w:eastAsia="Times New Roman"/>
                <w:color w:val="000000"/>
                <w:sz w:val="22"/>
                <w:szCs w:val="22"/>
              </w:rPr>
            </w:pPr>
            <w:r w:rsidRPr="00833637">
              <w:rPr>
                <w:rFonts w:eastAsia="Times New Roman"/>
                <w:color w:val="000000"/>
                <w:sz w:val="22"/>
                <w:szCs w:val="22"/>
              </w:rPr>
              <w:t>(4)</w:t>
            </w:r>
          </w:p>
        </w:tc>
        <w:tc>
          <w:tcPr>
            <w:tcW w:w="3623" w:type="dxa"/>
            <w:tcBorders>
              <w:top w:val="nil"/>
              <w:left w:val="nil"/>
              <w:bottom w:val="single" w:sz="4" w:space="0" w:color="auto"/>
              <w:right w:val="single" w:sz="4" w:space="0" w:color="auto"/>
            </w:tcBorders>
            <w:shd w:val="clear" w:color="auto" w:fill="auto"/>
            <w:noWrap/>
            <w:vAlign w:val="bottom"/>
            <w:hideMark/>
          </w:tcPr>
          <w:p w14:paraId="39AEAEDF"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 population infected</w:t>
            </w:r>
          </w:p>
        </w:tc>
        <w:tc>
          <w:tcPr>
            <w:tcW w:w="1867" w:type="dxa"/>
            <w:tcBorders>
              <w:top w:val="nil"/>
              <w:left w:val="nil"/>
              <w:bottom w:val="single" w:sz="4" w:space="0" w:color="auto"/>
              <w:right w:val="single" w:sz="4" w:space="0" w:color="auto"/>
            </w:tcBorders>
            <w:shd w:val="clear" w:color="auto" w:fill="auto"/>
            <w:noWrap/>
            <w:vAlign w:val="bottom"/>
            <w:hideMark/>
          </w:tcPr>
          <w:p w14:paraId="7D77863D" w14:textId="77777777" w:rsidR="00C57D01" w:rsidRPr="00833637" w:rsidRDefault="00C57D01" w:rsidP="00945402">
            <w:pPr>
              <w:jc w:val="right"/>
              <w:rPr>
                <w:rFonts w:eastAsia="Times New Roman"/>
                <w:color w:val="000000"/>
                <w:sz w:val="22"/>
                <w:szCs w:val="22"/>
              </w:rPr>
            </w:pPr>
            <w:r w:rsidRPr="00833637">
              <w:rPr>
                <w:rFonts w:eastAsia="Times New Roman"/>
                <w:color w:val="000000"/>
                <w:sz w:val="22"/>
                <w:szCs w:val="22"/>
              </w:rPr>
              <w:t>1.09%</w:t>
            </w:r>
          </w:p>
        </w:tc>
        <w:tc>
          <w:tcPr>
            <w:tcW w:w="2970" w:type="dxa"/>
            <w:tcBorders>
              <w:top w:val="nil"/>
              <w:left w:val="nil"/>
              <w:bottom w:val="single" w:sz="4" w:space="0" w:color="auto"/>
              <w:right w:val="single" w:sz="4" w:space="0" w:color="auto"/>
            </w:tcBorders>
            <w:shd w:val="clear" w:color="auto" w:fill="auto"/>
            <w:noWrap/>
            <w:vAlign w:val="bottom"/>
            <w:hideMark/>
          </w:tcPr>
          <w:p w14:paraId="6D65BB35" w14:textId="35AD6DD0" w:rsidR="00C57D01" w:rsidRPr="00833637" w:rsidRDefault="00C57D01" w:rsidP="00945402">
            <w:pPr>
              <w:rPr>
                <w:rFonts w:eastAsia="Times New Roman"/>
                <w:i/>
                <w:iCs/>
                <w:color w:val="000000"/>
                <w:sz w:val="22"/>
                <w:szCs w:val="22"/>
              </w:rPr>
            </w:pPr>
            <w:r w:rsidRPr="00C8500C">
              <w:rPr>
                <w:rFonts w:eastAsia="Times New Roman"/>
                <w:color w:val="000000"/>
                <w:sz w:val="22"/>
                <w:szCs w:val="22"/>
              </w:rPr>
              <w:t>(3) x 7.22 (ratio of infections to cases) (p)</w:t>
            </w:r>
            <w:r>
              <w:rPr>
                <w:rFonts w:eastAsia="Times New Roman"/>
                <w:i/>
                <w:iCs/>
                <w:color w:val="000000"/>
                <w:sz w:val="22"/>
                <w:szCs w:val="22"/>
              </w:rPr>
              <w:t xml:space="preserve"> </w:t>
            </w:r>
            <w:r>
              <w:rPr>
                <w:rFonts w:eastAsia="Times New Roman"/>
                <w:i/>
                <w:iCs/>
                <w:color w:val="000000"/>
                <w:sz w:val="22"/>
                <w:szCs w:val="22"/>
              </w:rPr>
              <w:fldChar w:fldCharType="begin"/>
            </w:r>
            <w:r w:rsidR="00B25CE3">
              <w:rPr>
                <w:rFonts w:eastAsia="Times New Roman"/>
                <w:i/>
                <w:iCs/>
                <w:color w:val="000000"/>
                <w:sz w:val="22"/>
                <w:szCs w:val="22"/>
              </w:rPr>
              <w:instrText xml:space="preserve"> ADDIN ZOTERO_ITEM CSL_CITATION {"citationID":"BIYtexxV","properties":{"formattedCitation":"[2]","plainCitation":"[2]","noteIndex":0},"citationItems":[{"id":5858,"uris":["http://zotero.org/users/3776105/items/Z7W8TPWZ"],"uri":["http://zotero.org/users/3776105/items/Z7W8TPWZ"],"itemData":{"id":5858,"type":"webpage","title":"South Dakota Population 2020 (Demographics, Maps, Graphs)","URL":"https://worldpopulationreview.com/states/south-dakota-population","accessed":{"date-parts":[["2020",11,26]]}}}],"schema":"https://github.com/citation-style-language/schema/raw/master/csl-citation.json"} </w:instrText>
            </w:r>
            <w:r>
              <w:rPr>
                <w:rFonts w:eastAsia="Times New Roman"/>
                <w:i/>
                <w:iCs/>
                <w:color w:val="000000"/>
                <w:sz w:val="22"/>
                <w:szCs w:val="22"/>
              </w:rPr>
              <w:fldChar w:fldCharType="separate"/>
            </w:r>
            <w:r w:rsidR="00B25CE3">
              <w:rPr>
                <w:color w:val="000000"/>
                <w:sz w:val="22"/>
              </w:rPr>
              <w:t>[2]</w:t>
            </w:r>
            <w:r>
              <w:rPr>
                <w:rFonts w:eastAsia="Times New Roman"/>
                <w:i/>
                <w:iCs/>
                <w:color w:val="000000"/>
                <w:sz w:val="22"/>
                <w:szCs w:val="22"/>
              </w:rPr>
              <w:fldChar w:fldCharType="end"/>
            </w:r>
          </w:p>
        </w:tc>
      </w:tr>
      <w:tr w:rsidR="00C57D01" w:rsidRPr="00833637" w14:paraId="06AEE0FD" w14:textId="77777777" w:rsidTr="0094540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1080507F" w14:textId="77777777" w:rsidR="00C57D01" w:rsidRPr="00833637" w:rsidRDefault="00C57D01" w:rsidP="00945402">
            <w:pPr>
              <w:ind w:left="-583"/>
              <w:jc w:val="right"/>
              <w:rPr>
                <w:rFonts w:eastAsia="Times New Roman"/>
                <w:color w:val="000000"/>
                <w:sz w:val="22"/>
                <w:szCs w:val="22"/>
              </w:rPr>
            </w:pPr>
            <w:r w:rsidRPr="00833637">
              <w:rPr>
                <w:rFonts w:eastAsia="Times New Roman"/>
                <w:color w:val="000000"/>
                <w:sz w:val="22"/>
                <w:szCs w:val="22"/>
              </w:rPr>
              <w:t>(5)</w:t>
            </w:r>
          </w:p>
        </w:tc>
        <w:tc>
          <w:tcPr>
            <w:tcW w:w="3623" w:type="dxa"/>
            <w:tcBorders>
              <w:top w:val="nil"/>
              <w:left w:val="nil"/>
              <w:bottom w:val="single" w:sz="4" w:space="0" w:color="auto"/>
              <w:right w:val="single" w:sz="4" w:space="0" w:color="auto"/>
            </w:tcBorders>
            <w:shd w:val="clear" w:color="auto" w:fill="auto"/>
            <w:noWrap/>
            <w:vAlign w:val="bottom"/>
            <w:hideMark/>
          </w:tcPr>
          <w:p w14:paraId="259CE47E"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 interactions</w:t>
            </w:r>
          </w:p>
        </w:tc>
        <w:tc>
          <w:tcPr>
            <w:tcW w:w="1867" w:type="dxa"/>
            <w:tcBorders>
              <w:top w:val="nil"/>
              <w:left w:val="nil"/>
              <w:bottom w:val="single" w:sz="4" w:space="0" w:color="auto"/>
              <w:right w:val="single" w:sz="4" w:space="0" w:color="auto"/>
            </w:tcBorders>
            <w:shd w:val="clear" w:color="000000" w:fill="B4C6E7"/>
            <w:noWrap/>
            <w:vAlign w:val="bottom"/>
            <w:hideMark/>
          </w:tcPr>
          <w:p w14:paraId="0EF66CC6" w14:textId="77777777" w:rsidR="00C57D01" w:rsidRPr="00833637" w:rsidRDefault="00C57D01" w:rsidP="00945402">
            <w:pPr>
              <w:jc w:val="right"/>
              <w:rPr>
                <w:rFonts w:eastAsia="Times New Roman"/>
                <w:color w:val="000000"/>
                <w:sz w:val="22"/>
                <w:szCs w:val="22"/>
              </w:rPr>
            </w:pPr>
            <w:r w:rsidRPr="00833637">
              <w:rPr>
                <w:rFonts w:eastAsia="Times New Roman"/>
                <w:color w:val="000000"/>
                <w:sz w:val="22"/>
                <w:szCs w:val="22"/>
              </w:rPr>
              <w:t>100</w:t>
            </w:r>
          </w:p>
        </w:tc>
        <w:tc>
          <w:tcPr>
            <w:tcW w:w="2970" w:type="dxa"/>
            <w:tcBorders>
              <w:top w:val="nil"/>
              <w:left w:val="nil"/>
              <w:bottom w:val="single" w:sz="4" w:space="0" w:color="auto"/>
              <w:right w:val="single" w:sz="4" w:space="0" w:color="auto"/>
            </w:tcBorders>
            <w:shd w:val="clear" w:color="auto" w:fill="auto"/>
            <w:noWrap/>
            <w:vAlign w:val="bottom"/>
            <w:hideMark/>
          </w:tcPr>
          <w:p w14:paraId="1EB7A7D9" w14:textId="77777777" w:rsidR="00C57D01" w:rsidRPr="00C8500C" w:rsidRDefault="00C57D01" w:rsidP="00945402">
            <w:pPr>
              <w:rPr>
                <w:rFonts w:eastAsia="Times New Roman"/>
                <w:color w:val="000000"/>
                <w:sz w:val="22"/>
                <w:szCs w:val="22"/>
              </w:rPr>
            </w:pPr>
            <w:r w:rsidRPr="00C8500C">
              <w:rPr>
                <w:rFonts w:eastAsia="Times New Roman"/>
                <w:color w:val="000000"/>
                <w:sz w:val="22"/>
                <w:szCs w:val="22"/>
              </w:rPr>
              <w:t>user-defined parameter (n)</w:t>
            </w:r>
          </w:p>
        </w:tc>
      </w:tr>
      <w:tr w:rsidR="00C57D01" w:rsidRPr="00833637" w14:paraId="231202B2" w14:textId="77777777" w:rsidTr="0094540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7DFA0360" w14:textId="77777777" w:rsidR="00C57D01" w:rsidRPr="00833637" w:rsidRDefault="00C57D01" w:rsidP="00945402">
            <w:pPr>
              <w:ind w:left="-583"/>
              <w:jc w:val="right"/>
              <w:rPr>
                <w:rFonts w:eastAsia="Times New Roman"/>
                <w:color w:val="000000"/>
                <w:sz w:val="22"/>
                <w:szCs w:val="22"/>
              </w:rPr>
            </w:pPr>
            <w:r w:rsidRPr="00833637">
              <w:rPr>
                <w:rFonts w:eastAsia="Times New Roman"/>
                <w:color w:val="000000"/>
                <w:sz w:val="22"/>
                <w:szCs w:val="22"/>
              </w:rPr>
              <w:t>(6)</w:t>
            </w:r>
          </w:p>
        </w:tc>
        <w:tc>
          <w:tcPr>
            <w:tcW w:w="3623" w:type="dxa"/>
            <w:tcBorders>
              <w:top w:val="nil"/>
              <w:left w:val="nil"/>
              <w:bottom w:val="single" w:sz="4" w:space="0" w:color="auto"/>
              <w:right w:val="single" w:sz="4" w:space="0" w:color="auto"/>
            </w:tcBorders>
            <w:shd w:val="clear" w:color="auto" w:fill="auto"/>
            <w:noWrap/>
            <w:vAlign w:val="bottom"/>
            <w:hideMark/>
          </w:tcPr>
          <w:p w14:paraId="7B60864A"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number of expected exposures</w:t>
            </w:r>
          </w:p>
        </w:tc>
        <w:tc>
          <w:tcPr>
            <w:tcW w:w="1867" w:type="dxa"/>
            <w:tcBorders>
              <w:top w:val="nil"/>
              <w:left w:val="nil"/>
              <w:bottom w:val="single" w:sz="4" w:space="0" w:color="auto"/>
              <w:right w:val="single" w:sz="4" w:space="0" w:color="auto"/>
            </w:tcBorders>
            <w:shd w:val="clear" w:color="auto" w:fill="auto"/>
            <w:noWrap/>
            <w:vAlign w:val="bottom"/>
            <w:hideMark/>
          </w:tcPr>
          <w:p w14:paraId="410CAE02" w14:textId="77777777" w:rsidR="00C57D01" w:rsidRPr="00833637" w:rsidRDefault="00C57D01" w:rsidP="00945402">
            <w:pPr>
              <w:jc w:val="right"/>
              <w:rPr>
                <w:rFonts w:eastAsia="Times New Roman"/>
                <w:color w:val="000000"/>
                <w:sz w:val="22"/>
                <w:szCs w:val="22"/>
              </w:rPr>
            </w:pPr>
            <w:r w:rsidRPr="00833637">
              <w:rPr>
                <w:rFonts w:eastAsia="Times New Roman"/>
                <w:color w:val="000000"/>
                <w:sz w:val="22"/>
                <w:szCs w:val="22"/>
              </w:rPr>
              <w:t>1</w:t>
            </w:r>
          </w:p>
        </w:tc>
        <w:tc>
          <w:tcPr>
            <w:tcW w:w="2970" w:type="dxa"/>
            <w:tcBorders>
              <w:top w:val="nil"/>
              <w:left w:val="nil"/>
              <w:bottom w:val="single" w:sz="4" w:space="0" w:color="auto"/>
              <w:right w:val="single" w:sz="4" w:space="0" w:color="auto"/>
            </w:tcBorders>
            <w:shd w:val="clear" w:color="auto" w:fill="auto"/>
            <w:noWrap/>
            <w:vAlign w:val="bottom"/>
            <w:hideMark/>
          </w:tcPr>
          <w:p w14:paraId="1E7C5693" w14:textId="77777777" w:rsidR="00C57D01" w:rsidRPr="00C8500C" w:rsidRDefault="00C57D01" w:rsidP="00945402">
            <w:pPr>
              <w:rPr>
                <w:rFonts w:eastAsia="Times New Roman"/>
                <w:color w:val="000000"/>
                <w:sz w:val="22"/>
                <w:szCs w:val="22"/>
              </w:rPr>
            </w:pPr>
            <w:r w:rsidRPr="00C8500C">
              <w:rPr>
                <w:rFonts w:eastAsia="Times New Roman"/>
                <w:color w:val="000000"/>
                <w:sz w:val="22"/>
                <w:szCs w:val="22"/>
              </w:rPr>
              <w:t>calculated from (4) &amp; (5)</w:t>
            </w:r>
          </w:p>
        </w:tc>
      </w:tr>
      <w:tr w:rsidR="00C57D01" w:rsidRPr="00833637" w14:paraId="5E06D633" w14:textId="77777777" w:rsidTr="0094540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04FE3079" w14:textId="77777777" w:rsidR="00C57D01" w:rsidRPr="00833637" w:rsidRDefault="00C57D01" w:rsidP="00945402">
            <w:pPr>
              <w:ind w:left="-583"/>
              <w:jc w:val="right"/>
              <w:rPr>
                <w:rFonts w:eastAsia="Times New Roman"/>
                <w:color w:val="000000"/>
                <w:sz w:val="22"/>
                <w:szCs w:val="22"/>
              </w:rPr>
            </w:pPr>
            <w:r w:rsidRPr="00833637">
              <w:rPr>
                <w:rFonts w:eastAsia="Times New Roman"/>
                <w:color w:val="000000"/>
                <w:sz w:val="22"/>
                <w:szCs w:val="22"/>
              </w:rPr>
              <w:t>(7)</w:t>
            </w:r>
          </w:p>
        </w:tc>
        <w:tc>
          <w:tcPr>
            <w:tcW w:w="3623" w:type="dxa"/>
            <w:tcBorders>
              <w:top w:val="nil"/>
              <w:left w:val="nil"/>
              <w:bottom w:val="single" w:sz="4" w:space="0" w:color="auto"/>
              <w:right w:val="single" w:sz="4" w:space="0" w:color="auto"/>
            </w:tcBorders>
            <w:shd w:val="clear" w:color="auto" w:fill="auto"/>
            <w:noWrap/>
            <w:vAlign w:val="bottom"/>
            <w:hideMark/>
          </w:tcPr>
          <w:p w14:paraId="26964236"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p(infection | exposure)</w:t>
            </w:r>
          </w:p>
        </w:tc>
        <w:tc>
          <w:tcPr>
            <w:tcW w:w="1867" w:type="dxa"/>
            <w:tcBorders>
              <w:top w:val="nil"/>
              <w:left w:val="nil"/>
              <w:bottom w:val="single" w:sz="4" w:space="0" w:color="auto"/>
              <w:right w:val="single" w:sz="4" w:space="0" w:color="auto"/>
            </w:tcBorders>
            <w:shd w:val="clear" w:color="auto" w:fill="auto"/>
            <w:noWrap/>
            <w:vAlign w:val="bottom"/>
            <w:hideMark/>
          </w:tcPr>
          <w:p w14:paraId="6D76EA8E" w14:textId="77777777" w:rsidR="00C57D01" w:rsidRPr="00833637" w:rsidRDefault="00C57D01" w:rsidP="00945402">
            <w:pPr>
              <w:jc w:val="right"/>
              <w:rPr>
                <w:rFonts w:eastAsia="Times New Roman"/>
                <w:color w:val="000000"/>
                <w:sz w:val="22"/>
                <w:szCs w:val="22"/>
              </w:rPr>
            </w:pPr>
            <w:r w:rsidRPr="00833637">
              <w:rPr>
                <w:rFonts w:eastAsia="Times New Roman"/>
                <w:color w:val="000000"/>
                <w:sz w:val="22"/>
                <w:szCs w:val="22"/>
              </w:rPr>
              <w:t>4.70%</w:t>
            </w:r>
          </w:p>
        </w:tc>
        <w:tc>
          <w:tcPr>
            <w:tcW w:w="2970" w:type="dxa"/>
            <w:tcBorders>
              <w:top w:val="nil"/>
              <w:left w:val="nil"/>
              <w:bottom w:val="single" w:sz="4" w:space="0" w:color="auto"/>
              <w:right w:val="single" w:sz="4" w:space="0" w:color="auto"/>
            </w:tcBorders>
            <w:shd w:val="clear" w:color="auto" w:fill="auto"/>
            <w:noWrap/>
            <w:vAlign w:val="bottom"/>
            <w:hideMark/>
          </w:tcPr>
          <w:p w14:paraId="06113ABB" w14:textId="792D7ECD" w:rsidR="00C57D01" w:rsidRPr="00833637" w:rsidRDefault="00C57D01" w:rsidP="00945402">
            <w:pPr>
              <w:rPr>
                <w:rFonts w:eastAsia="Times New Roman"/>
                <w:i/>
                <w:iCs/>
                <w:color w:val="000000"/>
                <w:sz w:val="22"/>
                <w:szCs w:val="22"/>
              </w:rPr>
            </w:pPr>
            <w:r w:rsidRPr="00C8500C">
              <w:rPr>
                <w:rFonts w:eastAsia="Times New Roman"/>
                <w:color w:val="000000"/>
                <w:sz w:val="22"/>
                <w:szCs w:val="22"/>
              </w:rPr>
              <w:t>for low-risk contacts</w:t>
            </w:r>
            <w:r>
              <w:rPr>
                <w:rFonts w:eastAsia="Times New Roman"/>
                <w:i/>
                <w:iCs/>
                <w:color w:val="000000"/>
                <w:sz w:val="22"/>
                <w:szCs w:val="22"/>
              </w:rPr>
              <w:t xml:space="preserve"> </w:t>
            </w:r>
            <w:r>
              <w:rPr>
                <w:rFonts w:eastAsia="Times New Roman"/>
                <w:i/>
                <w:iCs/>
                <w:color w:val="000000"/>
                <w:sz w:val="22"/>
                <w:szCs w:val="22"/>
              </w:rPr>
              <w:fldChar w:fldCharType="begin"/>
            </w:r>
            <w:r w:rsidR="00B25CE3">
              <w:rPr>
                <w:rFonts w:eastAsia="Times New Roman"/>
                <w:i/>
                <w:iCs/>
                <w:color w:val="000000"/>
                <w:sz w:val="22"/>
                <w:szCs w:val="22"/>
              </w:rPr>
              <w:instrText xml:space="preserve"> ADDIN ZOTERO_ITEM CSL_CITATION {"citationID":"ZEPYNQqv","properties":{"formattedCitation":"[3]","plainCitation":"[3]","noteIndex":0},"citationItems":[{"id":5975,"uris":["http://zotero.org/users/3776105/items/KIJISEIE"],"uri":["http://zotero.org/users/3776105/items/KIJISEIE"],"itemData":{"id":5975,"type":"article-journal","abstract":"Epidemiology in southern India\nBy August 2020, India had reported several million cases of severe acute respiratory syndrome coronavirus 2 (SARS-CoV-2), with cases tending to show a younger age distribution than has been reported in higher-income countries. Laxminarayan et al. analyzed data from the Indian states of Tamil Nadu and Andhra Pradesh, which have developed rigorous contact tracing and testing systems (see the Perspective by John and Kang). Superspreading predominated, with 5% of infected individuals accounting for 80% of cases. Enhanced transmission risk was apparent among children and young adults, who accounted for one-third of cases. Deaths were concentrated in 50- to 64-year-olds. Incidence did not change in older age groups, possibly because of effective stay-at-home orders and social welfare programs or socioeconomic status. As in other settings, however, mortality rates were associated with older age, comorbidities, and being male.\nScience, this issue p. 691; see also p. 663\nAlthough most cases of coronavirus disease 2019 (COVID-19) have occurred in low-resource countries, little is known about the epidemiology of the disease in such contexts. Data from the Indian states of Tamil Nadu and Andhra Pradesh provide a detailed view into severe acute respiratory syndrome coronavirus 2 (SARS-CoV-2) transmission pathways and mortality in a high-incidence setting. Reported cases and deaths have been concentrated in younger cohorts than would be expected from observations in higher-income countries, even after accounting for demographic differences across settings. Among 575,071 individuals exposed to 84,965 confirmed cases, infection probabilities ranged from 4.7 to 10.7% for low-risk and high-risk contact types, respectively. Same-age contacts were associated with the greatest infection risk. Case fatality ratios spanned 0.05% at ages of 5 to 17 years to 16.6% at ages of 85 years or more. Primary data from low-resource countries are urgently needed to guide control measures.\nThe epidemiology of SARS-CoV-2 in southern India shows marked differences from that observed in higher-income countries.\nThe epidemiology of SARS-CoV-2 in southern India shows marked differences from that observed in higher-income countries.","container-title":"Science","DOI":"10.1126/science.abd7672","ISSN":"0036-8075, 1095-9203","issue":"6517","language":"en","note":"publisher: American Association for the Advancement of Science\nsection: Research Article\nPMID: 33154136","page":"691-697","source":"science.sciencemag.org","title":"Epidemiology and transmission dynamics of COVID-19 in two Indian states","volume":"370","author":[{"family":"Laxminarayan","given":"Ramanan"},{"family":"Wahl","given":"Brian"},{"family":"Dudala","given":"Shankar Reddy"},{"family":"Gopal","given":"K."},{"family":"B","given":"Chandra Mohan"},{"family":"Neelima","given":"S."},{"family":"Reddy","given":"K. S. Jawahar"},{"family":"Radhakrishnan","given":"J."},{"family":"Lewnard","given":"Joseph A."}],"issued":{"date-parts":[["2020",11,6]]}}}],"schema":"https://github.com/citation-style-language/schema/raw/master/csl-citation.json"} </w:instrText>
            </w:r>
            <w:r>
              <w:rPr>
                <w:rFonts w:eastAsia="Times New Roman"/>
                <w:i/>
                <w:iCs/>
                <w:color w:val="000000"/>
                <w:sz w:val="22"/>
                <w:szCs w:val="22"/>
              </w:rPr>
              <w:fldChar w:fldCharType="separate"/>
            </w:r>
            <w:r w:rsidR="00B25CE3">
              <w:rPr>
                <w:color w:val="000000"/>
                <w:sz w:val="22"/>
              </w:rPr>
              <w:t>[3]</w:t>
            </w:r>
            <w:r>
              <w:rPr>
                <w:rFonts w:eastAsia="Times New Roman"/>
                <w:i/>
                <w:iCs/>
                <w:color w:val="000000"/>
                <w:sz w:val="22"/>
                <w:szCs w:val="22"/>
              </w:rPr>
              <w:fldChar w:fldCharType="end"/>
            </w:r>
          </w:p>
        </w:tc>
      </w:tr>
      <w:tr w:rsidR="00C57D01" w:rsidRPr="00833637" w14:paraId="0AEB03BE" w14:textId="77777777" w:rsidTr="0094540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tcPr>
          <w:p w14:paraId="47543A31" w14:textId="77777777" w:rsidR="00C57D01" w:rsidRPr="00833637" w:rsidRDefault="00C57D01" w:rsidP="00945402">
            <w:pPr>
              <w:ind w:left="-583"/>
              <w:jc w:val="right"/>
              <w:rPr>
                <w:rFonts w:eastAsia="Times New Roman"/>
                <w:color w:val="000000"/>
                <w:sz w:val="22"/>
                <w:szCs w:val="22"/>
              </w:rPr>
            </w:pPr>
            <w:r>
              <w:rPr>
                <w:rFonts w:eastAsia="Times New Roman"/>
                <w:color w:val="000000"/>
                <w:sz w:val="22"/>
                <w:szCs w:val="22"/>
              </w:rPr>
              <w:t>(8)</w:t>
            </w:r>
          </w:p>
        </w:tc>
        <w:tc>
          <w:tcPr>
            <w:tcW w:w="3623" w:type="dxa"/>
            <w:tcBorders>
              <w:top w:val="nil"/>
              <w:left w:val="nil"/>
              <w:bottom w:val="single" w:sz="4" w:space="0" w:color="auto"/>
              <w:right w:val="single" w:sz="4" w:space="0" w:color="auto"/>
            </w:tcBorders>
            <w:shd w:val="clear" w:color="auto" w:fill="auto"/>
            <w:noWrap/>
            <w:vAlign w:val="bottom"/>
          </w:tcPr>
          <w:p w14:paraId="05495793" w14:textId="77777777" w:rsidR="00C57D01" w:rsidRPr="00833637" w:rsidRDefault="00C57D01" w:rsidP="00945402">
            <w:pPr>
              <w:ind w:firstLineChars="25" w:firstLine="55"/>
              <w:rPr>
                <w:rFonts w:eastAsia="Times New Roman"/>
                <w:color w:val="000000"/>
                <w:sz w:val="22"/>
                <w:szCs w:val="22"/>
              </w:rPr>
            </w:pPr>
            <w:r>
              <w:rPr>
                <w:rFonts w:eastAsia="Times New Roman"/>
                <w:color w:val="000000"/>
                <w:sz w:val="22"/>
                <w:szCs w:val="22"/>
              </w:rPr>
              <w:t>Mask reduction in risk</w:t>
            </w:r>
          </w:p>
        </w:tc>
        <w:tc>
          <w:tcPr>
            <w:tcW w:w="1867" w:type="dxa"/>
            <w:tcBorders>
              <w:top w:val="nil"/>
              <w:left w:val="nil"/>
              <w:bottom w:val="single" w:sz="4" w:space="0" w:color="auto"/>
              <w:right w:val="single" w:sz="4" w:space="0" w:color="auto"/>
            </w:tcBorders>
            <w:shd w:val="clear" w:color="auto" w:fill="auto"/>
            <w:noWrap/>
            <w:vAlign w:val="bottom"/>
          </w:tcPr>
          <w:p w14:paraId="69B159D9" w14:textId="77777777" w:rsidR="00C57D01" w:rsidRPr="00833637" w:rsidRDefault="00C57D01" w:rsidP="00945402">
            <w:pPr>
              <w:jc w:val="right"/>
              <w:rPr>
                <w:rFonts w:eastAsia="Times New Roman"/>
                <w:color w:val="000000"/>
                <w:sz w:val="22"/>
                <w:szCs w:val="22"/>
              </w:rPr>
            </w:pPr>
            <w:r>
              <w:rPr>
                <w:rFonts w:eastAsia="Times New Roman"/>
                <w:color w:val="000000"/>
                <w:sz w:val="22"/>
                <w:szCs w:val="22"/>
              </w:rPr>
              <w:t>85%</w:t>
            </w:r>
          </w:p>
        </w:tc>
        <w:tc>
          <w:tcPr>
            <w:tcW w:w="2970" w:type="dxa"/>
            <w:tcBorders>
              <w:top w:val="nil"/>
              <w:left w:val="nil"/>
              <w:bottom w:val="single" w:sz="4" w:space="0" w:color="auto"/>
              <w:right w:val="single" w:sz="4" w:space="0" w:color="auto"/>
            </w:tcBorders>
            <w:shd w:val="clear" w:color="auto" w:fill="auto"/>
            <w:noWrap/>
            <w:vAlign w:val="bottom"/>
          </w:tcPr>
          <w:p w14:paraId="53D0C38E" w14:textId="1073E156" w:rsidR="00C57D01" w:rsidRPr="00C8500C" w:rsidRDefault="00C57D01" w:rsidP="00945402">
            <w:pPr>
              <w:rPr>
                <w:rFonts w:eastAsia="Times New Roman"/>
                <w:color w:val="000000"/>
                <w:sz w:val="22"/>
                <w:szCs w:val="22"/>
              </w:rPr>
            </w:pPr>
            <w:proofErr w:type="spellStart"/>
            <w:r>
              <w:rPr>
                <w:rFonts w:eastAsia="Times New Roman"/>
                <w:color w:val="000000"/>
                <w:sz w:val="22"/>
                <w:szCs w:val="22"/>
              </w:rPr>
              <w:t>aOR</w:t>
            </w:r>
            <w:proofErr w:type="spellEnd"/>
            <w:r>
              <w:rPr>
                <w:rFonts w:eastAsia="Times New Roman"/>
                <w:color w:val="000000"/>
                <w:sz w:val="22"/>
                <w:szCs w:val="22"/>
              </w:rPr>
              <w:t xml:space="preserve"> = 0.15 </w:t>
            </w:r>
            <w:r>
              <w:rPr>
                <w:rFonts w:eastAsia="Times New Roman"/>
                <w:color w:val="000000"/>
                <w:sz w:val="22"/>
                <w:szCs w:val="22"/>
              </w:rPr>
              <w:fldChar w:fldCharType="begin"/>
            </w:r>
            <w:r w:rsidR="00B25CE3">
              <w:rPr>
                <w:rFonts w:eastAsia="Times New Roman"/>
                <w:color w:val="000000"/>
                <w:sz w:val="22"/>
                <w:szCs w:val="22"/>
              </w:rPr>
              <w:instrText xml:space="preserve"> ADDIN ZOTERO_ITEM CSL_CITATION {"citationID":"5Cvb1t9D","properties":{"formattedCitation":"[4]","plainCitation":"[4]","noteIndex":0},"citationItems":[{"id":5876,"uris":["http://zotero.org/users/3776105/items/7SA3WGFI"],"uri":["http://zotero.org/users/3776105/items/7SA3WGFI"],"itemData":{"id":5876,"type":"article-journal","abstract":"Background\nSevere acute respiratory syndrome coronavirus 2 (SARS-CoV-2) causes COVID-19 and is spread person-to-person through close contact. We aimed to investigate the effects of physical distance, face masks, and eye protection on virus transmission in health-care and non-health-care (eg, community) settings.\n\nMethods\nWe did a systematic review and meta-analysis to investigate the optimum distance for avoiding person-to-person virus transmission and to assess the use of face masks and eye protection to prevent transmission of viruses. We obtained data for SARS-CoV-2 and the betacoronaviruses that cause severe acute respiratory syndrome, and Middle East respiratory syndrome from 21 standard WHO-specific and COVID-19-specific sources. We searched these data sources from database inception to May 3, 2020, with no restriction by language, for comparative studies and for contextual factors of acceptability, feasibility, resource use, and equity. We screened records, extracted data, and assessed risk of bias in duplicate. We did frequentist and Bayesian meta-analyses and random-effects meta-regressions. We rated the certainty of evidence according to Cochrane methods and the GRADE approach. This study is registered with PROSPERO, CRD42020177047.\n\nFindings\nOur search identified 172 observational studies across 16 countries and six continents, with no randomised controlled trials and 44 relevant comparative studies in health-care and non-health-care settings (n=25 697 patients). Transmission of viruses was lower with physical distancing of 1 m or more, compared with a distance of less than 1 m (n=10 736, pooled adjusted odds ratio [aOR] 0·18, 95% CI 0·09 to 0·38; risk difference [RD] −10·2%, 95% CI −11·5 to −7·5; moderate certainty); protection was increased as distance was lengthened (change in relative risk [RR] 2·02 per m; pinteraction=0·041; moderate certainty). Face mask use could result in a large reduction in risk of infection (n=2647; aOR 0·15, 95% CI 0·07 to 0·34, RD −14·3%, −15·9 to −10·7; low certainty), with stronger associations with N95 or similar respirators compared with disposable surgical masks or similar (eg, reusable 12–16-layer cotton masks; pinteraction=0·090; posterior probability &gt;95%, low certainty). Eye protection also was associated with less infection (n=3713; aOR 0·22, 95% CI 0·12 to 0·39, RD −10·6%, 95% CI −12·5 to −7·7; low certainty). Unadjusted studies and subgroup and sensitivity analyses showed similar findings.\n\nInterpretation\nThe findings of this systematic review and meta-analysis support physical distancing of 1 m or more and provide quantitative estimates for models and contact tracing to inform policy. Optimum use of face masks, respirators, and eye protection in public and health-care settings should be informed by these findings and contextual factors. Robust randomised trials are needed to better inform the evidence for these interventions, but this systematic appraisal of currently best available evidence might inform interim guidance.\n\nFunding\nWorld Health Organization.","container-title":"Lancet (London, England)","DOI":"10.1016/S0140-6736(20)31142-9","ISSN":"0140-6736","issue":"10242","journalAbbreviation":"Lancet","note":"PMID: 32497510\nPMCID: PMC7263814","page":"1973-1987","source":"PubMed Central","title":"Physical distancing, face masks, and eye protection to prevent person-to-person transmission of SARS-CoV-2 and COVID-19: a systematic review and meta-analysis","title-short":"Physical distancing, face masks, and eye protection to prevent person-to-person transmission of SARS-CoV-2 and COVID-19","volume":"395","author":[{"family":"Chu","given":"Derek K"},{"family":"Akl","given":"Elie A"},{"family":"Duda","given":"Stephanie"},{"family":"Solo","given":"Karla"},{"family":"Yaacoub","given":"Sally"},{"family":"Schünemann","given":"Holger J"}],"issued":{"date-parts":[["2020"]]}}}],"schema":"https://github.com/citation-style-language/schema/raw/master/csl-citation.json"} </w:instrText>
            </w:r>
            <w:r>
              <w:rPr>
                <w:rFonts w:eastAsia="Times New Roman"/>
                <w:color w:val="000000"/>
                <w:sz w:val="22"/>
                <w:szCs w:val="22"/>
              </w:rPr>
              <w:fldChar w:fldCharType="separate"/>
            </w:r>
            <w:r w:rsidR="00B25CE3">
              <w:rPr>
                <w:color w:val="000000"/>
                <w:sz w:val="22"/>
              </w:rPr>
              <w:t>[4]</w:t>
            </w:r>
            <w:r>
              <w:rPr>
                <w:rFonts w:eastAsia="Times New Roman"/>
                <w:color w:val="000000"/>
                <w:sz w:val="22"/>
                <w:szCs w:val="22"/>
              </w:rPr>
              <w:fldChar w:fldCharType="end"/>
            </w:r>
          </w:p>
        </w:tc>
      </w:tr>
      <w:tr w:rsidR="00C57D01" w:rsidRPr="00833637" w14:paraId="42BB74F0" w14:textId="77777777" w:rsidTr="0094540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74FB4BBD" w14:textId="77777777" w:rsidR="00C57D01" w:rsidRPr="00833637" w:rsidRDefault="00C57D01" w:rsidP="00945402">
            <w:pPr>
              <w:ind w:left="-583"/>
              <w:jc w:val="right"/>
              <w:rPr>
                <w:rFonts w:eastAsia="Times New Roman"/>
                <w:color w:val="000000"/>
                <w:sz w:val="22"/>
                <w:szCs w:val="22"/>
              </w:rPr>
            </w:pPr>
            <w:r w:rsidRPr="00833637">
              <w:rPr>
                <w:rFonts w:eastAsia="Times New Roman"/>
                <w:color w:val="000000"/>
                <w:sz w:val="22"/>
                <w:szCs w:val="22"/>
              </w:rPr>
              <w:t>(</w:t>
            </w:r>
            <w:r>
              <w:rPr>
                <w:rFonts w:eastAsia="Times New Roman"/>
                <w:color w:val="000000"/>
                <w:sz w:val="22"/>
                <w:szCs w:val="22"/>
              </w:rPr>
              <w:t>9</w:t>
            </w:r>
            <w:r w:rsidRPr="00833637">
              <w:rPr>
                <w:rFonts w:eastAsia="Times New Roman"/>
                <w:color w:val="000000"/>
                <w:sz w:val="22"/>
                <w:szCs w:val="22"/>
              </w:rPr>
              <w:t>)</w:t>
            </w:r>
          </w:p>
        </w:tc>
        <w:tc>
          <w:tcPr>
            <w:tcW w:w="3623" w:type="dxa"/>
            <w:tcBorders>
              <w:top w:val="nil"/>
              <w:left w:val="nil"/>
              <w:bottom w:val="single" w:sz="4" w:space="0" w:color="auto"/>
              <w:right w:val="single" w:sz="4" w:space="0" w:color="auto"/>
            </w:tcBorders>
            <w:shd w:val="clear" w:color="auto" w:fill="auto"/>
            <w:noWrap/>
            <w:vAlign w:val="bottom"/>
            <w:hideMark/>
          </w:tcPr>
          <w:p w14:paraId="679588F2" w14:textId="77777777" w:rsidR="00C57D01" w:rsidRPr="00833637" w:rsidRDefault="00C57D01" w:rsidP="00945402">
            <w:pPr>
              <w:rPr>
                <w:rFonts w:eastAsia="Times New Roman"/>
                <w:color w:val="000000"/>
                <w:sz w:val="22"/>
                <w:szCs w:val="22"/>
              </w:rPr>
            </w:pPr>
            <w:r w:rsidRPr="00833637">
              <w:rPr>
                <w:rFonts w:eastAsia="Times New Roman"/>
                <w:color w:val="000000"/>
                <w:sz w:val="22"/>
                <w:szCs w:val="22"/>
              </w:rPr>
              <w:t xml:space="preserve"> p(death| infection) for a 25-year</w:t>
            </w:r>
            <w:r>
              <w:rPr>
                <w:rFonts w:eastAsia="Times New Roman"/>
                <w:color w:val="000000"/>
                <w:sz w:val="22"/>
                <w:szCs w:val="22"/>
              </w:rPr>
              <w:t>-</w:t>
            </w:r>
            <w:r w:rsidRPr="00833637">
              <w:rPr>
                <w:rFonts w:eastAsia="Times New Roman"/>
                <w:color w:val="000000"/>
                <w:sz w:val="22"/>
                <w:szCs w:val="22"/>
              </w:rPr>
              <w:t>old</w:t>
            </w:r>
          </w:p>
        </w:tc>
        <w:tc>
          <w:tcPr>
            <w:tcW w:w="1867" w:type="dxa"/>
            <w:tcBorders>
              <w:top w:val="nil"/>
              <w:left w:val="nil"/>
              <w:bottom w:val="single" w:sz="4" w:space="0" w:color="auto"/>
              <w:right w:val="single" w:sz="4" w:space="0" w:color="auto"/>
            </w:tcBorders>
            <w:shd w:val="clear" w:color="auto" w:fill="auto"/>
            <w:noWrap/>
            <w:vAlign w:val="bottom"/>
            <w:hideMark/>
          </w:tcPr>
          <w:p w14:paraId="6EB38C58" w14:textId="77777777" w:rsidR="00C57D01" w:rsidRPr="00833637" w:rsidRDefault="00C57D01" w:rsidP="00945402">
            <w:pPr>
              <w:jc w:val="right"/>
              <w:rPr>
                <w:rFonts w:eastAsia="Times New Roman"/>
                <w:color w:val="000000"/>
                <w:sz w:val="22"/>
                <w:szCs w:val="22"/>
              </w:rPr>
            </w:pPr>
            <w:r w:rsidRPr="00833637">
              <w:rPr>
                <w:rFonts w:eastAsia="Times New Roman"/>
                <w:color w:val="000000"/>
                <w:sz w:val="22"/>
                <w:szCs w:val="22"/>
              </w:rPr>
              <w:t>0.004%</w:t>
            </w:r>
          </w:p>
        </w:tc>
        <w:tc>
          <w:tcPr>
            <w:tcW w:w="2970" w:type="dxa"/>
            <w:tcBorders>
              <w:top w:val="nil"/>
              <w:left w:val="nil"/>
              <w:bottom w:val="single" w:sz="4" w:space="0" w:color="auto"/>
              <w:right w:val="single" w:sz="4" w:space="0" w:color="auto"/>
            </w:tcBorders>
            <w:shd w:val="clear" w:color="auto" w:fill="auto"/>
            <w:noWrap/>
            <w:vAlign w:val="bottom"/>
            <w:hideMark/>
          </w:tcPr>
          <w:p w14:paraId="791C0367" w14:textId="1FB9DFA2" w:rsidR="00C57D01" w:rsidRPr="00C8500C" w:rsidRDefault="00C57D01" w:rsidP="00945402">
            <w:pPr>
              <w:rPr>
                <w:rFonts w:eastAsia="Times New Roman"/>
                <w:color w:val="000000"/>
                <w:sz w:val="22"/>
                <w:szCs w:val="22"/>
              </w:rPr>
            </w:pPr>
            <w:r w:rsidRPr="00C8500C">
              <w:rPr>
                <w:rFonts w:eastAsia="Times New Roman"/>
                <w:color w:val="000000"/>
                <w:sz w:val="22"/>
                <w:szCs w:val="22"/>
              </w:rPr>
              <w:t xml:space="preserve">IFR </w:t>
            </w:r>
            <w:r>
              <w:rPr>
                <w:rFonts w:eastAsia="Times New Roman"/>
                <w:color w:val="000000"/>
                <w:sz w:val="22"/>
                <w:szCs w:val="22"/>
              </w:rPr>
              <w:fldChar w:fldCharType="begin"/>
            </w:r>
            <w:r w:rsidR="000C1E68">
              <w:rPr>
                <w:rFonts w:eastAsia="Times New Roman"/>
                <w:color w:val="000000"/>
                <w:sz w:val="22"/>
                <w:szCs w:val="22"/>
              </w:rPr>
              <w:instrText xml:space="preserve"> ADDIN ZOTERO_ITEM CSL_CITATION {"citationID":"Aanz0T6V","properties":{"formattedCitation":"[5]","plainCitation":"[5]","noteIndex":0},"citationItems":[{"id":5979,"uris":["http://zotero.org/users/3776105/items/YJCH9FIA"],"uri":["http://zotero.org/users/3776105/items/YJCH9FIA"],"itemData":{"id":5979,"type":"article-journal","abstract":"Determine age-specific infection fatality rates for COVID-19 to inform public health policies and communications that help protect vulnerable age groups. Studies of COVID-19 prevalence were collected by conducting an online search of published articles, preprints, and government reports that were publicly disseminated prior to 18 September 2020. The systematic review encompassed 113 studies, of which 27 studies (covering 34 geographical locations) satisfied the inclusion criteria and were included in the meta-analysis. Age-specific IFRs were computed using the prevalence data in conjunction with reported fatalities 4 weeks after the midpoint date of the study, reflecting typical lags in fatalities and reporting. Meta-regression procedures in Stata were used to analyze the infection fatality rate (IFR) by age. Our analysis finds a exponential relationship between age and IFR for COVID-19. The estimated age-specific IFR is very low for children and younger adults (e.g., 0.002% at age 10 and 0.01% at age 25) but increases progressively to 0.4% at age 55, 1.4% at age 65, 4.6% at age 75, and 15% at age 85. Moreover, our results indicate that about 90% of the variation in population IFR across geographical locations reflects differences in the age composition of the population and the extent to which relatively vulnerable age groups were exposed to the virus. These results indicate that COVID-19 is hazardous not only for the elderly but also for middle-aged adults, for whom the infection fatality rate is two orders of magnitude greater than the annualized risk of a fatal automobile accident and far more dangerous than seasonal influenza. Moreover, the overall IFR for COVID-19 should not be viewed as a fixed parameter but as intrinsically linked to the age-specific pattern of infections. Consequently, public health measures to mitigate infections in older adults could substantially decrease total deaths.","container-title":"European Journal of Epidemiology","DOI":"10.1007/s10654-020-00698-1","ISSN":"1573-7284","journalAbbreviation":"Eur J Epidemiol","language":"en","source":"Springer Link","title":"Assessing the age specificity of infection fatality rates for COVID-19: systematic review, meta-analysis, and public policy implications","title-short":"Assessing the age specificity of infection fatality rates for COVID-19","URL":"https://doi.org/10.1007/s10654-020-00698-1","author":[{"family":"Levin","given":"Andrew T."},{"family":"Hanage","given":"William P."},{"family":"Owusu-Boaitey","given":"Nana"},{"family":"Cochran","given":"Kensington B."},{"family":"Walsh","given":"Seamus P."},{"family":"Meyerowitz-Katz","given":"Gideon"}],"accessed":{"date-parts":[["2020",12,22]]},"issued":{"date-parts":[["2020",12,8]]}}}],"schema":"https://github.com/citation-style-language/schema/raw/master/csl-citation.json"} </w:instrText>
            </w:r>
            <w:r>
              <w:rPr>
                <w:rFonts w:eastAsia="Times New Roman"/>
                <w:color w:val="000000"/>
                <w:sz w:val="22"/>
                <w:szCs w:val="22"/>
              </w:rPr>
              <w:fldChar w:fldCharType="separate"/>
            </w:r>
            <w:r w:rsidR="000C1E68">
              <w:rPr>
                <w:color w:val="000000"/>
                <w:sz w:val="22"/>
              </w:rPr>
              <w:t>[5]</w:t>
            </w:r>
            <w:r>
              <w:rPr>
                <w:rFonts w:eastAsia="Times New Roman"/>
                <w:color w:val="000000"/>
                <w:sz w:val="22"/>
                <w:szCs w:val="22"/>
              </w:rPr>
              <w:fldChar w:fldCharType="end"/>
            </w:r>
          </w:p>
        </w:tc>
      </w:tr>
      <w:tr w:rsidR="00C57D01" w:rsidRPr="00833637" w14:paraId="034183A8" w14:textId="77777777" w:rsidTr="00945402">
        <w:trPr>
          <w:trHeight w:val="279"/>
        </w:trPr>
        <w:tc>
          <w:tcPr>
            <w:tcW w:w="445" w:type="dxa"/>
            <w:tcBorders>
              <w:top w:val="nil"/>
              <w:left w:val="single" w:sz="4" w:space="0" w:color="auto"/>
              <w:bottom w:val="single" w:sz="8" w:space="0" w:color="auto"/>
              <w:right w:val="single" w:sz="4" w:space="0" w:color="auto"/>
            </w:tcBorders>
            <w:shd w:val="clear" w:color="auto" w:fill="auto"/>
            <w:noWrap/>
            <w:vAlign w:val="bottom"/>
            <w:hideMark/>
          </w:tcPr>
          <w:p w14:paraId="2C81F208" w14:textId="77777777" w:rsidR="00C57D01" w:rsidRPr="00833637" w:rsidRDefault="00C57D01" w:rsidP="00945402">
            <w:pPr>
              <w:ind w:left="-583"/>
              <w:jc w:val="right"/>
              <w:rPr>
                <w:rFonts w:eastAsia="Times New Roman"/>
                <w:color w:val="000000"/>
                <w:sz w:val="22"/>
                <w:szCs w:val="22"/>
              </w:rPr>
            </w:pPr>
            <w:r w:rsidRPr="00833637">
              <w:rPr>
                <w:rFonts w:eastAsia="Times New Roman"/>
                <w:color w:val="000000"/>
                <w:sz w:val="22"/>
                <w:szCs w:val="22"/>
              </w:rPr>
              <w:t>(</w:t>
            </w:r>
            <w:r>
              <w:rPr>
                <w:rFonts w:eastAsia="Times New Roman"/>
                <w:color w:val="000000"/>
                <w:sz w:val="22"/>
                <w:szCs w:val="22"/>
              </w:rPr>
              <w:t>10</w:t>
            </w:r>
            <w:r w:rsidRPr="00833637">
              <w:rPr>
                <w:rFonts w:eastAsia="Times New Roman"/>
                <w:color w:val="000000"/>
                <w:sz w:val="22"/>
                <w:szCs w:val="22"/>
              </w:rPr>
              <w:t>)</w:t>
            </w:r>
          </w:p>
        </w:tc>
        <w:tc>
          <w:tcPr>
            <w:tcW w:w="3623" w:type="dxa"/>
            <w:tcBorders>
              <w:top w:val="nil"/>
              <w:left w:val="nil"/>
              <w:bottom w:val="single" w:sz="8" w:space="0" w:color="auto"/>
              <w:right w:val="single" w:sz="4" w:space="0" w:color="auto"/>
            </w:tcBorders>
            <w:shd w:val="clear" w:color="auto" w:fill="auto"/>
            <w:noWrap/>
            <w:vAlign w:val="bottom"/>
            <w:hideMark/>
          </w:tcPr>
          <w:p w14:paraId="102EE464" w14:textId="77777777" w:rsidR="00C57D01" w:rsidRPr="00833637" w:rsidRDefault="00C57D01" w:rsidP="00945402">
            <w:pPr>
              <w:rPr>
                <w:rFonts w:eastAsia="Times New Roman"/>
                <w:color w:val="000000"/>
                <w:sz w:val="22"/>
                <w:szCs w:val="22"/>
              </w:rPr>
            </w:pPr>
            <w:r>
              <w:rPr>
                <w:rFonts w:eastAsia="Times New Roman"/>
                <w:color w:val="000000"/>
                <w:sz w:val="22"/>
                <w:szCs w:val="22"/>
              </w:rPr>
              <w:t xml:space="preserve"> </w:t>
            </w:r>
            <w:r w:rsidRPr="00833637">
              <w:rPr>
                <w:rFonts w:eastAsia="Times New Roman"/>
                <w:color w:val="000000"/>
                <w:sz w:val="22"/>
                <w:szCs w:val="22"/>
              </w:rPr>
              <w:t>p(death| infection) for a 75-year</w:t>
            </w:r>
            <w:r>
              <w:rPr>
                <w:rFonts w:eastAsia="Times New Roman"/>
                <w:color w:val="000000"/>
                <w:sz w:val="22"/>
                <w:szCs w:val="22"/>
              </w:rPr>
              <w:t>-</w:t>
            </w:r>
            <w:r w:rsidRPr="00833637">
              <w:rPr>
                <w:rFonts w:eastAsia="Times New Roman"/>
                <w:color w:val="000000"/>
                <w:sz w:val="22"/>
                <w:szCs w:val="22"/>
              </w:rPr>
              <w:t>old</w:t>
            </w:r>
          </w:p>
        </w:tc>
        <w:tc>
          <w:tcPr>
            <w:tcW w:w="1867" w:type="dxa"/>
            <w:tcBorders>
              <w:top w:val="nil"/>
              <w:left w:val="nil"/>
              <w:bottom w:val="single" w:sz="8" w:space="0" w:color="auto"/>
              <w:right w:val="single" w:sz="4" w:space="0" w:color="auto"/>
            </w:tcBorders>
            <w:shd w:val="clear" w:color="auto" w:fill="auto"/>
            <w:noWrap/>
            <w:vAlign w:val="bottom"/>
            <w:hideMark/>
          </w:tcPr>
          <w:p w14:paraId="71FC8EBE" w14:textId="77777777" w:rsidR="00C57D01" w:rsidRPr="00833637" w:rsidRDefault="00C57D01" w:rsidP="00945402">
            <w:pPr>
              <w:jc w:val="right"/>
              <w:rPr>
                <w:rFonts w:eastAsia="Times New Roman"/>
                <w:color w:val="000000"/>
                <w:sz w:val="22"/>
                <w:szCs w:val="22"/>
              </w:rPr>
            </w:pPr>
            <w:r w:rsidRPr="00833637">
              <w:rPr>
                <w:rFonts w:eastAsia="Times New Roman"/>
                <w:color w:val="000000"/>
                <w:sz w:val="22"/>
                <w:szCs w:val="22"/>
              </w:rPr>
              <w:t>8.50%</w:t>
            </w:r>
          </w:p>
        </w:tc>
        <w:tc>
          <w:tcPr>
            <w:tcW w:w="2970" w:type="dxa"/>
            <w:tcBorders>
              <w:top w:val="nil"/>
              <w:left w:val="nil"/>
              <w:bottom w:val="single" w:sz="8" w:space="0" w:color="auto"/>
              <w:right w:val="single" w:sz="4" w:space="0" w:color="auto"/>
            </w:tcBorders>
            <w:shd w:val="clear" w:color="auto" w:fill="auto"/>
            <w:noWrap/>
            <w:vAlign w:val="bottom"/>
            <w:hideMark/>
          </w:tcPr>
          <w:p w14:paraId="00FCF4A1" w14:textId="2EE77605" w:rsidR="00C57D01" w:rsidRPr="00C8500C" w:rsidRDefault="000C1E68" w:rsidP="00945402">
            <w:pPr>
              <w:rPr>
                <w:rFonts w:eastAsia="Times New Roman"/>
                <w:color w:val="000000"/>
                <w:sz w:val="22"/>
                <w:szCs w:val="22"/>
              </w:rPr>
            </w:pPr>
            <w:r w:rsidRPr="00C8500C">
              <w:rPr>
                <w:rFonts w:eastAsia="Times New Roman"/>
                <w:color w:val="000000"/>
                <w:sz w:val="22"/>
                <w:szCs w:val="22"/>
              </w:rPr>
              <w:t xml:space="preserve">IFR </w:t>
            </w:r>
            <w:r>
              <w:rPr>
                <w:rFonts w:eastAsia="Times New Roman"/>
                <w:color w:val="000000"/>
                <w:sz w:val="22"/>
                <w:szCs w:val="22"/>
              </w:rPr>
              <w:fldChar w:fldCharType="begin"/>
            </w:r>
            <w:r>
              <w:rPr>
                <w:rFonts w:eastAsia="Times New Roman"/>
                <w:color w:val="000000"/>
                <w:sz w:val="22"/>
                <w:szCs w:val="22"/>
              </w:rPr>
              <w:instrText xml:space="preserve"> ADDIN ZOTERO_ITEM CSL_CITATION {"citationID":"2vrtehq8","properties":{"formattedCitation":"[5]","plainCitation":"[5]","noteIndex":0},"citationItems":[{"id":5979,"uris":["http://zotero.org/users/3776105/items/YJCH9FIA"],"uri":["http://zotero.org/users/3776105/items/YJCH9FIA"],"itemData":{"id":5979,"type":"article-journal","abstract":"Determine age-specific infection fatality rates for COVID-19 to inform public health policies and communications that help protect vulnerable age groups. Studies of COVID-19 prevalence were collected by conducting an online search of published articles, preprints, and government reports that were publicly disseminated prior to 18 September 2020. The systematic review encompassed 113 studies, of which 27 studies (covering 34 geographical locations) satisfied the inclusion criteria and were included in the meta-analysis. Age-specific IFRs were computed using the prevalence data in conjunction with reported fatalities 4 weeks after the midpoint date of the study, reflecting typical lags in fatalities and reporting. Meta-regression procedures in Stata were used to analyze the infection fatality rate (IFR) by age. Our analysis finds a exponential relationship between age and IFR for COVID-19. The estimated age-specific IFR is very low for children and younger adults (e.g., 0.002% at age 10 and 0.01% at age 25) but increases progressively to 0.4% at age 55, 1.4% at age 65, 4.6% at age 75, and 15% at age 85. Moreover, our results indicate that about 90% of the variation in population IFR across geographical locations reflects differences in the age composition of the population and the extent to which relatively vulnerable age groups were exposed to the virus. These results indicate that COVID-19 is hazardous not only for the elderly but also for middle-aged adults, for whom the infection fatality rate is two orders of magnitude greater than the annualized risk of a fatal automobile accident and far more dangerous than seasonal influenza. Moreover, the overall IFR for COVID-19 should not be viewed as a fixed parameter but as intrinsically linked to the age-specific pattern of infections. Consequently, public health measures to mitigate infections in older adults could substantially decrease total deaths.","container-title":"European Journal of Epidemiology","DOI":"10.1007/s10654-020-00698-1","ISSN":"1573-7284","journalAbbreviation":"Eur J Epidemiol","language":"en","source":"Springer Link","title":"Assessing the age specificity of infection fatality rates for COVID-19: systematic review, meta-analysis, and public policy implications","title-short":"Assessing the age specificity of infection fatality rates for COVID-19","URL":"https://doi.org/10.1007/s10654-020-00698-1","author":[{"family":"Levin","given":"Andrew T."},{"family":"Hanage","given":"William P."},{"family":"Owusu-Boaitey","given":"Nana"},{"family":"Cochran","given":"Kensington B."},{"family":"Walsh","given":"Seamus P."},{"family":"Meyerowitz-Katz","given":"Gideon"}],"accessed":{"date-parts":[["2020",12,22]]},"issued":{"date-parts":[["2020",12,8]]}}}],"schema":"https://github.com/citation-style-language/schema/raw/master/csl-citation.json"} </w:instrText>
            </w:r>
            <w:r>
              <w:rPr>
                <w:rFonts w:eastAsia="Times New Roman"/>
                <w:color w:val="000000"/>
                <w:sz w:val="22"/>
                <w:szCs w:val="22"/>
              </w:rPr>
              <w:fldChar w:fldCharType="separate"/>
            </w:r>
            <w:r>
              <w:rPr>
                <w:color w:val="000000"/>
                <w:sz w:val="22"/>
              </w:rPr>
              <w:t>[5]</w:t>
            </w:r>
            <w:r>
              <w:rPr>
                <w:rFonts w:eastAsia="Times New Roman"/>
                <w:color w:val="000000"/>
                <w:sz w:val="22"/>
                <w:szCs w:val="22"/>
              </w:rPr>
              <w:fldChar w:fldCharType="end"/>
            </w:r>
          </w:p>
        </w:tc>
      </w:tr>
      <w:tr w:rsidR="00C57D01" w:rsidRPr="00833637" w14:paraId="70725019" w14:textId="77777777" w:rsidTr="00945402">
        <w:trPr>
          <w:trHeight w:val="261"/>
        </w:trPr>
        <w:tc>
          <w:tcPr>
            <w:tcW w:w="445" w:type="dxa"/>
            <w:tcBorders>
              <w:top w:val="nil"/>
              <w:left w:val="nil"/>
              <w:bottom w:val="nil"/>
              <w:right w:val="nil"/>
            </w:tcBorders>
            <w:shd w:val="clear" w:color="auto" w:fill="auto"/>
            <w:noWrap/>
            <w:vAlign w:val="bottom"/>
            <w:hideMark/>
          </w:tcPr>
          <w:p w14:paraId="03647C3C" w14:textId="77777777" w:rsidR="00C57D01" w:rsidRPr="00833637" w:rsidRDefault="00C57D01" w:rsidP="00945402">
            <w:pPr>
              <w:ind w:firstLineChars="200" w:firstLine="440"/>
              <w:rPr>
                <w:rFonts w:eastAsia="Times New Roman"/>
                <w:i/>
                <w:iCs/>
                <w:color w:val="000000"/>
                <w:sz w:val="22"/>
                <w:szCs w:val="22"/>
              </w:rPr>
            </w:pPr>
          </w:p>
        </w:tc>
        <w:tc>
          <w:tcPr>
            <w:tcW w:w="3623" w:type="dxa"/>
            <w:tcBorders>
              <w:top w:val="nil"/>
              <w:left w:val="nil"/>
              <w:bottom w:val="nil"/>
              <w:right w:val="nil"/>
            </w:tcBorders>
            <w:shd w:val="clear" w:color="auto" w:fill="auto"/>
            <w:noWrap/>
            <w:vAlign w:val="bottom"/>
            <w:hideMark/>
          </w:tcPr>
          <w:p w14:paraId="40FEAB40" w14:textId="77777777" w:rsidR="00C57D01" w:rsidRDefault="00C57D01" w:rsidP="00945402">
            <w:pPr>
              <w:ind w:firstLine="235"/>
              <w:rPr>
                <w:rFonts w:ascii="Times New Roman" w:eastAsia="Times New Roman" w:hAnsi="Times New Roman" w:cs="Times New Roman"/>
                <w:sz w:val="20"/>
                <w:szCs w:val="20"/>
              </w:rPr>
            </w:pPr>
          </w:p>
          <w:p w14:paraId="04FC9037" w14:textId="77777777" w:rsidR="00C57D01" w:rsidRDefault="00C57D01" w:rsidP="00945402">
            <w:pPr>
              <w:ind w:firstLine="235"/>
              <w:rPr>
                <w:rFonts w:ascii="Times New Roman" w:eastAsia="Times New Roman" w:hAnsi="Times New Roman" w:cs="Times New Roman"/>
                <w:sz w:val="20"/>
                <w:szCs w:val="20"/>
              </w:rPr>
            </w:pPr>
          </w:p>
          <w:p w14:paraId="68353FCE" w14:textId="77777777" w:rsidR="00C57D01" w:rsidRPr="00833637" w:rsidRDefault="00C57D01" w:rsidP="00945402">
            <w:pPr>
              <w:ind w:firstLine="235"/>
              <w:rPr>
                <w:rFonts w:ascii="Times New Roman" w:eastAsia="Times New Roman" w:hAnsi="Times New Roman" w:cs="Times New Roman"/>
                <w:sz w:val="20"/>
                <w:szCs w:val="20"/>
              </w:rPr>
            </w:pPr>
          </w:p>
        </w:tc>
        <w:tc>
          <w:tcPr>
            <w:tcW w:w="1867" w:type="dxa"/>
            <w:tcBorders>
              <w:top w:val="nil"/>
              <w:left w:val="nil"/>
              <w:bottom w:val="nil"/>
              <w:right w:val="nil"/>
            </w:tcBorders>
            <w:shd w:val="clear" w:color="auto" w:fill="auto"/>
            <w:noWrap/>
            <w:vAlign w:val="bottom"/>
            <w:hideMark/>
          </w:tcPr>
          <w:p w14:paraId="5DDDBA05" w14:textId="77777777" w:rsidR="00C57D01" w:rsidRDefault="00C57D01" w:rsidP="00945402">
            <w:pPr>
              <w:rPr>
                <w:rFonts w:eastAsia="Times New Roman"/>
                <w:b/>
                <w:bCs/>
                <w:color w:val="000000"/>
                <w:sz w:val="22"/>
                <w:szCs w:val="22"/>
              </w:rPr>
            </w:pPr>
          </w:p>
          <w:p w14:paraId="1E363925" w14:textId="77777777" w:rsidR="00C57D01" w:rsidRPr="00833637" w:rsidRDefault="00C57D01" w:rsidP="00945402">
            <w:pPr>
              <w:jc w:val="right"/>
              <w:rPr>
                <w:rFonts w:ascii="Times New Roman" w:eastAsia="Times New Roman" w:hAnsi="Times New Roman" w:cs="Times New Roman"/>
                <w:sz w:val="20"/>
                <w:szCs w:val="20"/>
              </w:rPr>
            </w:pPr>
            <w:r w:rsidRPr="00833637">
              <w:rPr>
                <w:rFonts w:eastAsia="Times New Roman"/>
                <w:b/>
                <w:bCs/>
                <w:color w:val="000000"/>
                <w:sz w:val="22"/>
                <w:szCs w:val="22"/>
              </w:rPr>
              <w:t>Risk-weighted cost of infection</w:t>
            </w:r>
            <w:r>
              <w:rPr>
                <w:rFonts w:eastAsia="Times New Roman"/>
                <w:b/>
                <w:bCs/>
                <w:color w:val="000000"/>
                <w:sz w:val="22"/>
                <w:szCs w:val="22"/>
              </w:rPr>
              <w:t xml:space="preserve"> (mortality risk)</w:t>
            </w:r>
          </w:p>
        </w:tc>
        <w:tc>
          <w:tcPr>
            <w:tcW w:w="2970" w:type="dxa"/>
            <w:tcBorders>
              <w:top w:val="nil"/>
              <w:left w:val="nil"/>
              <w:bottom w:val="nil"/>
              <w:right w:val="nil"/>
            </w:tcBorders>
            <w:shd w:val="clear" w:color="auto" w:fill="auto"/>
            <w:noWrap/>
            <w:vAlign w:val="bottom"/>
            <w:hideMark/>
          </w:tcPr>
          <w:p w14:paraId="213B066D" w14:textId="77777777" w:rsidR="00C57D01" w:rsidRPr="00833637" w:rsidRDefault="00C57D01" w:rsidP="00945402">
            <w:pPr>
              <w:rPr>
                <w:rFonts w:eastAsia="Times New Roman"/>
                <w:b/>
                <w:bCs/>
                <w:color w:val="000000"/>
                <w:sz w:val="22"/>
                <w:szCs w:val="22"/>
              </w:rPr>
            </w:pPr>
            <w:r>
              <w:rPr>
                <w:rFonts w:eastAsia="Times New Roman"/>
                <w:b/>
                <w:bCs/>
                <w:color w:val="000000"/>
                <w:sz w:val="22"/>
                <w:szCs w:val="22"/>
              </w:rPr>
              <w:t>Risk-</w:t>
            </w:r>
            <w:r w:rsidRPr="00833637">
              <w:rPr>
                <w:rFonts w:eastAsia="Times New Roman"/>
                <w:b/>
                <w:bCs/>
                <w:color w:val="000000"/>
                <w:sz w:val="22"/>
                <w:szCs w:val="22"/>
              </w:rPr>
              <w:t>equivalent drunk driving distance (mi)</w:t>
            </w:r>
          </w:p>
        </w:tc>
      </w:tr>
      <w:tr w:rsidR="00C57D01" w:rsidRPr="00833637" w14:paraId="7D269A3C" w14:textId="77777777" w:rsidTr="00945402">
        <w:trPr>
          <w:trHeight w:val="69"/>
        </w:trPr>
        <w:tc>
          <w:tcPr>
            <w:tcW w:w="445" w:type="dxa"/>
            <w:tcBorders>
              <w:top w:val="nil"/>
              <w:left w:val="nil"/>
              <w:bottom w:val="nil"/>
              <w:right w:val="nil"/>
            </w:tcBorders>
            <w:shd w:val="clear" w:color="auto" w:fill="auto"/>
            <w:noWrap/>
            <w:vAlign w:val="bottom"/>
            <w:hideMark/>
          </w:tcPr>
          <w:p w14:paraId="6C77BA61" w14:textId="77777777" w:rsidR="00C57D01" w:rsidRPr="00833637" w:rsidRDefault="00C57D01" w:rsidP="00945402">
            <w:pPr>
              <w:ind w:firstLineChars="100" w:firstLine="221"/>
              <w:rPr>
                <w:rFonts w:eastAsia="Times New Roman"/>
                <w:b/>
                <w:bCs/>
                <w:color w:val="000000"/>
                <w:sz w:val="22"/>
                <w:szCs w:val="22"/>
              </w:rPr>
            </w:pPr>
          </w:p>
        </w:tc>
        <w:tc>
          <w:tcPr>
            <w:tcW w:w="3623" w:type="dxa"/>
            <w:tcBorders>
              <w:top w:val="nil"/>
              <w:left w:val="nil"/>
              <w:bottom w:val="nil"/>
              <w:right w:val="nil"/>
            </w:tcBorders>
            <w:shd w:val="clear" w:color="auto" w:fill="auto"/>
            <w:noWrap/>
            <w:vAlign w:val="center"/>
            <w:hideMark/>
          </w:tcPr>
          <w:p w14:paraId="4835F946" w14:textId="77777777" w:rsidR="00C57D01" w:rsidRPr="00833637" w:rsidRDefault="00C57D01" w:rsidP="00945402">
            <w:pPr>
              <w:jc w:val="center"/>
              <w:rPr>
                <w:rFonts w:eastAsia="Times New Roman"/>
                <w:b/>
                <w:bCs/>
                <w:color w:val="000000"/>
                <w:sz w:val="22"/>
                <w:szCs w:val="22"/>
              </w:rPr>
            </w:pPr>
            <w:r>
              <w:rPr>
                <w:rFonts w:eastAsia="Times New Roman"/>
                <w:b/>
                <w:bCs/>
                <w:color w:val="000000"/>
                <w:sz w:val="22"/>
                <w:szCs w:val="22"/>
              </w:rPr>
              <w:t>F</w:t>
            </w:r>
            <w:r w:rsidRPr="00833637">
              <w:rPr>
                <w:rFonts w:eastAsia="Times New Roman"/>
                <w:b/>
                <w:bCs/>
                <w:color w:val="000000"/>
                <w:sz w:val="22"/>
                <w:szCs w:val="22"/>
              </w:rPr>
              <w:t>or a 25-year</w:t>
            </w:r>
            <w:r>
              <w:rPr>
                <w:rFonts w:eastAsia="Times New Roman"/>
                <w:b/>
                <w:bCs/>
                <w:color w:val="000000"/>
                <w:sz w:val="22"/>
                <w:szCs w:val="22"/>
              </w:rPr>
              <w:t>-</w:t>
            </w:r>
            <w:r w:rsidRPr="00833637">
              <w:rPr>
                <w:rFonts w:eastAsia="Times New Roman"/>
                <w:b/>
                <w:bCs/>
                <w:color w:val="000000"/>
                <w:sz w:val="22"/>
                <w:szCs w:val="22"/>
              </w:rPr>
              <w:t>old</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8CAC5" w14:textId="77777777" w:rsidR="00C57D01" w:rsidRDefault="00C57D01" w:rsidP="00945402">
            <w:pPr>
              <w:jc w:val="center"/>
              <w:rPr>
                <w:rFonts w:eastAsia="Times New Roman"/>
                <w:color w:val="000000"/>
                <w:sz w:val="22"/>
                <w:szCs w:val="22"/>
              </w:rPr>
            </w:pPr>
            <w:r>
              <w:rPr>
                <w:color w:val="000000"/>
                <w:sz w:val="22"/>
                <w:szCs w:val="22"/>
              </w:rPr>
              <w:t>0.0002%</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14:paraId="3B77C753" w14:textId="25CD124D" w:rsidR="00C57D01" w:rsidRDefault="00C57D01" w:rsidP="00945402">
            <w:pPr>
              <w:jc w:val="center"/>
              <w:rPr>
                <w:color w:val="000000"/>
                <w:sz w:val="22"/>
                <w:szCs w:val="22"/>
              </w:rPr>
            </w:pPr>
            <w:r>
              <w:rPr>
                <w:color w:val="000000"/>
                <w:sz w:val="22"/>
                <w:szCs w:val="22"/>
              </w:rPr>
              <w:t xml:space="preserve">868 </w:t>
            </w:r>
            <w:r>
              <w:rPr>
                <w:color w:val="000000"/>
                <w:sz w:val="22"/>
                <w:szCs w:val="22"/>
              </w:rPr>
              <w:fldChar w:fldCharType="begin"/>
            </w:r>
            <w:r w:rsidR="000C1E68">
              <w:rPr>
                <w:color w:val="000000"/>
                <w:sz w:val="22"/>
                <w:szCs w:val="22"/>
              </w:rPr>
              <w:instrText xml:space="preserve"> ADDIN ZOTERO_ITEM CSL_CITATION {"citationID":"0s0NByVY","properties":{"formattedCitation":"[6]","plainCitation":"[6]","noteIndex":0},"citationItems":[{"id":5865,"uris":["http://zotero.org/users/3776105/items/7S46CWWD"],"uri":["http://zotero.org/users/3776105/items/7S46CWWD"],"itemData":{"id":5865,"type":"article","publisher":"Department of Transportation","title":"2018 Data: Alcohol-Impaired Driving. NHTSA's Center for Statistics and Analysis.","URL":"https://crashstats.nhtsa.dot.gov/Api/Public/ViewPublication/812864","accessed":{"date-parts":[["2020",12,22]]}}}],"schema":"https://github.com/citation-style-language/schema/raw/master/csl-citation.json"} </w:instrText>
            </w:r>
            <w:r>
              <w:rPr>
                <w:color w:val="000000"/>
                <w:sz w:val="22"/>
                <w:szCs w:val="22"/>
              </w:rPr>
              <w:fldChar w:fldCharType="separate"/>
            </w:r>
            <w:r w:rsidR="000C1E68">
              <w:rPr>
                <w:color w:val="000000"/>
                <w:sz w:val="22"/>
              </w:rPr>
              <w:t>[6]</w:t>
            </w:r>
            <w:r>
              <w:rPr>
                <w:color w:val="000000"/>
                <w:sz w:val="22"/>
                <w:szCs w:val="22"/>
              </w:rPr>
              <w:fldChar w:fldCharType="end"/>
            </w:r>
          </w:p>
        </w:tc>
      </w:tr>
      <w:tr w:rsidR="00C57D01" w:rsidRPr="00833637" w14:paraId="1E18B79B" w14:textId="77777777" w:rsidTr="00945402">
        <w:trPr>
          <w:trHeight w:val="69"/>
        </w:trPr>
        <w:tc>
          <w:tcPr>
            <w:tcW w:w="445" w:type="dxa"/>
            <w:tcBorders>
              <w:top w:val="nil"/>
              <w:left w:val="nil"/>
              <w:bottom w:val="nil"/>
              <w:right w:val="nil"/>
            </w:tcBorders>
            <w:shd w:val="clear" w:color="auto" w:fill="auto"/>
            <w:noWrap/>
            <w:vAlign w:val="bottom"/>
            <w:hideMark/>
          </w:tcPr>
          <w:p w14:paraId="4CF7DCE4" w14:textId="77777777" w:rsidR="00C57D01" w:rsidRPr="00833637" w:rsidRDefault="00C57D01" w:rsidP="00945402">
            <w:pPr>
              <w:rPr>
                <w:rFonts w:eastAsia="Times New Roman"/>
                <w:color w:val="000000"/>
                <w:sz w:val="22"/>
                <w:szCs w:val="22"/>
              </w:rPr>
            </w:pPr>
          </w:p>
        </w:tc>
        <w:tc>
          <w:tcPr>
            <w:tcW w:w="3623" w:type="dxa"/>
            <w:tcBorders>
              <w:top w:val="nil"/>
              <w:left w:val="nil"/>
              <w:bottom w:val="nil"/>
              <w:right w:val="nil"/>
            </w:tcBorders>
            <w:shd w:val="clear" w:color="auto" w:fill="auto"/>
            <w:noWrap/>
            <w:vAlign w:val="center"/>
            <w:hideMark/>
          </w:tcPr>
          <w:p w14:paraId="5BE202A6" w14:textId="77777777" w:rsidR="00C57D01" w:rsidRPr="00833637" w:rsidRDefault="00C57D01" w:rsidP="00945402">
            <w:pPr>
              <w:jc w:val="center"/>
              <w:rPr>
                <w:rFonts w:eastAsia="Times New Roman"/>
                <w:b/>
                <w:bCs/>
                <w:color w:val="000000"/>
                <w:sz w:val="22"/>
                <w:szCs w:val="22"/>
              </w:rPr>
            </w:pPr>
            <w:r>
              <w:rPr>
                <w:rFonts w:eastAsia="Times New Roman"/>
                <w:b/>
                <w:bCs/>
                <w:color w:val="000000"/>
                <w:sz w:val="22"/>
                <w:szCs w:val="22"/>
              </w:rPr>
              <w:t>For a 75-year-old</w:t>
            </w:r>
          </w:p>
        </w:tc>
        <w:tc>
          <w:tcPr>
            <w:tcW w:w="1867" w:type="dxa"/>
            <w:tcBorders>
              <w:top w:val="nil"/>
              <w:left w:val="single" w:sz="4" w:space="0" w:color="auto"/>
              <w:bottom w:val="single" w:sz="4" w:space="0" w:color="auto"/>
              <w:right w:val="single" w:sz="4" w:space="0" w:color="auto"/>
            </w:tcBorders>
            <w:shd w:val="clear" w:color="auto" w:fill="auto"/>
            <w:noWrap/>
            <w:vAlign w:val="bottom"/>
            <w:hideMark/>
          </w:tcPr>
          <w:p w14:paraId="088C82C2" w14:textId="77777777" w:rsidR="00C57D01" w:rsidRDefault="00C57D01" w:rsidP="00945402">
            <w:pPr>
              <w:jc w:val="center"/>
              <w:rPr>
                <w:color w:val="000000"/>
                <w:sz w:val="22"/>
                <w:szCs w:val="22"/>
              </w:rPr>
            </w:pPr>
            <w:r>
              <w:rPr>
                <w:color w:val="000000"/>
                <w:sz w:val="22"/>
                <w:szCs w:val="22"/>
              </w:rPr>
              <w:t>0.37%</w:t>
            </w:r>
          </w:p>
        </w:tc>
        <w:tc>
          <w:tcPr>
            <w:tcW w:w="2970" w:type="dxa"/>
            <w:tcBorders>
              <w:top w:val="nil"/>
              <w:left w:val="nil"/>
              <w:bottom w:val="single" w:sz="4" w:space="0" w:color="auto"/>
              <w:right w:val="single" w:sz="4" w:space="0" w:color="auto"/>
            </w:tcBorders>
            <w:shd w:val="clear" w:color="auto" w:fill="auto"/>
            <w:noWrap/>
            <w:vAlign w:val="bottom"/>
            <w:hideMark/>
          </w:tcPr>
          <w:p w14:paraId="118107E6" w14:textId="22AAB30F" w:rsidR="00C57D01" w:rsidRDefault="00C57D01" w:rsidP="00945402">
            <w:pPr>
              <w:jc w:val="center"/>
              <w:rPr>
                <w:color w:val="000000"/>
                <w:sz w:val="22"/>
                <w:szCs w:val="22"/>
              </w:rPr>
            </w:pPr>
            <w:r>
              <w:rPr>
                <w:color w:val="000000"/>
                <w:sz w:val="22"/>
                <w:szCs w:val="22"/>
              </w:rPr>
              <w:t xml:space="preserve">1,844,966 </w:t>
            </w:r>
            <w:r>
              <w:rPr>
                <w:color w:val="000000"/>
                <w:sz w:val="22"/>
                <w:szCs w:val="22"/>
              </w:rPr>
              <w:fldChar w:fldCharType="begin"/>
            </w:r>
            <w:r w:rsidR="000C1E68">
              <w:rPr>
                <w:color w:val="000000"/>
                <w:sz w:val="22"/>
                <w:szCs w:val="22"/>
              </w:rPr>
              <w:instrText xml:space="preserve"> ADDIN ZOTERO_ITEM CSL_CITATION {"citationID":"d7Rl1Ay8","properties":{"formattedCitation":"[6]","plainCitation":"[6]","noteIndex":0},"citationItems":[{"id":5865,"uris":["http://zotero.org/users/3776105/items/7S46CWWD"],"uri":["http://zotero.org/users/3776105/items/7S46CWWD"],"itemData":{"id":5865,"type":"article","publisher":"Department of Transportation","title":"2018 Data: Alcohol-Impaired Driving. NHTSA's Center for Statistics and Analysis.","URL":"https://crashstats.nhtsa.dot.gov/Api/Public/ViewPublication/812864","accessed":{"date-parts":[["2020",12,22]]}}}],"schema":"https://github.com/citation-style-language/schema/raw/master/csl-citation.json"} </w:instrText>
            </w:r>
            <w:r>
              <w:rPr>
                <w:color w:val="000000"/>
                <w:sz w:val="22"/>
                <w:szCs w:val="22"/>
              </w:rPr>
              <w:fldChar w:fldCharType="separate"/>
            </w:r>
            <w:r w:rsidR="000C1E68">
              <w:rPr>
                <w:color w:val="000000"/>
                <w:sz w:val="22"/>
              </w:rPr>
              <w:t>[6]</w:t>
            </w:r>
            <w:r>
              <w:rPr>
                <w:color w:val="000000"/>
                <w:sz w:val="22"/>
                <w:szCs w:val="22"/>
              </w:rPr>
              <w:fldChar w:fldCharType="end"/>
            </w:r>
          </w:p>
        </w:tc>
      </w:tr>
    </w:tbl>
    <w:p w14:paraId="35487FDD" w14:textId="69B1FE04" w:rsidR="00C57D01" w:rsidRDefault="00B25CE3" w:rsidP="00C57D01">
      <w:r>
        <w:t>The risk of infection for a 25-year-old resulting from a decision to not wear a mask during interactions with 100 people is equivalent to driving for about one month (868 miles) while intoxicated.</w:t>
      </w:r>
    </w:p>
    <w:p w14:paraId="395E10DC" w14:textId="46EABE99" w:rsidR="00C57D01" w:rsidRDefault="00C57D01" w:rsidP="00C57D01"/>
    <w:p w14:paraId="369ED0A5" w14:textId="05B71459" w:rsidR="00B25CE3" w:rsidRDefault="00B25CE3" w:rsidP="00C57D01"/>
    <w:p w14:paraId="5B945BF8" w14:textId="6599176D" w:rsidR="00B25CE3" w:rsidRDefault="00B25CE3" w:rsidP="00C57D01"/>
    <w:p w14:paraId="3D24A4BD" w14:textId="41D0AEF7" w:rsidR="00B25CE3" w:rsidRDefault="00B25CE3" w:rsidP="00C57D01"/>
    <w:p w14:paraId="7DD51E6E" w14:textId="73FD66F5" w:rsidR="00B25CE3" w:rsidRDefault="00B25CE3" w:rsidP="00C57D01"/>
    <w:p w14:paraId="5B63AEBA" w14:textId="1A32FACD" w:rsidR="00B25CE3" w:rsidRDefault="00B25CE3" w:rsidP="00C57D01"/>
    <w:p w14:paraId="30CC4D29" w14:textId="28B8EAB3" w:rsidR="00B25CE3" w:rsidRDefault="00B25CE3" w:rsidP="00C57D01"/>
    <w:p w14:paraId="59108F78" w14:textId="6B5CE281" w:rsidR="00B25CE3" w:rsidRDefault="00B25CE3" w:rsidP="00C57D01"/>
    <w:p w14:paraId="656A6EFD" w14:textId="3F30D121" w:rsidR="00B25CE3" w:rsidRDefault="00B25CE3" w:rsidP="00C57D01"/>
    <w:p w14:paraId="4ED3A412" w14:textId="284A3283" w:rsidR="00B25CE3" w:rsidRDefault="00B25CE3" w:rsidP="00C57D01"/>
    <w:p w14:paraId="41809B9D" w14:textId="7DDEAF92" w:rsidR="00B25CE3" w:rsidRDefault="00B25CE3" w:rsidP="00C57D01"/>
    <w:p w14:paraId="63027690" w14:textId="708B5C55" w:rsidR="00B25CE3" w:rsidRDefault="00B25CE3" w:rsidP="00C57D01"/>
    <w:p w14:paraId="2D6229E8" w14:textId="29EE7B08" w:rsidR="00B25CE3" w:rsidRDefault="00B25CE3" w:rsidP="00C57D01"/>
    <w:p w14:paraId="3CF29BE7" w14:textId="4253B706" w:rsidR="00B25CE3" w:rsidRDefault="00B25CE3" w:rsidP="00C57D01"/>
    <w:p w14:paraId="20A12D4F" w14:textId="6253F827" w:rsidR="00B25CE3" w:rsidRDefault="00B25CE3" w:rsidP="00C57D01"/>
    <w:p w14:paraId="4A63E2CF" w14:textId="7500F597" w:rsidR="00B25CE3" w:rsidRDefault="00B25CE3" w:rsidP="00C57D01"/>
    <w:p w14:paraId="40DA8C41" w14:textId="1B4370C2" w:rsidR="00B25CE3" w:rsidRDefault="00B25CE3" w:rsidP="00C57D01"/>
    <w:p w14:paraId="05497F79" w14:textId="6FABF2E3" w:rsidR="00B25CE3" w:rsidRDefault="00B25CE3" w:rsidP="00C57D01"/>
    <w:p w14:paraId="3291D591" w14:textId="1FBAF31F" w:rsidR="00B25CE3" w:rsidRDefault="00B25CE3" w:rsidP="00C57D01"/>
    <w:p w14:paraId="620D9EC3" w14:textId="3F908903" w:rsidR="00B25CE3" w:rsidRDefault="00B25CE3" w:rsidP="00C57D01"/>
    <w:p w14:paraId="26E520B1" w14:textId="3F23EFA8" w:rsidR="00B25CE3" w:rsidRDefault="00B25CE3" w:rsidP="00C57D01"/>
    <w:p w14:paraId="60ADD333" w14:textId="77777777" w:rsidR="00B25CE3" w:rsidRDefault="00B25CE3" w:rsidP="00C57D01"/>
    <w:p w14:paraId="68B99E03" w14:textId="5458AB2D" w:rsidR="00C57D01" w:rsidRDefault="00C57D01" w:rsidP="00C57D01">
      <w:r w:rsidRPr="00EF7456">
        <w:rPr>
          <w:b/>
          <w:bCs/>
        </w:rPr>
        <w:lastRenderedPageBreak/>
        <w:t>Table S</w:t>
      </w:r>
      <w:r>
        <w:rPr>
          <w:b/>
          <w:bCs/>
        </w:rPr>
        <w:t>2</w:t>
      </w:r>
      <w:r w:rsidRPr="00EF7456">
        <w:rPr>
          <w:b/>
          <w:bCs/>
        </w:rPr>
        <w:t>.</w:t>
      </w:r>
      <w:r>
        <w:t xml:space="preserve"> COVID-19 Death Risk Assessment for </w:t>
      </w:r>
      <w:r w:rsidRPr="00EF7456">
        <w:t>South Dakota</w:t>
      </w:r>
      <w:r>
        <w:t xml:space="preserve"> in</w:t>
      </w:r>
      <w:r w:rsidRPr="00EF7456">
        <w:t xml:space="preserve"> </w:t>
      </w:r>
      <w:r>
        <w:t>November</w:t>
      </w:r>
      <w:r w:rsidRPr="00EF7456">
        <w:t xml:space="preserve"> 2020</w:t>
      </w:r>
      <w:r>
        <w:t xml:space="preserve">. </w:t>
      </w:r>
    </w:p>
    <w:tbl>
      <w:tblPr>
        <w:tblW w:w="9017" w:type="dxa"/>
        <w:tblLook w:val="04A0" w:firstRow="1" w:lastRow="0" w:firstColumn="1" w:lastColumn="0" w:noHBand="0" w:noVBand="1"/>
      </w:tblPr>
      <w:tblGrid>
        <w:gridCol w:w="573"/>
        <w:gridCol w:w="3674"/>
        <w:gridCol w:w="1800"/>
        <w:gridCol w:w="2970"/>
      </w:tblGrid>
      <w:tr w:rsidR="00C57D01" w:rsidRPr="00833637" w14:paraId="7592D935" w14:textId="77777777" w:rsidTr="00945402">
        <w:trPr>
          <w:trHeight w:val="261"/>
        </w:trPr>
        <w:tc>
          <w:tcPr>
            <w:tcW w:w="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FCDFB" w14:textId="77777777" w:rsidR="00C57D01" w:rsidRPr="00833637" w:rsidRDefault="00C57D01" w:rsidP="00945402">
            <w:pPr>
              <w:jc w:val="center"/>
              <w:rPr>
                <w:rFonts w:eastAsia="Times New Roman"/>
                <w:color w:val="000000"/>
                <w:sz w:val="22"/>
                <w:szCs w:val="22"/>
              </w:rPr>
            </w:pPr>
            <w:r w:rsidRPr="00833637">
              <w:rPr>
                <w:rFonts w:eastAsia="Times New Roman"/>
                <w:color w:val="000000"/>
                <w:sz w:val="22"/>
                <w:szCs w:val="22"/>
              </w:rPr>
              <w:t>(1)</w:t>
            </w:r>
          </w:p>
        </w:tc>
        <w:tc>
          <w:tcPr>
            <w:tcW w:w="3674" w:type="dxa"/>
            <w:tcBorders>
              <w:top w:val="single" w:sz="4" w:space="0" w:color="auto"/>
              <w:left w:val="nil"/>
              <w:bottom w:val="single" w:sz="4" w:space="0" w:color="auto"/>
              <w:right w:val="single" w:sz="4" w:space="0" w:color="auto"/>
            </w:tcBorders>
            <w:shd w:val="clear" w:color="auto" w:fill="auto"/>
            <w:noWrap/>
            <w:vAlign w:val="bottom"/>
            <w:hideMark/>
          </w:tcPr>
          <w:p w14:paraId="11BDD773"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active cases</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3AFF1245" w14:textId="77777777" w:rsidR="00C57D01" w:rsidRPr="00833637" w:rsidRDefault="00C57D01" w:rsidP="00945402">
            <w:pPr>
              <w:jc w:val="right"/>
              <w:rPr>
                <w:rFonts w:eastAsia="Times New Roman"/>
                <w:color w:val="000000"/>
                <w:sz w:val="22"/>
                <w:szCs w:val="22"/>
              </w:rPr>
            </w:pPr>
            <w:r>
              <w:rPr>
                <w:color w:val="000000"/>
                <w:sz w:val="22"/>
                <w:szCs w:val="22"/>
              </w:rPr>
              <w:t xml:space="preserve">                      19,240 </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14:paraId="666CC372" w14:textId="7A7777AD" w:rsidR="00C57D01" w:rsidRPr="00833637" w:rsidRDefault="00C57D01" w:rsidP="00945402">
            <w:pPr>
              <w:rPr>
                <w:rFonts w:eastAsia="Times New Roman"/>
                <w:i/>
                <w:iCs/>
                <w:color w:val="000000"/>
                <w:sz w:val="22"/>
                <w:szCs w:val="22"/>
              </w:rPr>
            </w:pPr>
            <w:r w:rsidRPr="00C8500C">
              <w:rPr>
                <w:rFonts w:eastAsia="Times New Roman"/>
                <w:color w:val="000000"/>
                <w:sz w:val="22"/>
                <w:szCs w:val="22"/>
              </w:rPr>
              <w:t>active cases as of 8/16/2020</w:t>
            </w:r>
            <w:r>
              <w:rPr>
                <w:rFonts w:eastAsia="Times New Roman"/>
                <w:i/>
                <w:iCs/>
                <w:color w:val="000000"/>
                <w:sz w:val="22"/>
                <w:szCs w:val="22"/>
              </w:rPr>
              <w:t xml:space="preserve"> </w:t>
            </w:r>
            <w:r>
              <w:rPr>
                <w:rFonts w:eastAsia="Times New Roman"/>
                <w:i/>
                <w:iCs/>
                <w:color w:val="000000"/>
                <w:sz w:val="22"/>
                <w:szCs w:val="22"/>
              </w:rPr>
              <w:fldChar w:fldCharType="begin"/>
            </w:r>
            <w:r w:rsidR="00B25CE3">
              <w:rPr>
                <w:rFonts w:eastAsia="Times New Roman"/>
                <w:i/>
                <w:iCs/>
                <w:color w:val="000000"/>
                <w:sz w:val="22"/>
                <w:szCs w:val="22"/>
              </w:rPr>
              <w:instrText xml:space="preserve"> ADDIN ZOTERO_ITEM CSL_CITATION {"citationID":"PjsTZkzF","properties":{"formattedCitation":"[1]","plainCitation":"[1]","noteIndex":0},"citationItems":[{"id":5856,"uris":["http://zotero.org/users/3776105/items/VPU9GYRA"],"uri":["http://zotero.org/users/3776105/items/VPU9GYRA"],"itemData":{"id":5856,"type":"webpage","abstract":"South Dakota COVID-19 Coronavirus update by county with statistics and graphs: total and new cases, deaths per day, current active cases, recoveries, historical data, trends, projections, and timeline.","language":"en","title":"South Dakota Coronavirus: 76,142 Cases and 849 Deaths (COVID-19 ) - Worldometer","title-short":"South Dakota Coronavirus","URL":"https://www.worldometers.info/coronavirus/usa/south-dakota/","accessed":{"date-parts":[["2020",11,26]]}}}],"schema":"https://github.com/citation-style-language/schema/raw/master/csl-citation.json"} </w:instrText>
            </w:r>
            <w:r>
              <w:rPr>
                <w:rFonts w:eastAsia="Times New Roman"/>
                <w:i/>
                <w:iCs/>
                <w:color w:val="000000"/>
                <w:sz w:val="22"/>
                <w:szCs w:val="22"/>
              </w:rPr>
              <w:fldChar w:fldCharType="separate"/>
            </w:r>
            <w:r w:rsidR="00B25CE3">
              <w:rPr>
                <w:color w:val="000000"/>
                <w:sz w:val="22"/>
              </w:rPr>
              <w:t>[1]</w:t>
            </w:r>
            <w:r>
              <w:rPr>
                <w:rFonts w:eastAsia="Times New Roman"/>
                <w:i/>
                <w:iCs/>
                <w:color w:val="000000"/>
                <w:sz w:val="22"/>
                <w:szCs w:val="22"/>
              </w:rPr>
              <w:fldChar w:fldCharType="end"/>
            </w:r>
          </w:p>
        </w:tc>
      </w:tr>
      <w:tr w:rsidR="00C57D01" w:rsidRPr="00833637" w14:paraId="515FAAB7" w14:textId="77777777" w:rsidTr="00945402">
        <w:trPr>
          <w:trHeight w:val="261"/>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14:paraId="1DA3BC91" w14:textId="77777777" w:rsidR="00C57D01" w:rsidRPr="00833637" w:rsidRDefault="00C57D01" w:rsidP="00945402">
            <w:pPr>
              <w:jc w:val="center"/>
              <w:rPr>
                <w:rFonts w:eastAsia="Times New Roman"/>
                <w:color w:val="000000"/>
                <w:sz w:val="22"/>
                <w:szCs w:val="22"/>
              </w:rPr>
            </w:pPr>
            <w:r w:rsidRPr="00833637">
              <w:rPr>
                <w:rFonts w:eastAsia="Times New Roman"/>
                <w:color w:val="000000"/>
                <w:sz w:val="22"/>
                <w:szCs w:val="22"/>
              </w:rPr>
              <w:t>(2)</w:t>
            </w:r>
          </w:p>
        </w:tc>
        <w:tc>
          <w:tcPr>
            <w:tcW w:w="3674" w:type="dxa"/>
            <w:tcBorders>
              <w:top w:val="nil"/>
              <w:left w:val="nil"/>
              <w:bottom w:val="single" w:sz="4" w:space="0" w:color="auto"/>
              <w:right w:val="single" w:sz="4" w:space="0" w:color="auto"/>
            </w:tcBorders>
            <w:shd w:val="clear" w:color="auto" w:fill="auto"/>
            <w:noWrap/>
            <w:vAlign w:val="bottom"/>
            <w:hideMark/>
          </w:tcPr>
          <w:p w14:paraId="2D85D953"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population</w:t>
            </w:r>
          </w:p>
        </w:tc>
        <w:tc>
          <w:tcPr>
            <w:tcW w:w="1800" w:type="dxa"/>
            <w:tcBorders>
              <w:top w:val="nil"/>
              <w:left w:val="nil"/>
              <w:bottom w:val="single" w:sz="4" w:space="0" w:color="auto"/>
              <w:right w:val="single" w:sz="4" w:space="0" w:color="auto"/>
            </w:tcBorders>
            <w:shd w:val="clear" w:color="auto" w:fill="auto"/>
            <w:noWrap/>
            <w:vAlign w:val="bottom"/>
            <w:hideMark/>
          </w:tcPr>
          <w:p w14:paraId="02EF060B" w14:textId="77777777" w:rsidR="00C57D01" w:rsidRPr="00833637" w:rsidRDefault="00C57D01" w:rsidP="00945402">
            <w:pPr>
              <w:jc w:val="right"/>
              <w:rPr>
                <w:rFonts w:eastAsia="Times New Roman"/>
                <w:color w:val="000000"/>
                <w:sz w:val="22"/>
                <w:szCs w:val="22"/>
              </w:rPr>
            </w:pPr>
            <w:r>
              <w:rPr>
                <w:color w:val="000000"/>
                <w:sz w:val="22"/>
                <w:szCs w:val="22"/>
              </w:rPr>
              <w:t xml:space="preserve">                   903,027 </w:t>
            </w:r>
          </w:p>
        </w:tc>
        <w:tc>
          <w:tcPr>
            <w:tcW w:w="2970" w:type="dxa"/>
            <w:tcBorders>
              <w:top w:val="nil"/>
              <w:left w:val="nil"/>
              <w:bottom w:val="single" w:sz="4" w:space="0" w:color="auto"/>
              <w:right w:val="single" w:sz="4" w:space="0" w:color="auto"/>
            </w:tcBorders>
            <w:shd w:val="clear" w:color="auto" w:fill="auto"/>
            <w:noWrap/>
            <w:vAlign w:val="bottom"/>
            <w:hideMark/>
          </w:tcPr>
          <w:p w14:paraId="26C79303" w14:textId="77777777" w:rsidR="00C57D01" w:rsidRPr="00833637" w:rsidRDefault="00C57D01" w:rsidP="00945402">
            <w:pPr>
              <w:ind w:firstLineChars="200" w:firstLine="440"/>
              <w:rPr>
                <w:rFonts w:eastAsia="Times New Roman"/>
                <w:i/>
                <w:iCs/>
                <w:color w:val="0563C1"/>
                <w:sz w:val="22"/>
                <w:szCs w:val="22"/>
                <w:u w:val="single"/>
              </w:rPr>
            </w:pPr>
            <w:r w:rsidRPr="00833637">
              <w:rPr>
                <w:rFonts w:eastAsia="Times New Roman"/>
                <w:i/>
                <w:iCs/>
                <w:color w:val="0563C1"/>
                <w:sz w:val="22"/>
                <w:szCs w:val="22"/>
                <w:u w:val="single"/>
              </w:rPr>
              <w:t> </w:t>
            </w:r>
          </w:p>
        </w:tc>
      </w:tr>
      <w:tr w:rsidR="00C57D01" w:rsidRPr="00833637" w14:paraId="5E9C7121" w14:textId="77777777" w:rsidTr="00945402">
        <w:trPr>
          <w:trHeight w:val="261"/>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14:paraId="5E250A0B" w14:textId="77777777" w:rsidR="00C57D01" w:rsidRPr="00833637" w:rsidRDefault="00C57D01" w:rsidP="00945402">
            <w:pPr>
              <w:jc w:val="center"/>
              <w:rPr>
                <w:rFonts w:eastAsia="Times New Roman"/>
                <w:color w:val="000000"/>
                <w:sz w:val="22"/>
                <w:szCs w:val="22"/>
              </w:rPr>
            </w:pPr>
            <w:r w:rsidRPr="00833637">
              <w:rPr>
                <w:rFonts w:eastAsia="Times New Roman"/>
                <w:color w:val="000000"/>
                <w:sz w:val="22"/>
                <w:szCs w:val="22"/>
              </w:rPr>
              <w:t>(3)</w:t>
            </w:r>
          </w:p>
        </w:tc>
        <w:tc>
          <w:tcPr>
            <w:tcW w:w="3674" w:type="dxa"/>
            <w:tcBorders>
              <w:top w:val="nil"/>
              <w:left w:val="nil"/>
              <w:bottom w:val="single" w:sz="4" w:space="0" w:color="auto"/>
              <w:right w:val="single" w:sz="4" w:space="0" w:color="auto"/>
            </w:tcBorders>
            <w:shd w:val="clear" w:color="auto" w:fill="auto"/>
            <w:noWrap/>
            <w:vAlign w:val="bottom"/>
            <w:hideMark/>
          </w:tcPr>
          <w:p w14:paraId="4DFF207C"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 population confirmed cases</w:t>
            </w:r>
          </w:p>
        </w:tc>
        <w:tc>
          <w:tcPr>
            <w:tcW w:w="1800" w:type="dxa"/>
            <w:tcBorders>
              <w:top w:val="nil"/>
              <w:left w:val="nil"/>
              <w:bottom w:val="single" w:sz="4" w:space="0" w:color="auto"/>
              <w:right w:val="single" w:sz="4" w:space="0" w:color="auto"/>
            </w:tcBorders>
            <w:shd w:val="clear" w:color="auto" w:fill="auto"/>
            <w:noWrap/>
            <w:vAlign w:val="bottom"/>
            <w:hideMark/>
          </w:tcPr>
          <w:p w14:paraId="4F8E22BE" w14:textId="77777777" w:rsidR="00C57D01" w:rsidRPr="00C8500C" w:rsidRDefault="00C57D01" w:rsidP="00945402">
            <w:pPr>
              <w:jc w:val="right"/>
              <w:rPr>
                <w:rFonts w:eastAsia="Times New Roman"/>
                <w:color w:val="000000"/>
                <w:sz w:val="22"/>
                <w:szCs w:val="22"/>
              </w:rPr>
            </w:pPr>
            <w:r w:rsidRPr="00C8500C">
              <w:rPr>
                <w:color w:val="000000"/>
                <w:sz w:val="22"/>
                <w:szCs w:val="22"/>
              </w:rPr>
              <w:t>2.13%</w:t>
            </w:r>
          </w:p>
        </w:tc>
        <w:tc>
          <w:tcPr>
            <w:tcW w:w="2970" w:type="dxa"/>
            <w:tcBorders>
              <w:top w:val="nil"/>
              <w:left w:val="nil"/>
              <w:bottom w:val="single" w:sz="4" w:space="0" w:color="auto"/>
              <w:right w:val="single" w:sz="4" w:space="0" w:color="auto"/>
            </w:tcBorders>
            <w:shd w:val="clear" w:color="auto" w:fill="auto"/>
            <w:noWrap/>
            <w:vAlign w:val="bottom"/>
            <w:hideMark/>
          </w:tcPr>
          <w:p w14:paraId="1AD7A9DE" w14:textId="77777777" w:rsidR="00C57D01" w:rsidRPr="00C8500C" w:rsidRDefault="00C57D01" w:rsidP="00945402">
            <w:pPr>
              <w:rPr>
                <w:rFonts w:eastAsia="Times New Roman"/>
                <w:color w:val="000000"/>
                <w:sz w:val="22"/>
                <w:szCs w:val="22"/>
              </w:rPr>
            </w:pPr>
            <w:r w:rsidRPr="00C8500C">
              <w:rPr>
                <w:rFonts w:eastAsia="Times New Roman"/>
                <w:color w:val="000000"/>
                <w:sz w:val="22"/>
                <w:szCs w:val="22"/>
              </w:rPr>
              <w:t>(1) / (2)</w:t>
            </w:r>
          </w:p>
        </w:tc>
      </w:tr>
      <w:tr w:rsidR="00C57D01" w:rsidRPr="00833637" w14:paraId="36E973A6" w14:textId="77777777" w:rsidTr="00945402">
        <w:trPr>
          <w:trHeight w:val="261"/>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14:paraId="32ACE3C5" w14:textId="77777777" w:rsidR="00C57D01" w:rsidRPr="00833637" w:rsidRDefault="00C57D01" w:rsidP="00945402">
            <w:pPr>
              <w:jc w:val="center"/>
              <w:rPr>
                <w:rFonts w:eastAsia="Times New Roman"/>
                <w:color w:val="000000"/>
                <w:sz w:val="22"/>
                <w:szCs w:val="22"/>
              </w:rPr>
            </w:pPr>
            <w:r w:rsidRPr="00833637">
              <w:rPr>
                <w:rFonts w:eastAsia="Times New Roman"/>
                <w:color w:val="000000"/>
                <w:sz w:val="22"/>
                <w:szCs w:val="22"/>
              </w:rPr>
              <w:t>(4)</w:t>
            </w:r>
          </w:p>
        </w:tc>
        <w:tc>
          <w:tcPr>
            <w:tcW w:w="3674" w:type="dxa"/>
            <w:tcBorders>
              <w:top w:val="nil"/>
              <w:left w:val="nil"/>
              <w:bottom w:val="single" w:sz="4" w:space="0" w:color="auto"/>
              <w:right w:val="single" w:sz="4" w:space="0" w:color="auto"/>
            </w:tcBorders>
            <w:shd w:val="clear" w:color="auto" w:fill="auto"/>
            <w:noWrap/>
            <w:vAlign w:val="bottom"/>
            <w:hideMark/>
          </w:tcPr>
          <w:p w14:paraId="2DAABBCF"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 population infected</w:t>
            </w:r>
          </w:p>
        </w:tc>
        <w:tc>
          <w:tcPr>
            <w:tcW w:w="1800" w:type="dxa"/>
            <w:tcBorders>
              <w:top w:val="nil"/>
              <w:left w:val="nil"/>
              <w:bottom w:val="single" w:sz="4" w:space="0" w:color="auto"/>
              <w:right w:val="single" w:sz="4" w:space="0" w:color="auto"/>
            </w:tcBorders>
            <w:shd w:val="clear" w:color="auto" w:fill="auto"/>
            <w:noWrap/>
            <w:vAlign w:val="bottom"/>
            <w:hideMark/>
          </w:tcPr>
          <w:p w14:paraId="09F3B35E" w14:textId="77777777" w:rsidR="00C57D01" w:rsidRPr="00833637" w:rsidRDefault="00C57D01" w:rsidP="00945402">
            <w:pPr>
              <w:jc w:val="right"/>
              <w:rPr>
                <w:rFonts w:eastAsia="Times New Roman"/>
                <w:color w:val="000000"/>
                <w:sz w:val="22"/>
                <w:szCs w:val="22"/>
              </w:rPr>
            </w:pPr>
            <w:r>
              <w:rPr>
                <w:color w:val="000000"/>
                <w:sz w:val="22"/>
                <w:szCs w:val="22"/>
              </w:rPr>
              <w:t>15.50%</w:t>
            </w:r>
          </w:p>
        </w:tc>
        <w:tc>
          <w:tcPr>
            <w:tcW w:w="2970" w:type="dxa"/>
            <w:tcBorders>
              <w:top w:val="nil"/>
              <w:left w:val="nil"/>
              <w:bottom w:val="single" w:sz="4" w:space="0" w:color="auto"/>
              <w:right w:val="single" w:sz="4" w:space="0" w:color="auto"/>
            </w:tcBorders>
            <w:shd w:val="clear" w:color="auto" w:fill="auto"/>
            <w:noWrap/>
            <w:vAlign w:val="bottom"/>
            <w:hideMark/>
          </w:tcPr>
          <w:p w14:paraId="6534D558" w14:textId="0F18FA84" w:rsidR="00C57D01" w:rsidRPr="00833637" w:rsidRDefault="00C57D01" w:rsidP="00945402">
            <w:pPr>
              <w:rPr>
                <w:rFonts w:eastAsia="Times New Roman"/>
                <w:i/>
                <w:iCs/>
                <w:color w:val="000000"/>
                <w:sz w:val="22"/>
                <w:szCs w:val="22"/>
              </w:rPr>
            </w:pPr>
            <w:r w:rsidRPr="00C8500C">
              <w:rPr>
                <w:rFonts w:eastAsia="Times New Roman"/>
                <w:color w:val="000000"/>
                <w:sz w:val="22"/>
                <w:szCs w:val="22"/>
              </w:rPr>
              <w:t>(3) x 7.22 (ratio of infections to cases) (</w:t>
            </w:r>
            <w:r>
              <w:rPr>
                <w:rFonts w:eastAsia="Times New Roman"/>
                <w:color w:val="000000"/>
                <w:sz w:val="22"/>
                <w:szCs w:val="22"/>
              </w:rPr>
              <w:t>p)</w:t>
            </w:r>
            <w:r>
              <w:rPr>
                <w:rFonts w:eastAsia="Times New Roman"/>
                <w:i/>
                <w:iCs/>
                <w:color w:val="000000"/>
                <w:sz w:val="22"/>
                <w:szCs w:val="22"/>
              </w:rPr>
              <w:t xml:space="preserve"> </w:t>
            </w:r>
            <w:r>
              <w:rPr>
                <w:rFonts w:eastAsia="Times New Roman"/>
                <w:i/>
                <w:iCs/>
                <w:color w:val="000000"/>
                <w:sz w:val="22"/>
                <w:szCs w:val="22"/>
              </w:rPr>
              <w:fldChar w:fldCharType="begin"/>
            </w:r>
            <w:r w:rsidR="00B25CE3">
              <w:rPr>
                <w:rFonts w:eastAsia="Times New Roman"/>
                <w:i/>
                <w:iCs/>
                <w:color w:val="000000"/>
                <w:sz w:val="22"/>
                <w:szCs w:val="22"/>
              </w:rPr>
              <w:instrText xml:space="preserve"> ADDIN ZOTERO_ITEM CSL_CITATION {"citationID":"zcQfiogt","properties":{"formattedCitation":"[2]","plainCitation":"[2]","noteIndex":0},"citationItems":[{"id":5858,"uris":["http://zotero.org/users/3776105/items/Z7W8TPWZ"],"uri":["http://zotero.org/users/3776105/items/Z7W8TPWZ"],"itemData":{"id":5858,"type":"webpage","title":"South Dakota Population 2020 (Demographics, Maps, Graphs)","URL":"https://worldpopulationreview.com/states/south-dakota-population","accessed":{"date-parts":[["2020",11,26]]}}}],"schema":"https://github.com/citation-style-language/schema/raw/master/csl-citation.json"} </w:instrText>
            </w:r>
            <w:r>
              <w:rPr>
                <w:rFonts w:eastAsia="Times New Roman"/>
                <w:i/>
                <w:iCs/>
                <w:color w:val="000000"/>
                <w:sz w:val="22"/>
                <w:szCs w:val="22"/>
              </w:rPr>
              <w:fldChar w:fldCharType="separate"/>
            </w:r>
            <w:r w:rsidR="00B25CE3">
              <w:rPr>
                <w:color w:val="000000"/>
                <w:sz w:val="22"/>
              </w:rPr>
              <w:t>[2]</w:t>
            </w:r>
            <w:r>
              <w:rPr>
                <w:rFonts w:eastAsia="Times New Roman"/>
                <w:i/>
                <w:iCs/>
                <w:color w:val="000000"/>
                <w:sz w:val="22"/>
                <w:szCs w:val="22"/>
              </w:rPr>
              <w:fldChar w:fldCharType="end"/>
            </w:r>
          </w:p>
        </w:tc>
      </w:tr>
      <w:tr w:rsidR="00C57D01" w:rsidRPr="00833637" w14:paraId="24B8B19A" w14:textId="77777777" w:rsidTr="00945402">
        <w:trPr>
          <w:trHeight w:val="261"/>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14:paraId="3506899D" w14:textId="77777777" w:rsidR="00C57D01" w:rsidRPr="00833637" w:rsidRDefault="00C57D01" w:rsidP="00945402">
            <w:pPr>
              <w:jc w:val="center"/>
              <w:rPr>
                <w:rFonts w:eastAsia="Times New Roman"/>
                <w:color w:val="000000"/>
                <w:sz w:val="22"/>
                <w:szCs w:val="22"/>
              </w:rPr>
            </w:pPr>
            <w:r w:rsidRPr="00833637">
              <w:rPr>
                <w:rFonts w:eastAsia="Times New Roman"/>
                <w:color w:val="000000"/>
                <w:sz w:val="22"/>
                <w:szCs w:val="22"/>
              </w:rPr>
              <w:t>(5)</w:t>
            </w:r>
          </w:p>
        </w:tc>
        <w:tc>
          <w:tcPr>
            <w:tcW w:w="3674" w:type="dxa"/>
            <w:tcBorders>
              <w:top w:val="nil"/>
              <w:left w:val="nil"/>
              <w:bottom w:val="single" w:sz="4" w:space="0" w:color="auto"/>
              <w:right w:val="single" w:sz="4" w:space="0" w:color="auto"/>
            </w:tcBorders>
            <w:shd w:val="clear" w:color="auto" w:fill="auto"/>
            <w:noWrap/>
            <w:vAlign w:val="bottom"/>
            <w:hideMark/>
          </w:tcPr>
          <w:p w14:paraId="56DA0B80"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 interactions</w:t>
            </w:r>
          </w:p>
        </w:tc>
        <w:tc>
          <w:tcPr>
            <w:tcW w:w="1800" w:type="dxa"/>
            <w:tcBorders>
              <w:top w:val="nil"/>
              <w:left w:val="nil"/>
              <w:bottom w:val="single" w:sz="4" w:space="0" w:color="auto"/>
              <w:right w:val="single" w:sz="4" w:space="0" w:color="auto"/>
            </w:tcBorders>
            <w:shd w:val="clear" w:color="000000" w:fill="B4C6E7"/>
            <w:noWrap/>
            <w:vAlign w:val="bottom"/>
            <w:hideMark/>
          </w:tcPr>
          <w:p w14:paraId="05F80193" w14:textId="77777777" w:rsidR="00C57D01" w:rsidRPr="00833637" w:rsidRDefault="00C57D01" w:rsidP="00945402">
            <w:pPr>
              <w:jc w:val="right"/>
              <w:rPr>
                <w:rFonts w:eastAsia="Times New Roman"/>
                <w:color w:val="000000"/>
                <w:sz w:val="22"/>
                <w:szCs w:val="22"/>
              </w:rPr>
            </w:pPr>
            <w:r>
              <w:rPr>
                <w:color w:val="000000"/>
                <w:sz w:val="22"/>
                <w:szCs w:val="22"/>
              </w:rPr>
              <w:t>100</w:t>
            </w:r>
          </w:p>
        </w:tc>
        <w:tc>
          <w:tcPr>
            <w:tcW w:w="2970" w:type="dxa"/>
            <w:tcBorders>
              <w:top w:val="nil"/>
              <w:left w:val="nil"/>
              <w:bottom w:val="single" w:sz="4" w:space="0" w:color="auto"/>
              <w:right w:val="single" w:sz="4" w:space="0" w:color="auto"/>
            </w:tcBorders>
            <w:shd w:val="clear" w:color="auto" w:fill="auto"/>
            <w:noWrap/>
            <w:vAlign w:val="bottom"/>
            <w:hideMark/>
          </w:tcPr>
          <w:p w14:paraId="1661103D" w14:textId="77777777" w:rsidR="00C57D01" w:rsidRPr="00C8500C" w:rsidRDefault="00C57D01" w:rsidP="00945402">
            <w:pPr>
              <w:rPr>
                <w:rFonts w:eastAsia="Times New Roman"/>
                <w:color w:val="000000"/>
                <w:sz w:val="22"/>
                <w:szCs w:val="22"/>
              </w:rPr>
            </w:pPr>
            <w:r w:rsidRPr="00C8500C">
              <w:rPr>
                <w:rFonts w:eastAsia="Times New Roman"/>
                <w:color w:val="000000"/>
                <w:sz w:val="22"/>
                <w:szCs w:val="22"/>
              </w:rPr>
              <w:t>user-defined parameter (n)</w:t>
            </w:r>
          </w:p>
        </w:tc>
      </w:tr>
      <w:tr w:rsidR="00C57D01" w:rsidRPr="00833637" w14:paraId="68559D76" w14:textId="77777777" w:rsidTr="00945402">
        <w:trPr>
          <w:trHeight w:val="261"/>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14:paraId="5C8238AF" w14:textId="77777777" w:rsidR="00C57D01" w:rsidRPr="00833637" w:rsidRDefault="00C57D01" w:rsidP="00945402">
            <w:pPr>
              <w:jc w:val="center"/>
              <w:rPr>
                <w:rFonts w:eastAsia="Times New Roman"/>
                <w:color w:val="000000"/>
                <w:sz w:val="22"/>
                <w:szCs w:val="22"/>
              </w:rPr>
            </w:pPr>
            <w:r w:rsidRPr="00833637">
              <w:rPr>
                <w:rFonts w:eastAsia="Times New Roman"/>
                <w:color w:val="000000"/>
                <w:sz w:val="22"/>
                <w:szCs w:val="22"/>
              </w:rPr>
              <w:t>(6)</w:t>
            </w:r>
          </w:p>
        </w:tc>
        <w:tc>
          <w:tcPr>
            <w:tcW w:w="3674" w:type="dxa"/>
            <w:tcBorders>
              <w:top w:val="nil"/>
              <w:left w:val="nil"/>
              <w:bottom w:val="single" w:sz="4" w:space="0" w:color="auto"/>
              <w:right w:val="single" w:sz="4" w:space="0" w:color="auto"/>
            </w:tcBorders>
            <w:shd w:val="clear" w:color="auto" w:fill="auto"/>
            <w:noWrap/>
            <w:vAlign w:val="bottom"/>
            <w:hideMark/>
          </w:tcPr>
          <w:p w14:paraId="0AC58651"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number of expected exposures</w:t>
            </w:r>
          </w:p>
        </w:tc>
        <w:tc>
          <w:tcPr>
            <w:tcW w:w="1800" w:type="dxa"/>
            <w:tcBorders>
              <w:top w:val="nil"/>
              <w:left w:val="nil"/>
              <w:bottom w:val="single" w:sz="4" w:space="0" w:color="auto"/>
              <w:right w:val="single" w:sz="4" w:space="0" w:color="auto"/>
            </w:tcBorders>
            <w:shd w:val="clear" w:color="auto" w:fill="auto"/>
            <w:noWrap/>
            <w:vAlign w:val="bottom"/>
            <w:hideMark/>
          </w:tcPr>
          <w:p w14:paraId="56BE84C0" w14:textId="77777777" w:rsidR="00C57D01" w:rsidRPr="00833637" w:rsidRDefault="00C57D01" w:rsidP="00945402">
            <w:pPr>
              <w:jc w:val="right"/>
              <w:rPr>
                <w:rFonts w:eastAsia="Times New Roman"/>
                <w:color w:val="000000"/>
                <w:sz w:val="22"/>
                <w:szCs w:val="22"/>
              </w:rPr>
            </w:pPr>
            <w:r>
              <w:rPr>
                <w:color w:val="000000"/>
                <w:sz w:val="22"/>
                <w:szCs w:val="22"/>
              </w:rPr>
              <w:t>15</w:t>
            </w:r>
          </w:p>
        </w:tc>
        <w:tc>
          <w:tcPr>
            <w:tcW w:w="2970" w:type="dxa"/>
            <w:tcBorders>
              <w:top w:val="nil"/>
              <w:left w:val="nil"/>
              <w:bottom w:val="single" w:sz="4" w:space="0" w:color="auto"/>
              <w:right w:val="single" w:sz="4" w:space="0" w:color="auto"/>
            </w:tcBorders>
            <w:shd w:val="clear" w:color="auto" w:fill="auto"/>
            <w:noWrap/>
            <w:vAlign w:val="bottom"/>
            <w:hideMark/>
          </w:tcPr>
          <w:p w14:paraId="65F7A3D9" w14:textId="77777777" w:rsidR="00C57D01" w:rsidRPr="00C8500C" w:rsidRDefault="00C57D01" w:rsidP="00945402">
            <w:pPr>
              <w:rPr>
                <w:rFonts w:eastAsia="Times New Roman"/>
                <w:color w:val="000000"/>
                <w:sz w:val="22"/>
                <w:szCs w:val="22"/>
              </w:rPr>
            </w:pPr>
            <w:r w:rsidRPr="00C8500C">
              <w:rPr>
                <w:rFonts w:eastAsia="Times New Roman"/>
                <w:color w:val="000000"/>
                <w:sz w:val="22"/>
                <w:szCs w:val="22"/>
              </w:rPr>
              <w:t>calculated from (4) &amp; (5)</w:t>
            </w:r>
          </w:p>
        </w:tc>
      </w:tr>
      <w:tr w:rsidR="00C57D01" w:rsidRPr="00833637" w14:paraId="1EF50383" w14:textId="77777777" w:rsidTr="00945402">
        <w:trPr>
          <w:trHeight w:val="261"/>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14:paraId="3786ABB5" w14:textId="77777777" w:rsidR="00C57D01" w:rsidRPr="00833637" w:rsidRDefault="00C57D01" w:rsidP="00945402">
            <w:pPr>
              <w:jc w:val="center"/>
              <w:rPr>
                <w:rFonts w:eastAsia="Times New Roman"/>
                <w:color w:val="000000"/>
                <w:sz w:val="22"/>
                <w:szCs w:val="22"/>
              </w:rPr>
            </w:pPr>
            <w:r w:rsidRPr="00833637">
              <w:rPr>
                <w:rFonts w:eastAsia="Times New Roman"/>
                <w:color w:val="000000"/>
                <w:sz w:val="22"/>
                <w:szCs w:val="22"/>
              </w:rPr>
              <w:t>(7)</w:t>
            </w:r>
          </w:p>
        </w:tc>
        <w:tc>
          <w:tcPr>
            <w:tcW w:w="3674" w:type="dxa"/>
            <w:tcBorders>
              <w:top w:val="nil"/>
              <w:left w:val="nil"/>
              <w:bottom w:val="single" w:sz="4" w:space="0" w:color="auto"/>
              <w:right w:val="single" w:sz="4" w:space="0" w:color="auto"/>
            </w:tcBorders>
            <w:shd w:val="clear" w:color="auto" w:fill="auto"/>
            <w:noWrap/>
            <w:vAlign w:val="bottom"/>
            <w:hideMark/>
          </w:tcPr>
          <w:p w14:paraId="4476118D" w14:textId="77777777" w:rsidR="00C57D01" w:rsidRPr="00833637" w:rsidRDefault="00C57D01" w:rsidP="00945402">
            <w:pPr>
              <w:ind w:firstLineChars="25" w:firstLine="55"/>
              <w:rPr>
                <w:rFonts w:eastAsia="Times New Roman"/>
                <w:color w:val="000000"/>
                <w:sz w:val="22"/>
                <w:szCs w:val="22"/>
              </w:rPr>
            </w:pPr>
            <w:r w:rsidRPr="00833637">
              <w:rPr>
                <w:rFonts w:eastAsia="Times New Roman"/>
                <w:color w:val="000000"/>
                <w:sz w:val="22"/>
                <w:szCs w:val="22"/>
              </w:rPr>
              <w:t>p(infection | exposure)</w:t>
            </w:r>
          </w:p>
        </w:tc>
        <w:tc>
          <w:tcPr>
            <w:tcW w:w="1800" w:type="dxa"/>
            <w:tcBorders>
              <w:top w:val="nil"/>
              <w:left w:val="nil"/>
              <w:bottom w:val="single" w:sz="4" w:space="0" w:color="auto"/>
              <w:right w:val="single" w:sz="4" w:space="0" w:color="auto"/>
            </w:tcBorders>
            <w:shd w:val="clear" w:color="auto" w:fill="auto"/>
            <w:noWrap/>
            <w:vAlign w:val="bottom"/>
            <w:hideMark/>
          </w:tcPr>
          <w:p w14:paraId="008C1D0D" w14:textId="77777777" w:rsidR="00C57D01" w:rsidRPr="00833637" w:rsidRDefault="00C57D01" w:rsidP="00945402">
            <w:pPr>
              <w:jc w:val="right"/>
              <w:rPr>
                <w:rFonts w:eastAsia="Times New Roman"/>
                <w:color w:val="000000"/>
                <w:sz w:val="22"/>
                <w:szCs w:val="22"/>
              </w:rPr>
            </w:pPr>
            <w:r>
              <w:rPr>
                <w:color w:val="000000"/>
                <w:sz w:val="22"/>
                <w:szCs w:val="22"/>
              </w:rPr>
              <w:t>4.70%</w:t>
            </w:r>
          </w:p>
        </w:tc>
        <w:tc>
          <w:tcPr>
            <w:tcW w:w="2970" w:type="dxa"/>
            <w:tcBorders>
              <w:top w:val="nil"/>
              <w:left w:val="nil"/>
              <w:bottom w:val="single" w:sz="4" w:space="0" w:color="auto"/>
              <w:right w:val="single" w:sz="4" w:space="0" w:color="auto"/>
            </w:tcBorders>
            <w:shd w:val="clear" w:color="auto" w:fill="auto"/>
            <w:noWrap/>
            <w:vAlign w:val="bottom"/>
            <w:hideMark/>
          </w:tcPr>
          <w:p w14:paraId="1A43327F" w14:textId="20BC1A9A" w:rsidR="00C57D01" w:rsidRPr="00833637" w:rsidRDefault="00C57D01" w:rsidP="00945402">
            <w:pPr>
              <w:rPr>
                <w:rFonts w:eastAsia="Times New Roman"/>
                <w:i/>
                <w:iCs/>
                <w:color w:val="000000"/>
                <w:sz w:val="22"/>
                <w:szCs w:val="22"/>
              </w:rPr>
            </w:pPr>
            <w:r w:rsidRPr="00C8500C">
              <w:rPr>
                <w:rFonts w:eastAsia="Times New Roman"/>
                <w:color w:val="000000"/>
                <w:sz w:val="22"/>
                <w:szCs w:val="22"/>
              </w:rPr>
              <w:t>for low-risk contacts</w:t>
            </w:r>
            <w:r>
              <w:rPr>
                <w:rFonts w:eastAsia="Times New Roman"/>
                <w:i/>
                <w:iCs/>
                <w:color w:val="000000"/>
                <w:sz w:val="22"/>
                <w:szCs w:val="22"/>
              </w:rPr>
              <w:t xml:space="preserve"> </w:t>
            </w:r>
            <w:r>
              <w:rPr>
                <w:rFonts w:eastAsia="Times New Roman"/>
                <w:i/>
                <w:iCs/>
                <w:color w:val="000000"/>
                <w:sz w:val="22"/>
                <w:szCs w:val="22"/>
              </w:rPr>
              <w:fldChar w:fldCharType="begin"/>
            </w:r>
            <w:r w:rsidR="00B25CE3">
              <w:rPr>
                <w:rFonts w:eastAsia="Times New Roman"/>
                <w:i/>
                <w:iCs/>
                <w:color w:val="000000"/>
                <w:sz w:val="22"/>
                <w:szCs w:val="22"/>
              </w:rPr>
              <w:instrText xml:space="preserve"> ADDIN ZOTERO_ITEM CSL_CITATION {"citationID":"EBRtlJcy","properties":{"formattedCitation":"[3]","plainCitation":"[3]","noteIndex":0},"citationItems":[{"id":5975,"uris":["http://zotero.org/users/3776105/items/KIJISEIE"],"uri":["http://zotero.org/users/3776105/items/KIJISEIE"],"itemData":{"id":5975,"type":"article-journal","abstract":"Epidemiology in southern India\nBy August 2020, India had reported several million cases of severe acute respiratory syndrome coronavirus 2 (SARS-CoV-2), with cases tending to show a younger age distribution than has been reported in higher-income countries. Laxminarayan et al. analyzed data from the Indian states of Tamil Nadu and Andhra Pradesh, which have developed rigorous contact tracing and testing systems (see the Perspective by John and Kang). Superspreading predominated, with 5% of infected individuals accounting for 80% of cases. Enhanced transmission risk was apparent among children and young adults, who accounted for one-third of cases. Deaths were concentrated in 50- to 64-year-olds. Incidence did not change in older age groups, possibly because of effective stay-at-home orders and social welfare programs or socioeconomic status. As in other settings, however, mortality rates were associated with older age, comorbidities, and being male.\nScience, this issue p. 691; see also p. 663\nAlthough most cases of coronavirus disease 2019 (COVID-19) have occurred in low-resource countries, little is known about the epidemiology of the disease in such contexts. Data from the Indian states of Tamil Nadu and Andhra Pradesh provide a detailed view into severe acute respiratory syndrome coronavirus 2 (SARS-CoV-2) transmission pathways and mortality in a high-incidence setting. Reported cases and deaths have been concentrated in younger cohorts than would be expected from observations in higher-income countries, even after accounting for demographic differences across settings. Among 575,071 individuals exposed to 84,965 confirmed cases, infection probabilities ranged from 4.7 to 10.7% for low-risk and high-risk contact types, respectively. Same-age contacts were associated with the greatest infection risk. Case fatality ratios spanned 0.05% at ages of 5 to 17 years to 16.6% at ages of 85 years or more. Primary data from low-resource countries are urgently needed to guide control measures.\nThe epidemiology of SARS-CoV-2 in southern India shows marked differences from that observed in higher-income countries.\nThe epidemiology of SARS-CoV-2 in southern India shows marked differences from that observed in higher-income countries.","container-title":"Science","DOI":"10.1126/science.abd7672","ISSN":"0036-8075, 1095-9203","issue":"6517","language":"en","note":"publisher: American Association for the Advancement of Science\nsection: Research Article\nPMID: 33154136","page":"691-697","source":"science.sciencemag.org","title":"Epidemiology and transmission dynamics of COVID-19 in two Indian states","volume":"370","author":[{"family":"Laxminarayan","given":"Ramanan"},{"family":"Wahl","given":"Brian"},{"family":"Dudala","given":"Shankar Reddy"},{"family":"Gopal","given":"K."},{"family":"B","given":"Chandra Mohan"},{"family":"Neelima","given":"S."},{"family":"Reddy","given":"K. S. Jawahar"},{"family":"Radhakrishnan","given":"J."},{"family":"Lewnard","given":"Joseph A."}],"issued":{"date-parts":[["2020",11,6]]}}}],"schema":"https://github.com/citation-style-language/schema/raw/master/csl-citation.json"} </w:instrText>
            </w:r>
            <w:r>
              <w:rPr>
                <w:rFonts w:eastAsia="Times New Roman"/>
                <w:i/>
                <w:iCs/>
                <w:color w:val="000000"/>
                <w:sz w:val="22"/>
                <w:szCs w:val="22"/>
              </w:rPr>
              <w:fldChar w:fldCharType="separate"/>
            </w:r>
            <w:r w:rsidR="00B25CE3">
              <w:rPr>
                <w:color w:val="000000"/>
                <w:sz w:val="22"/>
              </w:rPr>
              <w:t>[3]</w:t>
            </w:r>
            <w:r>
              <w:rPr>
                <w:rFonts w:eastAsia="Times New Roman"/>
                <w:i/>
                <w:iCs/>
                <w:color w:val="000000"/>
                <w:sz w:val="22"/>
                <w:szCs w:val="22"/>
              </w:rPr>
              <w:fldChar w:fldCharType="end"/>
            </w:r>
          </w:p>
        </w:tc>
      </w:tr>
      <w:tr w:rsidR="00C57D01" w:rsidRPr="00833637" w14:paraId="661A0937" w14:textId="77777777" w:rsidTr="00945402">
        <w:trPr>
          <w:trHeight w:val="261"/>
        </w:trPr>
        <w:tc>
          <w:tcPr>
            <w:tcW w:w="573" w:type="dxa"/>
            <w:tcBorders>
              <w:top w:val="nil"/>
              <w:left w:val="single" w:sz="4" w:space="0" w:color="auto"/>
              <w:bottom w:val="single" w:sz="4" w:space="0" w:color="auto"/>
              <w:right w:val="single" w:sz="4" w:space="0" w:color="auto"/>
            </w:tcBorders>
            <w:shd w:val="clear" w:color="auto" w:fill="auto"/>
            <w:noWrap/>
            <w:vAlign w:val="bottom"/>
          </w:tcPr>
          <w:p w14:paraId="3894819C" w14:textId="77777777" w:rsidR="00C57D01" w:rsidRPr="00833637" w:rsidRDefault="00C57D01" w:rsidP="00945402">
            <w:pPr>
              <w:ind w:left="-583"/>
              <w:jc w:val="center"/>
              <w:rPr>
                <w:rFonts w:eastAsia="Times New Roman"/>
                <w:color w:val="000000"/>
                <w:sz w:val="22"/>
                <w:szCs w:val="22"/>
              </w:rPr>
            </w:pPr>
            <w:r>
              <w:rPr>
                <w:rFonts w:eastAsia="Times New Roman"/>
                <w:color w:val="000000"/>
                <w:sz w:val="22"/>
                <w:szCs w:val="22"/>
              </w:rPr>
              <w:t xml:space="preserve">            (8)</w:t>
            </w:r>
          </w:p>
        </w:tc>
        <w:tc>
          <w:tcPr>
            <w:tcW w:w="3674" w:type="dxa"/>
            <w:tcBorders>
              <w:top w:val="nil"/>
              <w:left w:val="nil"/>
              <w:bottom w:val="single" w:sz="4" w:space="0" w:color="auto"/>
              <w:right w:val="single" w:sz="4" w:space="0" w:color="auto"/>
            </w:tcBorders>
            <w:shd w:val="clear" w:color="auto" w:fill="auto"/>
            <w:noWrap/>
            <w:vAlign w:val="bottom"/>
          </w:tcPr>
          <w:p w14:paraId="343D04AB" w14:textId="77777777" w:rsidR="00C57D01" w:rsidRPr="00833637" w:rsidRDefault="00C57D01" w:rsidP="00945402">
            <w:pPr>
              <w:ind w:firstLineChars="25" w:firstLine="55"/>
              <w:rPr>
                <w:rFonts w:eastAsia="Times New Roman"/>
                <w:color w:val="000000"/>
                <w:sz w:val="22"/>
                <w:szCs w:val="22"/>
              </w:rPr>
            </w:pPr>
            <w:r>
              <w:rPr>
                <w:rFonts w:eastAsia="Times New Roman"/>
                <w:color w:val="000000"/>
                <w:sz w:val="22"/>
                <w:szCs w:val="22"/>
              </w:rPr>
              <w:t>Mask reduction in risk</w:t>
            </w:r>
          </w:p>
        </w:tc>
        <w:tc>
          <w:tcPr>
            <w:tcW w:w="1800" w:type="dxa"/>
            <w:tcBorders>
              <w:top w:val="nil"/>
              <w:left w:val="nil"/>
              <w:bottom w:val="single" w:sz="4" w:space="0" w:color="auto"/>
              <w:right w:val="single" w:sz="4" w:space="0" w:color="auto"/>
            </w:tcBorders>
            <w:shd w:val="clear" w:color="auto" w:fill="auto"/>
            <w:noWrap/>
            <w:vAlign w:val="bottom"/>
          </w:tcPr>
          <w:p w14:paraId="23E8DEC0" w14:textId="77777777" w:rsidR="00C57D01" w:rsidRPr="00833637" w:rsidRDefault="00C57D01" w:rsidP="00945402">
            <w:pPr>
              <w:jc w:val="right"/>
              <w:rPr>
                <w:rFonts w:eastAsia="Times New Roman"/>
                <w:color w:val="000000"/>
                <w:sz w:val="22"/>
                <w:szCs w:val="22"/>
              </w:rPr>
            </w:pPr>
            <w:r>
              <w:rPr>
                <w:rFonts w:eastAsia="Times New Roman"/>
                <w:color w:val="000000"/>
                <w:sz w:val="22"/>
                <w:szCs w:val="22"/>
              </w:rPr>
              <w:t>85%</w:t>
            </w:r>
          </w:p>
        </w:tc>
        <w:tc>
          <w:tcPr>
            <w:tcW w:w="2970" w:type="dxa"/>
            <w:tcBorders>
              <w:top w:val="nil"/>
              <w:left w:val="nil"/>
              <w:bottom w:val="single" w:sz="4" w:space="0" w:color="auto"/>
              <w:right w:val="single" w:sz="4" w:space="0" w:color="auto"/>
            </w:tcBorders>
            <w:shd w:val="clear" w:color="auto" w:fill="auto"/>
            <w:noWrap/>
            <w:vAlign w:val="bottom"/>
          </w:tcPr>
          <w:p w14:paraId="37B6424B" w14:textId="77777777" w:rsidR="00C57D01" w:rsidRPr="00C8500C" w:rsidRDefault="00C57D01" w:rsidP="00945402">
            <w:pPr>
              <w:rPr>
                <w:rFonts w:eastAsia="Times New Roman"/>
                <w:color w:val="000000"/>
                <w:sz w:val="22"/>
                <w:szCs w:val="22"/>
              </w:rPr>
            </w:pPr>
            <w:proofErr w:type="spellStart"/>
            <w:r>
              <w:rPr>
                <w:rFonts w:eastAsia="Times New Roman"/>
                <w:color w:val="000000"/>
                <w:sz w:val="22"/>
                <w:szCs w:val="22"/>
              </w:rPr>
              <w:t>aOR</w:t>
            </w:r>
            <w:proofErr w:type="spellEnd"/>
            <w:r>
              <w:rPr>
                <w:rFonts w:eastAsia="Times New Roman"/>
                <w:color w:val="000000"/>
                <w:sz w:val="22"/>
                <w:szCs w:val="22"/>
              </w:rPr>
              <w:t xml:space="preserve"> = 0.15</w:t>
            </w:r>
          </w:p>
        </w:tc>
      </w:tr>
      <w:tr w:rsidR="00C57D01" w:rsidRPr="00833637" w14:paraId="090C7D59" w14:textId="77777777" w:rsidTr="00945402">
        <w:trPr>
          <w:trHeight w:val="261"/>
        </w:trPr>
        <w:tc>
          <w:tcPr>
            <w:tcW w:w="573" w:type="dxa"/>
            <w:tcBorders>
              <w:top w:val="nil"/>
              <w:left w:val="single" w:sz="4" w:space="0" w:color="auto"/>
              <w:bottom w:val="single" w:sz="4" w:space="0" w:color="auto"/>
              <w:right w:val="single" w:sz="4" w:space="0" w:color="auto"/>
            </w:tcBorders>
            <w:shd w:val="clear" w:color="auto" w:fill="auto"/>
            <w:noWrap/>
            <w:vAlign w:val="bottom"/>
            <w:hideMark/>
          </w:tcPr>
          <w:p w14:paraId="0FE0783F" w14:textId="77777777" w:rsidR="00C57D01" w:rsidRPr="00833637" w:rsidRDefault="00C57D01" w:rsidP="00945402">
            <w:pPr>
              <w:jc w:val="center"/>
              <w:rPr>
                <w:rFonts w:eastAsia="Times New Roman"/>
                <w:color w:val="000000"/>
                <w:sz w:val="22"/>
                <w:szCs w:val="22"/>
              </w:rPr>
            </w:pPr>
            <w:r w:rsidRPr="00833637">
              <w:rPr>
                <w:rFonts w:eastAsia="Times New Roman"/>
                <w:color w:val="000000"/>
                <w:sz w:val="22"/>
                <w:szCs w:val="22"/>
              </w:rPr>
              <w:t>(</w:t>
            </w:r>
            <w:r>
              <w:rPr>
                <w:rFonts w:eastAsia="Times New Roman"/>
                <w:color w:val="000000"/>
                <w:sz w:val="22"/>
                <w:szCs w:val="22"/>
              </w:rPr>
              <w:t>9</w:t>
            </w:r>
            <w:r w:rsidRPr="00833637">
              <w:rPr>
                <w:rFonts w:eastAsia="Times New Roman"/>
                <w:color w:val="000000"/>
                <w:sz w:val="22"/>
                <w:szCs w:val="22"/>
              </w:rPr>
              <w:t>)</w:t>
            </w:r>
          </w:p>
        </w:tc>
        <w:tc>
          <w:tcPr>
            <w:tcW w:w="3674" w:type="dxa"/>
            <w:tcBorders>
              <w:top w:val="nil"/>
              <w:left w:val="nil"/>
              <w:bottom w:val="single" w:sz="4" w:space="0" w:color="auto"/>
              <w:right w:val="single" w:sz="4" w:space="0" w:color="auto"/>
            </w:tcBorders>
            <w:shd w:val="clear" w:color="auto" w:fill="auto"/>
            <w:noWrap/>
            <w:vAlign w:val="bottom"/>
            <w:hideMark/>
          </w:tcPr>
          <w:p w14:paraId="3171C6A1" w14:textId="77777777" w:rsidR="00C57D01" w:rsidRPr="00833637" w:rsidRDefault="00C57D01" w:rsidP="00945402">
            <w:pPr>
              <w:rPr>
                <w:rFonts w:eastAsia="Times New Roman"/>
                <w:color w:val="000000"/>
                <w:sz w:val="22"/>
                <w:szCs w:val="22"/>
              </w:rPr>
            </w:pPr>
            <w:r w:rsidRPr="00833637">
              <w:rPr>
                <w:rFonts w:eastAsia="Times New Roman"/>
                <w:color w:val="000000"/>
                <w:sz w:val="22"/>
                <w:szCs w:val="22"/>
              </w:rPr>
              <w:t xml:space="preserve"> p(death| infection) for a 25-year</w:t>
            </w:r>
            <w:r>
              <w:rPr>
                <w:rFonts w:eastAsia="Times New Roman"/>
                <w:color w:val="000000"/>
                <w:sz w:val="22"/>
                <w:szCs w:val="22"/>
              </w:rPr>
              <w:t>-</w:t>
            </w:r>
            <w:r w:rsidRPr="00833637">
              <w:rPr>
                <w:rFonts w:eastAsia="Times New Roman"/>
                <w:color w:val="000000"/>
                <w:sz w:val="22"/>
                <w:szCs w:val="22"/>
              </w:rPr>
              <w:t>old</w:t>
            </w:r>
          </w:p>
        </w:tc>
        <w:tc>
          <w:tcPr>
            <w:tcW w:w="1800" w:type="dxa"/>
            <w:tcBorders>
              <w:top w:val="nil"/>
              <w:left w:val="nil"/>
              <w:bottom w:val="single" w:sz="4" w:space="0" w:color="auto"/>
              <w:right w:val="single" w:sz="4" w:space="0" w:color="auto"/>
            </w:tcBorders>
            <w:shd w:val="clear" w:color="auto" w:fill="auto"/>
            <w:noWrap/>
            <w:vAlign w:val="bottom"/>
            <w:hideMark/>
          </w:tcPr>
          <w:p w14:paraId="74DDDBBD" w14:textId="77777777" w:rsidR="00C57D01" w:rsidRPr="00833637" w:rsidRDefault="00C57D01" w:rsidP="00945402">
            <w:pPr>
              <w:jc w:val="right"/>
              <w:rPr>
                <w:rFonts w:eastAsia="Times New Roman"/>
                <w:color w:val="000000"/>
                <w:sz w:val="22"/>
                <w:szCs w:val="22"/>
              </w:rPr>
            </w:pPr>
            <w:r>
              <w:rPr>
                <w:color w:val="000000"/>
                <w:sz w:val="22"/>
                <w:szCs w:val="22"/>
              </w:rPr>
              <w:t>0.004%</w:t>
            </w:r>
          </w:p>
        </w:tc>
        <w:tc>
          <w:tcPr>
            <w:tcW w:w="2970" w:type="dxa"/>
            <w:tcBorders>
              <w:top w:val="nil"/>
              <w:left w:val="nil"/>
              <w:bottom w:val="single" w:sz="4" w:space="0" w:color="auto"/>
              <w:right w:val="single" w:sz="4" w:space="0" w:color="auto"/>
            </w:tcBorders>
            <w:shd w:val="clear" w:color="auto" w:fill="auto"/>
            <w:noWrap/>
            <w:vAlign w:val="bottom"/>
            <w:hideMark/>
          </w:tcPr>
          <w:p w14:paraId="7E43C5E9" w14:textId="77295D8B" w:rsidR="00C57D01" w:rsidRPr="00C8500C" w:rsidRDefault="000C1E68" w:rsidP="00945402">
            <w:pPr>
              <w:rPr>
                <w:rFonts w:eastAsia="Times New Roman"/>
                <w:color w:val="000000"/>
                <w:sz w:val="22"/>
                <w:szCs w:val="22"/>
              </w:rPr>
            </w:pPr>
            <w:r w:rsidRPr="00C8500C">
              <w:rPr>
                <w:rFonts w:eastAsia="Times New Roman"/>
                <w:color w:val="000000"/>
                <w:sz w:val="22"/>
                <w:szCs w:val="22"/>
              </w:rPr>
              <w:t xml:space="preserve">IFR </w:t>
            </w:r>
            <w:r>
              <w:rPr>
                <w:rFonts w:eastAsia="Times New Roman"/>
                <w:color w:val="000000"/>
                <w:sz w:val="22"/>
                <w:szCs w:val="22"/>
              </w:rPr>
              <w:fldChar w:fldCharType="begin"/>
            </w:r>
            <w:r>
              <w:rPr>
                <w:rFonts w:eastAsia="Times New Roman"/>
                <w:color w:val="000000"/>
                <w:sz w:val="22"/>
                <w:szCs w:val="22"/>
              </w:rPr>
              <w:instrText xml:space="preserve"> ADDIN ZOTERO_ITEM CSL_CITATION {"citationID":"6m9CgVna","properties":{"formattedCitation":"[5]","plainCitation":"[5]","noteIndex":0},"citationItems":[{"id":5979,"uris":["http://zotero.org/users/3776105/items/YJCH9FIA"],"uri":["http://zotero.org/users/3776105/items/YJCH9FIA"],"itemData":{"id":5979,"type":"article-journal","abstract":"Determine age-specific infection fatality rates for COVID-19 to inform public health policies and communications that help protect vulnerable age groups. Studies of COVID-19 prevalence were collected by conducting an online search of published articles, preprints, and government reports that were publicly disseminated prior to 18 September 2020. The systematic review encompassed 113 studies, of which 27 studies (covering 34 geographical locations) satisfied the inclusion criteria and were included in the meta-analysis. Age-specific IFRs were computed using the prevalence data in conjunction with reported fatalities 4 weeks after the midpoint date of the study, reflecting typical lags in fatalities and reporting. Meta-regression procedures in Stata were used to analyze the infection fatality rate (IFR) by age. Our analysis finds a exponential relationship between age and IFR for COVID-19. The estimated age-specific IFR is very low for children and younger adults (e.g., 0.002% at age 10 and 0.01% at age 25) but increases progressively to 0.4% at age 55, 1.4% at age 65, 4.6% at age 75, and 15% at age 85. Moreover, our results indicate that about 90% of the variation in population IFR across geographical locations reflects differences in the age composition of the population and the extent to which relatively vulnerable age groups were exposed to the virus. These results indicate that COVID-19 is hazardous not only for the elderly but also for middle-aged adults, for whom the infection fatality rate is two orders of magnitude greater than the annualized risk of a fatal automobile accident and far more dangerous than seasonal influenza. Moreover, the overall IFR for COVID-19 should not be viewed as a fixed parameter but as intrinsically linked to the age-specific pattern of infections. Consequently, public health measures to mitigate infections in older adults could substantially decrease total deaths.","container-title":"European Journal of Epidemiology","DOI":"10.1007/s10654-020-00698-1","ISSN":"1573-7284","journalAbbreviation":"Eur J Epidemiol","language":"en","source":"Springer Link","title":"Assessing the age specificity of infection fatality rates for COVID-19: systematic review, meta-analysis, and public policy implications","title-short":"Assessing the age specificity of infection fatality rates for COVID-19","URL":"https://doi.org/10.1007/s10654-020-00698-1","author":[{"family":"Levin","given":"Andrew T."},{"family":"Hanage","given":"William P."},{"family":"Owusu-Boaitey","given":"Nana"},{"family":"Cochran","given":"Kensington B."},{"family":"Walsh","given":"Seamus P."},{"family":"Meyerowitz-Katz","given":"Gideon"}],"accessed":{"date-parts":[["2020",12,22]]},"issued":{"date-parts":[["2020",12,8]]}}}],"schema":"https://github.com/citation-style-language/schema/raw/master/csl-citation.json"} </w:instrText>
            </w:r>
            <w:r>
              <w:rPr>
                <w:rFonts w:eastAsia="Times New Roman"/>
                <w:color w:val="000000"/>
                <w:sz w:val="22"/>
                <w:szCs w:val="22"/>
              </w:rPr>
              <w:fldChar w:fldCharType="separate"/>
            </w:r>
            <w:r>
              <w:rPr>
                <w:color w:val="000000"/>
                <w:sz w:val="22"/>
              </w:rPr>
              <w:t>[5]</w:t>
            </w:r>
            <w:r>
              <w:rPr>
                <w:rFonts w:eastAsia="Times New Roman"/>
                <w:color w:val="000000"/>
                <w:sz w:val="22"/>
                <w:szCs w:val="22"/>
              </w:rPr>
              <w:fldChar w:fldCharType="end"/>
            </w:r>
          </w:p>
        </w:tc>
      </w:tr>
      <w:tr w:rsidR="00C57D01" w:rsidRPr="00833637" w14:paraId="5DFA0A65" w14:textId="77777777" w:rsidTr="00945402">
        <w:trPr>
          <w:trHeight w:val="279"/>
        </w:trPr>
        <w:tc>
          <w:tcPr>
            <w:tcW w:w="573" w:type="dxa"/>
            <w:tcBorders>
              <w:top w:val="nil"/>
              <w:left w:val="single" w:sz="4" w:space="0" w:color="auto"/>
              <w:bottom w:val="single" w:sz="8" w:space="0" w:color="auto"/>
              <w:right w:val="single" w:sz="4" w:space="0" w:color="auto"/>
            </w:tcBorders>
            <w:shd w:val="clear" w:color="auto" w:fill="auto"/>
            <w:noWrap/>
            <w:vAlign w:val="bottom"/>
            <w:hideMark/>
          </w:tcPr>
          <w:p w14:paraId="3F3182FE" w14:textId="77777777" w:rsidR="00C57D01" w:rsidRPr="00833637" w:rsidRDefault="00C57D01" w:rsidP="00945402">
            <w:pPr>
              <w:rPr>
                <w:rFonts w:eastAsia="Times New Roman"/>
                <w:color w:val="000000"/>
                <w:sz w:val="22"/>
                <w:szCs w:val="22"/>
              </w:rPr>
            </w:pPr>
            <w:r w:rsidRPr="00833637">
              <w:rPr>
                <w:rFonts w:eastAsia="Times New Roman"/>
                <w:color w:val="000000"/>
                <w:sz w:val="22"/>
                <w:szCs w:val="22"/>
              </w:rPr>
              <w:t>(</w:t>
            </w:r>
            <w:r>
              <w:rPr>
                <w:rFonts w:eastAsia="Times New Roman"/>
                <w:color w:val="000000"/>
                <w:sz w:val="22"/>
                <w:szCs w:val="22"/>
              </w:rPr>
              <w:t>10</w:t>
            </w:r>
            <w:r w:rsidRPr="00833637">
              <w:rPr>
                <w:rFonts w:eastAsia="Times New Roman"/>
                <w:color w:val="000000"/>
                <w:sz w:val="22"/>
                <w:szCs w:val="22"/>
              </w:rPr>
              <w:t>)</w:t>
            </w:r>
          </w:p>
        </w:tc>
        <w:tc>
          <w:tcPr>
            <w:tcW w:w="3674" w:type="dxa"/>
            <w:tcBorders>
              <w:top w:val="nil"/>
              <w:left w:val="nil"/>
              <w:bottom w:val="single" w:sz="8" w:space="0" w:color="auto"/>
              <w:right w:val="single" w:sz="4" w:space="0" w:color="auto"/>
            </w:tcBorders>
            <w:shd w:val="clear" w:color="auto" w:fill="auto"/>
            <w:noWrap/>
            <w:vAlign w:val="bottom"/>
            <w:hideMark/>
          </w:tcPr>
          <w:p w14:paraId="697B24EF" w14:textId="77777777" w:rsidR="00C57D01" w:rsidRPr="00833637" w:rsidRDefault="00C57D01" w:rsidP="00945402">
            <w:pPr>
              <w:rPr>
                <w:rFonts w:eastAsia="Times New Roman"/>
                <w:color w:val="000000"/>
                <w:sz w:val="22"/>
                <w:szCs w:val="22"/>
              </w:rPr>
            </w:pPr>
            <w:r>
              <w:rPr>
                <w:rFonts w:eastAsia="Times New Roman"/>
                <w:color w:val="000000"/>
                <w:sz w:val="22"/>
                <w:szCs w:val="22"/>
              </w:rPr>
              <w:t xml:space="preserve"> </w:t>
            </w:r>
            <w:r w:rsidRPr="00833637">
              <w:rPr>
                <w:rFonts w:eastAsia="Times New Roman"/>
                <w:color w:val="000000"/>
                <w:sz w:val="22"/>
                <w:szCs w:val="22"/>
              </w:rPr>
              <w:t>p(death| infection) for a 75-year</w:t>
            </w:r>
            <w:r>
              <w:rPr>
                <w:rFonts w:eastAsia="Times New Roman"/>
                <w:color w:val="000000"/>
                <w:sz w:val="22"/>
                <w:szCs w:val="22"/>
              </w:rPr>
              <w:t>-</w:t>
            </w:r>
            <w:r w:rsidRPr="00833637">
              <w:rPr>
                <w:rFonts w:eastAsia="Times New Roman"/>
                <w:color w:val="000000"/>
                <w:sz w:val="22"/>
                <w:szCs w:val="22"/>
              </w:rPr>
              <w:t>old</w:t>
            </w:r>
          </w:p>
        </w:tc>
        <w:tc>
          <w:tcPr>
            <w:tcW w:w="1800" w:type="dxa"/>
            <w:tcBorders>
              <w:top w:val="nil"/>
              <w:left w:val="nil"/>
              <w:bottom w:val="single" w:sz="8" w:space="0" w:color="auto"/>
              <w:right w:val="single" w:sz="4" w:space="0" w:color="auto"/>
            </w:tcBorders>
            <w:shd w:val="clear" w:color="auto" w:fill="auto"/>
            <w:noWrap/>
            <w:vAlign w:val="bottom"/>
            <w:hideMark/>
          </w:tcPr>
          <w:p w14:paraId="3444DCC9" w14:textId="77777777" w:rsidR="00C57D01" w:rsidRPr="00833637" w:rsidRDefault="00C57D01" w:rsidP="00945402">
            <w:pPr>
              <w:jc w:val="right"/>
              <w:rPr>
                <w:rFonts w:eastAsia="Times New Roman"/>
                <w:color w:val="000000"/>
                <w:sz w:val="22"/>
                <w:szCs w:val="22"/>
              </w:rPr>
            </w:pPr>
            <w:r>
              <w:rPr>
                <w:color w:val="000000"/>
                <w:sz w:val="22"/>
                <w:szCs w:val="22"/>
              </w:rPr>
              <w:t>8.50%</w:t>
            </w:r>
          </w:p>
        </w:tc>
        <w:tc>
          <w:tcPr>
            <w:tcW w:w="2970" w:type="dxa"/>
            <w:tcBorders>
              <w:top w:val="nil"/>
              <w:left w:val="nil"/>
              <w:bottom w:val="single" w:sz="8" w:space="0" w:color="auto"/>
              <w:right w:val="single" w:sz="4" w:space="0" w:color="auto"/>
            </w:tcBorders>
            <w:shd w:val="clear" w:color="auto" w:fill="auto"/>
            <w:noWrap/>
            <w:vAlign w:val="bottom"/>
            <w:hideMark/>
          </w:tcPr>
          <w:p w14:paraId="50D6DD71" w14:textId="7508A8A7" w:rsidR="00C57D01" w:rsidRPr="00C8500C" w:rsidRDefault="000C1E68" w:rsidP="00945402">
            <w:pPr>
              <w:rPr>
                <w:rFonts w:eastAsia="Times New Roman"/>
                <w:color w:val="000000"/>
                <w:sz w:val="22"/>
                <w:szCs w:val="22"/>
              </w:rPr>
            </w:pPr>
            <w:r w:rsidRPr="00C8500C">
              <w:rPr>
                <w:rFonts w:eastAsia="Times New Roman"/>
                <w:color w:val="000000"/>
                <w:sz w:val="22"/>
                <w:szCs w:val="22"/>
              </w:rPr>
              <w:t xml:space="preserve">IFR </w:t>
            </w:r>
            <w:r>
              <w:rPr>
                <w:rFonts w:eastAsia="Times New Roman"/>
                <w:color w:val="000000"/>
                <w:sz w:val="22"/>
                <w:szCs w:val="22"/>
              </w:rPr>
              <w:fldChar w:fldCharType="begin"/>
            </w:r>
            <w:r>
              <w:rPr>
                <w:rFonts w:eastAsia="Times New Roman"/>
                <w:color w:val="000000"/>
                <w:sz w:val="22"/>
                <w:szCs w:val="22"/>
              </w:rPr>
              <w:instrText xml:space="preserve"> ADDIN ZOTERO_ITEM CSL_CITATION {"citationID":"xtFbdnpU","properties":{"formattedCitation":"[5]","plainCitation":"[5]","noteIndex":0},"citationItems":[{"id":5979,"uris":["http://zotero.org/users/3776105/items/YJCH9FIA"],"uri":["http://zotero.org/users/3776105/items/YJCH9FIA"],"itemData":{"id":5979,"type":"article-journal","abstract":"Determine age-specific infection fatality rates for COVID-19 to inform public health policies and communications that help protect vulnerable age groups. Studies of COVID-19 prevalence were collected by conducting an online search of published articles, preprints, and government reports that were publicly disseminated prior to 18 September 2020. The systematic review encompassed 113 studies, of which 27 studies (covering 34 geographical locations) satisfied the inclusion criteria and were included in the meta-analysis. Age-specific IFRs were computed using the prevalence data in conjunction with reported fatalities 4 weeks after the midpoint date of the study, reflecting typical lags in fatalities and reporting. Meta-regression procedures in Stata were used to analyze the infection fatality rate (IFR) by age. Our analysis finds a exponential relationship between age and IFR for COVID-19. The estimated age-specific IFR is very low for children and younger adults (e.g., 0.002% at age 10 and 0.01% at age 25) but increases progressively to 0.4% at age 55, 1.4% at age 65, 4.6% at age 75, and 15% at age 85. Moreover, our results indicate that about 90% of the variation in population IFR across geographical locations reflects differences in the age composition of the population and the extent to which relatively vulnerable age groups were exposed to the virus. These results indicate that COVID-19 is hazardous not only for the elderly but also for middle-aged adults, for whom the infection fatality rate is two orders of magnitude greater than the annualized risk of a fatal automobile accident and far more dangerous than seasonal influenza. Moreover, the overall IFR for COVID-19 should not be viewed as a fixed parameter but as intrinsically linked to the age-specific pattern of infections. Consequently, public health measures to mitigate infections in older adults could substantially decrease total deaths.","container-title":"European Journal of Epidemiology","DOI":"10.1007/s10654-020-00698-1","ISSN":"1573-7284","journalAbbreviation":"Eur J Epidemiol","language":"en","source":"Springer Link","title":"Assessing the age specificity of infection fatality rates for COVID-19: systematic review, meta-analysis, and public policy implications","title-short":"Assessing the age specificity of infection fatality rates for COVID-19","URL":"https://doi.org/10.1007/s10654-020-00698-1","author":[{"family":"Levin","given":"Andrew T."},{"family":"Hanage","given":"William P."},{"family":"Owusu-Boaitey","given":"Nana"},{"family":"Cochran","given":"Kensington B."},{"family":"Walsh","given":"Seamus P."},{"family":"Meyerowitz-Katz","given":"Gideon"}],"accessed":{"date-parts":[["2020",12,22]]},"issued":{"date-parts":[["2020",12,8]]}}}],"schema":"https://github.com/citation-style-language/schema/raw/master/csl-citation.json"} </w:instrText>
            </w:r>
            <w:r>
              <w:rPr>
                <w:rFonts w:eastAsia="Times New Roman"/>
                <w:color w:val="000000"/>
                <w:sz w:val="22"/>
                <w:szCs w:val="22"/>
              </w:rPr>
              <w:fldChar w:fldCharType="separate"/>
            </w:r>
            <w:r>
              <w:rPr>
                <w:color w:val="000000"/>
                <w:sz w:val="22"/>
              </w:rPr>
              <w:t>[5]</w:t>
            </w:r>
            <w:r>
              <w:rPr>
                <w:rFonts w:eastAsia="Times New Roman"/>
                <w:color w:val="000000"/>
                <w:sz w:val="22"/>
                <w:szCs w:val="22"/>
              </w:rPr>
              <w:fldChar w:fldCharType="end"/>
            </w:r>
          </w:p>
        </w:tc>
      </w:tr>
      <w:tr w:rsidR="00C57D01" w:rsidRPr="00833637" w14:paraId="6F20F836" w14:textId="77777777" w:rsidTr="00945402">
        <w:trPr>
          <w:trHeight w:val="261"/>
        </w:trPr>
        <w:tc>
          <w:tcPr>
            <w:tcW w:w="573" w:type="dxa"/>
            <w:tcBorders>
              <w:top w:val="nil"/>
              <w:left w:val="nil"/>
              <w:bottom w:val="nil"/>
              <w:right w:val="nil"/>
            </w:tcBorders>
            <w:shd w:val="clear" w:color="auto" w:fill="auto"/>
            <w:noWrap/>
            <w:vAlign w:val="bottom"/>
            <w:hideMark/>
          </w:tcPr>
          <w:p w14:paraId="5C6DB66E" w14:textId="77777777" w:rsidR="00C57D01" w:rsidRPr="00833637" w:rsidRDefault="00C57D01" w:rsidP="00945402">
            <w:pPr>
              <w:ind w:firstLineChars="200" w:firstLine="440"/>
              <w:rPr>
                <w:rFonts w:eastAsia="Times New Roman"/>
                <w:i/>
                <w:iCs/>
                <w:color w:val="000000"/>
                <w:sz w:val="22"/>
                <w:szCs w:val="22"/>
              </w:rPr>
            </w:pPr>
          </w:p>
        </w:tc>
        <w:tc>
          <w:tcPr>
            <w:tcW w:w="3674" w:type="dxa"/>
            <w:tcBorders>
              <w:top w:val="nil"/>
              <w:left w:val="nil"/>
              <w:bottom w:val="nil"/>
              <w:right w:val="nil"/>
            </w:tcBorders>
            <w:shd w:val="clear" w:color="auto" w:fill="auto"/>
            <w:noWrap/>
            <w:vAlign w:val="bottom"/>
            <w:hideMark/>
          </w:tcPr>
          <w:p w14:paraId="77FC8FD2" w14:textId="77777777" w:rsidR="00C57D01" w:rsidRPr="00833637" w:rsidRDefault="00C57D01" w:rsidP="00945402">
            <w:pPr>
              <w:ind w:firstLine="235"/>
              <w:rPr>
                <w:rFonts w:ascii="Times New Roman" w:eastAsia="Times New Roman" w:hAnsi="Times New Roman" w:cs="Times New Roman"/>
                <w:sz w:val="20"/>
                <w:szCs w:val="20"/>
              </w:rPr>
            </w:pPr>
          </w:p>
        </w:tc>
        <w:tc>
          <w:tcPr>
            <w:tcW w:w="1800" w:type="dxa"/>
            <w:tcBorders>
              <w:top w:val="nil"/>
              <w:left w:val="nil"/>
              <w:bottom w:val="nil"/>
              <w:right w:val="nil"/>
            </w:tcBorders>
            <w:shd w:val="clear" w:color="auto" w:fill="auto"/>
            <w:noWrap/>
            <w:vAlign w:val="bottom"/>
            <w:hideMark/>
          </w:tcPr>
          <w:p w14:paraId="2F2660C7" w14:textId="77777777" w:rsidR="00C57D01" w:rsidRDefault="00C57D01" w:rsidP="00945402">
            <w:pPr>
              <w:rPr>
                <w:rFonts w:eastAsia="Times New Roman"/>
                <w:b/>
                <w:bCs/>
                <w:color w:val="000000"/>
                <w:sz w:val="22"/>
                <w:szCs w:val="22"/>
              </w:rPr>
            </w:pPr>
          </w:p>
          <w:p w14:paraId="6E5B84F0" w14:textId="77777777" w:rsidR="00C57D01" w:rsidRPr="00833637" w:rsidRDefault="00C57D01" w:rsidP="00945402">
            <w:pPr>
              <w:jc w:val="right"/>
              <w:rPr>
                <w:rFonts w:ascii="Times New Roman" w:eastAsia="Times New Roman" w:hAnsi="Times New Roman" w:cs="Times New Roman"/>
                <w:sz w:val="20"/>
                <w:szCs w:val="20"/>
              </w:rPr>
            </w:pPr>
            <w:r w:rsidRPr="00833637">
              <w:rPr>
                <w:rFonts w:eastAsia="Times New Roman"/>
                <w:b/>
                <w:bCs/>
                <w:color w:val="000000"/>
                <w:sz w:val="22"/>
                <w:szCs w:val="22"/>
              </w:rPr>
              <w:t>Risk-weighted cost of infection</w:t>
            </w:r>
            <w:r>
              <w:rPr>
                <w:rFonts w:eastAsia="Times New Roman"/>
                <w:b/>
                <w:bCs/>
                <w:color w:val="000000"/>
                <w:sz w:val="22"/>
                <w:szCs w:val="22"/>
              </w:rPr>
              <w:t xml:space="preserve"> (mortality risk)</w:t>
            </w:r>
          </w:p>
        </w:tc>
        <w:tc>
          <w:tcPr>
            <w:tcW w:w="2970" w:type="dxa"/>
            <w:tcBorders>
              <w:top w:val="nil"/>
              <w:left w:val="nil"/>
              <w:bottom w:val="nil"/>
              <w:right w:val="nil"/>
            </w:tcBorders>
            <w:shd w:val="clear" w:color="auto" w:fill="auto"/>
            <w:noWrap/>
            <w:vAlign w:val="bottom"/>
            <w:hideMark/>
          </w:tcPr>
          <w:p w14:paraId="4807D270" w14:textId="77777777" w:rsidR="00C57D01" w:rsidRPr="00833637" w:rsidRDefault="00C57D01" w:rsidP="00945402">
            <w:pPr>
              <w:rPr>
                <w:rFonts w:eastAsia="Times New Roman"/>
                <w:b/>
                <w:bCs/>
                <w:color w:val="000000"/>
                <w:sz w:val="22"/>
                <w:szCs w:val="22"/>
              </w:rPr>
            </w:pPr>
            <w:r>
              <w:rPr>
                <w:rFonts w:eastAsia="Times New Roman"/>
                <w:b/>
                <w:bCs/>
                <w:color w:val="000000"/>
                <w:sz w:val="22"/>
                <w:szCs w:val="22"/>
              </w:rPr>
              <w:t>Risk-</w:t>
            </w:r>
            <w:r w:rsidRPr="00833637">
              <w:rPr>
                <w:rFonts w:eastAsia="Times New Roman"/>
                <w:b/>
                <w:bCs/>
                <w:color w:val="000000"/>
                <w:sz w:val="22"/>
                <w:szCs w:val="22"/>
              </w:rPr>
              <w:t>equivalent drunk driving distance (mi)</w:t>
            </w:r>
          </w:p>
        </w:tc>
      </w:tr>
      <w:tr w:rsidR="00C57D01" w:rsidRPr="00833637" w14:paraId="1C3577CC" w14:textId="77777777" w:rsidTr="00945402">
        <w:trPr>
          <w:trHeight w:val="261"/>
        </w:trPr>
        <w:tc>
          <w:tcPr>
            <w:tcW w:w="573" w:type="dxa"/>
            <w:tcBorders>
              <w:top w:val="nil"/>
              <w:left w:val="nil"/>
              <w:bottom w:val="nil"/>
              <w:right w:val="nil"/>
            </w:tcBorders>
            <w:shd w:val="clear" w:color="auto" w:fill="auto"/>
            <w:noWrap/>
            <w:vAlign w:val="bottom"/>
            <w:hideMark/>
          </w:tcPr>
          <w:p w14:paraId="5EDF348A" w14:textId="77777777" w:rsidR="00C57D01" w:rsidRPr="00833637" w:rsidRDefault="00C57D01" w:rsidP="00945402">
            <w:pPr>
              <w:ind w:firstLineChars="100" w:firstLine="221"/>
              <w:rPr>
                <w:rFonts w:eastAsia="Times New Roman"/>
                <w:b/>
                <w:bCs/>
                <w:color w:val="000000"/>
                <w:sz w:val="22"/>
                <w:szCs w:val="22"/>
              </w:rPr>
            </w:pPr>
          </w:p>
        </w:tc>
        <w:tc>
          <w:tcPr>
            <w:tcW w:w="3674" w:type="dxa"/>
            <w:tcBorders>
              <w:top w:val="nil"/>
              <w:left w:val="nil"/>
              <w:bottom w:val="nil"/>
              <w:right w:val="nil"/>
            </w:tcBorders>
            <w:shd w:val="clear" w:color="auto" w:fill="auto"/>
            <w:noWrap/>
            <w:vAlign w:val="center"/>
            <w:hideMark/>
          </w:tcPr>
          <w:p w14:paraId="33EF74F7" w14:textId="77777777" w:rsidR="00C57D01" w:rsidRPr="00833637" w:rsidRDefault="00C57D01" w:rsidP="00945402">
            <w:pPr>
              <w:rPr>
                <w:rFonts w:eastAsia="Times New Roman"/>
                <w:b/>
                <w:bCs/>
                <w:color w:val="000000"/>
                <w:sz w:val="22"/>
                <w:szCs w:val="22"/>
              </w:rPr>
            </w:pPr>
            <w:r>
              <w:rPr>
                <w:rFonts w:eastAsia="Times New Roman"/>
                <w:b/>
                <w:bCs/>
                <w:color w:val="000000"/>
                <w:sz w:val="22"/>
                <w:szCs w:val="22"/>
              </w:rPr>
              <w:t>F</w:t>
            </w:r>
            <w:r w:rsidRPr="00833637">
              <w:rPr>
                <w:rFonts w:eastAsia="Times New Roman"/>
                <w:b/>
                <w:bCs/>
                <w:color w:val="000000"/>
                <w:sz w:val="22"/>
                <w:szCs w:val="22"/>
              </w:rPr>
              <w:t>or a 25-year</w:t>
            </w:r>
            <w:r>
              <w:rPr>
                <w:rFonts w:eastAsia="Times New Roman"/>
                <w:b/>
                <w:bCs/>
                <w:color w:val="000000"/>
                <w:sz w:val="22"/>
                <w:szCs w:val="22"/>
              </w:rPr>
              <w:t>-</w:t>
            </w:r>
            <w:r w:rsidRPr="00833637">
              <w:rPr>
                <w:rFonts w:eastAsia="Times New Roman"/>
                <w:b/>
                <w:bCs/>
                <w:color w:val="000000"/>
                <w:sz w:val="22"/>
                <w:szCs w:val="22"/>
              </w:rPr>
              <w:t>old</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6F19D" w14:textId="77777777" w:rsidR="00C57D01" w:rsidRDefault="00C57D01" w:rsidP="00945402">
            <w:pPr>
              <w:jc w:val="center"/>
              <w:rPr>
                <w:rFonts w:eastAsia="Times New Roman"/>
                <w:color w:val="000000"/>
                <w:sz w:val="22"/>
                <w:szCs w:val="22"/>
              </w:rPr>
            </w:pPr>
            <w:r>
              <w:rPr>
                <w:color w:val="000000"/>
                <w:sz w:val="22"/>
                <w:szCs w:val="22"/>
              </w:rPr>
              <w:t>0.0025%</w:t>
            </w:r>
          </w:p>
        </w:tc>
        <w:tc>
          <w:tcPr>
            <w:tcW w:w="2970" w:type="dxa"/>
            <w:tcBorders>
              <w:top w:val="single" w:sz="4" w:space="0" w:color="auto"/>
              <w:left w:val="nil"/>
              <w:bottom w:val="single" w:sz="4" w:space="0" w:color="auto"/>
              <w:right w:val="single" w:sz="4" w:space="0" w:color="auto"/>
            </w:tcBorders>
            <w:shd w:val="clear" w:color="auto" w:fill="auto"/>
            <w:noWrap/>
            <w:vAlign w:val="bottom"/>
            <w:hideMark/>
          </w:tcPr>
          <w:p w14:paraId="7C4FCB41" w14:textId="43A12C8A" w:rsidR="00C57D01" w:rsidRDefault="00C57D01" w:rsidP="00945402">
            <w:pPr>
              <w:jc w:val="center"/>
              <w:rPr>
                <w:rFonts w:eastAsia="Times New Roman"/>
                <w:color w:val="000000"/>
                <w:sz w:val="22"/>
                <w:szCs w:val="22"/>
              </w:rPr>
            </w:pPr>
            <w:r>
              <w:rPr>
                <w:color w:val="000000"/>
                <w:sz w:val="22"/>
                <w:szCs w:val="22"/>
              </w:rPr>
              <w:t xml:space="preserve">12,301 </w:t>
            </w:r>
            <w:r>
              <w:rPr>
                <w:color w:val="000000"/>
                <w:sz w:val="22"/>
                <w:szCs w:val="22"/>
              </w:rPr>
              <w:fldChar w:fldCharType="begin"/>
            </w:r>
            <w:r w:rsidR="000C1E68">
              <w:rPr>
                <w:color w:val="000000"/>
                <w:sz w:val="22"/>
                <w:szCs w:val="22"/>
              </w:rPr>
              <w:instrText xml:space="preserve"> ADDIN ZOTERO_ITEM CSL_CITATION {"citationID":"u6cBrXjd","properties":{"formattedCitation":"[6]","plainCitation":"[6]","noteIndex":0},"citationItems":[{"id":5865,"uris":["http://zotero.org/users/3776105/items/7S46CWWD"],"uri":["http://zotero.org/users/3776105/items/7S46CWWD"],"itemData":{"id":5865,"type":"article","publisher":"Department of Transportation","title":"2018 Data: Alcohol-Impaired Driving. NHTSA's Center for Statistics and Analysis.","URL":"https://crashstats.nhtsa.dot.gov/Api/Public/ViewPublication/812864","accessed":{"date-parts":[["2020",12,22]]}}}],"schema":"https://github.com/citation-style-language/schema/raw/master/csl-citation.json"} </w:instrText>
            </w:r>
            <w:r>
              <w:rPr>
                <w:color w:val="000000"/>
                <w:sz w:val="22"/>
                <w:szCs w:val="22"/>
              </w:rPr>
              <w:fldChar w:fldCharType="separate"/>
            </w:r>
            <w:r w:rsidR="000C1E68">
              <w:rPr>
                <w:color w:val="000000"/>
                <w:sz w:val="22"/>
              </w:rPr>
              <w:t>[6]</w:t>
            </w:r>
            <w:r>
              <w:rPr>
                <w:color w:val="000000"/>
                <w:sz w:val="22"/>
                <w:szCs w:val="22"/>
              </w:rPr>
              <w:fldChar w:fldCharType="end"/>
            </w:r>
          </w:p>
        </w:tc>
      </w:tr>
      <w:tr w:rsidR="00C57D01" w:rsidRPr="00833637" w14:paraId="36D47BC3" w14:textId="77777777" w:rsidTr="00945402">
        <w:trPr>
          <w:trHeight w:val="59"/>
        </w:trPr>
        <w:tc>
          <w:tcPr>
            <w:tcW w:w="573" w:type="dxa"/>
            <w:tcBorders>
              <w:top w:val="nil"/>
              <w:left w:val="nil"/>
              <w:bottom w:val="nil"/>
              <w:right w:val="nil"/>
            </w:tcBorders>
            <w:shd w:val="clear" w:color="auto" w:fill="auto"/>
            <w:noWrap/>
            <w:vAlign w:val="bottom"/>
            <w:hideMark/>
          </w:tcPr>
          <w:p w14:paraId="4A419843" w14:textId="77777777" w:rsidR="00C57D01" w:rsidRPr="00833637" w:rsidRDefault="00C57D01" w:rsidP="00945402">
            <w:pPr>
              <w:rPr>
                <w:rFonts w:eastAsia="Times New Roman"/>
                <w:color w:val="000000"/>
                <w:sz w:val="22"/>
                <w:szCs w:val="22"/>
              </w:rPr>
            </w:pPr>
          </w:p>
        </w:tc>
        <w:tc>
          <w:tcPr>
            <w:tcW w:w="3674" w:type="dxa"/>
            <w:tcBorders>
              <w:top w:val="nil"/>
              <w:left w:val="nil"/>
              <w:bottom w:val="nil"/>
              <w:right w:val="nil"/>
            </w:tcBorders>
            <w:shd w:val="clear" w:color="auto" w:fill="auto"/>
            <w:noWrap/>
            <w:vAlign w:val="center"/>
            <w:hideMark/>
          </w:tcPr>
          <w:p w14:paraId="517B234C" w14:textId="77777777" w:rsidR="00C57D01" w:rsidRPr="00833637" w:rsidRDefault="00C57D01" w:rsidP="00945402">
            <w:pPr>
              <w:rPr>
                <w:rFonts w:eastAsia="Times New Roman"/>
                <w:b/>
                <w:bCs/>
                <w:color w:val="000000"/>
                <w:sz w:val="22"/>
                <w:szCs w:val="22"/>
              </w:rPr>
            </w:pPr>
            <w:r>
              <w:rPr>
                <w:rFonts w:eastAsia="Times New Roman"/>
                <w:b/>
                <w:bCs/>
                <w:color w:val="000000"/>
                <w:sz w:val="22"/>
                <w:szCs w:val="22"/>
              </w:rPr>
              <w:t>For a 75-year-old</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C05F618" w14:textId="77777777" w:rsidR="00C57D01" w:rsidRDefault="00C57D01" w:rsidP="00945402">
            <w:pPr>
              <w:jc w:val="center"/>
              <w:rPr>
                <w:color w:val="000000"/>
                <w:sz w:val="22"/>
                <w:szCs w:val="22"/>
              </w:rPr>
            </w:pPr>
            <w:r>
              <w:rPr>
                <w:color w:val="000000"/>
                <w:sz w:val="22"/>
                <w:szCs w:val="22"/>
              </w:rPr>
              <w:t>5.26%</w:t>
            </w:r>
          </w:p>
        </w:tc>
        <w:tc>
          <w:tcPr>
            <w:tcW w:w="2970" w:type="dxa"/>
            <w:tcBorders>
              <w:top w:val="nil"/>
              <w:left w:val="nil"/>
              <w:bottom w:val="single" w:sz="4" w:space="0" w:color="auto"/>
              <w:right w:val="single" w:sz="4" w:space="0" w:color="auto"/>
            </w:tcBorders>
            <w:shd w:val="clear" w:color="auto" w:fill="auto"/>
            <w:noWrap/>
            <w:vAlign w:val="bottom"/>
            <w:hideMark/>
          </w:tcPr>
          <w:p w14:paraId="0BBEEE9C" w14:textId="0D371496" w:rsidR="00C57D01" w:rsidRDefault="00C57D01" w:rsidP="00945402">
            <w:pPr>
              <w:jc w:val="center"/>
              <w:rPr>
                <w:color w:val="000000"/>
                <w:sz w:val="22"/>
                <w:szCs w:val="22"/>
              </w:rPr>
            </w:pPr>
            <w:r>
              <w:rPr>
                <w:color w:val="000000"/>
                <w:sz w:val="22"/>
                <w:szCs w:val="22"/>
              </w:rPr>
              <w:t xml:space="preserve">26,139,277 </w:t>
            </w:r>
            <w:r>
              <w:rPr>
                <w:color w:val="000000"/>
                <w:sz w:val="22"/>
                <w:szCs w:val="22"/>
              </w:rPr>
              <w:fldChar w:fldCharType="begin"/>
            </w:r>
            <w:r w:rsidR="000C1E68">
              <w:rPr>
                <w:color w:val="000000"/>
                <w:sz w:val="22"/>
                <w:szCs w:val="22"/>
              </w:rPr>
              <w:instrText xml:space="preserve"> ADDIN ZOTERO_ITEM CSL_CITATION {"citationID":"KW92FmWL","properties":{"formattedCitation":"[6]","plainCitation":"[6]","noteIndex":0},"citationItems":[{"id":5865,"uris":["http://zotero.org/users/3776105/items/7S46CWWD"],"uri":["http://zotero.org/users/3776105/items/7S46CWWD"],"itemData":{"id":5865,"type":"article","publisher":"Department of Transportation","title":"2018 Data: Alcohol-Impaired Driving. NHTSA's Center for Statistics and Analysis.","URL":"https://crashstats.nhtsa.dot.gov/Api/Public/ViewPublication/812864","accessed":{"date-parts":[["2020",12,22]]}}}],"schema":"https://github.com/citation-style-language/schema/raw/master/csl-citation.json"} </w:instrText>
            </w:r>
            <w:r>
              <w:rPr>
                <w:color w:val="000000"/>
                <w:sz w:val="22"/>
                <w:szCs w:val="22"/>
              </w:rPr>
              <w:fldChar w:fldCharType="separate"/>
            </w:r>
            <w:r w:rsidR="000C1E68">
              <w:rPr>
                <w:color w:val="000000"/>
                <w:sz w:val="22"/>
              </w:rPr>
              <w:t>[6]</w:t>
            </w:r>
            <w:r>
              <w:rPr>
                <w:color w:val="000000"/>
                <w:sz w:val="22"/>
                <w:szCs w:val="22"/>
              </w:rPr>
              <w:fldChar w:fldCharType="end"/>
            </w:r>
          </w:p>
        </w:tc>
      </w:tr>
    </w:tbl>
    <w:p w14:paraId="221D75E4" w14:textId="5F40758E" w:rsidR="00B25CE3" w:rsidRDefault="00B25CE3" w:rsidP="00C57D01">
      <w:r>
        <w:t>The risk of infection for a 25-year-old resulting from a decision to not wear a mask during interactions with 100 people is equivalent to driving about one year (12,000 miles) while intoxicated.</w:t>
      </w:r>
    </w:p>
    <w:p w14:paraId="109CBE4F" w14:textId="6AB691A6" w:rsidR="00C57D01" w:rsidRDefault="00C57D01" w:rsidP="00C57D01"/>
    <w:p w14:paraId="683DA7B3" w14:textId="6BEEEEF9" w:rsidR="00C57D01" w:rsidRPr="00A35B07" w:rsidRDefault="00B25CE3" w:rsidP="00C57D01">
      <w:r w:rsidRPr="00FB5B7E">
        <w:rPr>
          <w:noProof/>
        </w:rPr>
        <w:lastRenderedPageBreak/>
        <mc:AlternateContent>
          <mc:Choice Requires="wps">
            <w:drawing>
              <wp:anchor distT="0" distB="0" distL="114300" distR="114300" simplePos="0" relativeHeight="251663360" behindDoc="0" locked="0" layoutInCell="1" allowOverlap="1" wp14:anchorId="60C68602" wp14:editId="04258845">
                <wp:simplePos x="0" y="0"/>
                <wp:positionH relativeFrom="column">
                  <wp:posOffset>-104001</wp:posOffset>
                </wp:positionH>
                <wp:positionV relativeFrom="paragraph">
                  <wp:posOffset>2026440</wp:posOffset>
                </wp:positionV>
                <wp:extent cx="348615" cy="3016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48615" cy="301625"/>
                        </a:xfrm>
                        <a:prstGeom prst="rect">
                          <a:avLst/>
                        </a:prstGeom>
                        <a:noFill/>
                        <a:ln w="6350">
                          <a:noFill/>
                        </a:ln>
                      </wps:spPr>
                      <wps:txbx>
                        <w:txbxContent>
                          <w:p w14:paraId="6AD69A49" w14:textId="77777777" w:rsidR="00FB5B7E" w:rsidRDefault="00FB5B7E" w:rsidP="00FB5B7E">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C68602" id="_x0000_t202" coordsize="21600,21600" o:spt="202" path="m,l,21600r21600,l21600,xe">
                <v:stroke joinstyle="miter"/>
                <v:path gradientshapeok="t" o:connecttype="rect"/>
              </v:shapetype>
              <v:shape id="Text Box 20" o:spid="_x0000_s1026" type="#_x0000_t202" style="position:absolute;margin-left:-8.2pt;margin-top:159.55pt;width:27.45pt;height:23.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" filled="f" stroked="f" strokeweight=".5pt">
                <v:textbox>
                  <w:txbxContent>
                    <w:p w14:paraId="6AD69A49" w14:textId="77777777" w:rsidR="00FB5B7E" w:rsidRDefault="00FB5B7E" w:rsidP="00FB5B7E">
                      <w:r>
                        <w:t>C</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319CBFF" wp14:editId="33929764">
                <wp:simplePos x="0" y="0"/>
                <wp:positionH relativeFrom="column">
                  <wp:posOffset>2874490</wp:posOffset>
                </wp:positionH>
                <wp:positionV relativeFrom="paragraph">
                  <wp:posOffset>-104140</wp:posOffset>
                </wp:positionV>
                <wp:extent cx="348792" cy="263866"/>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48792" cy="263866"/>
                        </a:xfrm>
                        <a:prstGeom prst="rect">
                          <a:avLst/>
                        </a:prstGeom>
                        <a:noFill/>
                        <a:ln w="6350">
                          <a:noFill/>
                        </a:ln>
                      </wps:spPr>
                      <wps:txbx>
                        <w:txbxContent>
                          <w:p w14:paraId="1915CB26" w14:textId="77777777" w:rsidR="00FB5B7E" w:rsidRDefault="00FB5B7E" w:rsidP="00FB5B7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19CBFF" id="Text Box 19" o:spid="_x0000_s1027" type="#_x0000_t202" style="position:absolute;margin-left:226.35pt;margin-top:-8.2pt;width:27.45pt;height:20.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" filled="f" stroked="f" strokeweight=".5pt">
                <v:textbox>
                  <w:txbxContent>
                    <w:p w14:paraId="1915CB26" w14:textId="77777777" w:rsidR="00FB5B7E" w:rsidRDefault="00FB5B7E" w:rsidP="00FB5B7E">
                      <w:r>
                        <w:t>B</w:t>
                      </w:r>
                    </w:p>
                  </w:txbxContent>
                </v:textbox>
              </v:shape>
            </w:pict>
          </mc:Fallback>
        </mc:AlternateContent>
      </w:r>
      <w:r w:rsidRPr="00FB5B7E">
        <w:rPr>
          <w:noProof/>
        </w:rPr>
        <mc:AlternateContent>
          <mc:Choice Requires="wps">
            <w:drawing>
              <wp:anchor distT="0" distB="0" distL="114300" distR="114300" simplePos="0" relativeHeight="251664384" behindDoc="0" locked="0" layoutInCell="1" allowOverlap="1" wp14:anchorId="6A6E83EE" wp14:editId="61F74846">
                <wp:simplePos x="0" y="0"/>
                <wp:positionH relativeFrom="column">
                  <wp:posOffset>2877170</wp:posOffset>
                </wp:positionH>
                <wp:positionV relativeFrom="paragraph">
                  <wp:posOffset>1990508</wp:posOffset>
                </wp:positionV>
                <wp:extent cx="348792" cy="263866"/>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48792" cy="263866"/>
                        </a:xfrm>
                        <a:prstGeom prst="rect">
                          <a:avLst/>
                        </a:prstGeom>
                        <a:noFill/>
                        <a:ln w="6350">
                          <a:noFill/>
                        </a:ln>
                      </wps:spPr>
                      <wps:txbx>
                        <w:txbxContent>
                          <w:p w14:paraId="34DA50ED" w14:textId="77777777" w:rsidR="00FB5B7E" w:rsidRDefault="00FB5B7E" w:rsidP="00FB5B7E">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6E83EE" id="Text Box 21" o:spid="_x0000_s1028" type="#_x0000_t202" style="position:absolute;margin-left:226.55pt;margin-top:156.75pt;width:27.45pt;height:20.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" filled="f" stroked="f" strokeweight=".5pt">
                <v:textbox>
                  <w:txbxContent>
                    <w:p w14:paraId="34DA50ED" w14:textId="77777777" w:rsidR="00FB5B7E" w:rsidRDefault="00FB5B7E" w:rsidP="00FB5B7E">
                      <w:r>
                        <w:t>D</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757E72F" wp14:editId="4BEA3A83">
                <wp:simplePos x="0" y="0"/>
                <wp:positionH relativeFrom="column">
                  <wp:posOffset>-106680</wp:posOffset>
                </wp:positionH>
                <wp:positionV relativeFrom="paragraph">
                  <wp:posOffset>-95250</wp:posOffset>
                </wp:positionV>
                <wp:extent cx="348615" cy="3016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48615" cy="301625"/>
                        </a:xfrm>
                        <a:prstGeom prst="rect">
                          <a:avLst/>
                        </a:prstGeom>
                        <a:noFill/>
                        <a:ln w="6350">
                          <a:noFill/>
                        </a:ln>
                      </wps:spPr>
                      <wps:txbx>
                        <w:txbxContent>
                          <w:p w14:paraId="673F4B00" w14:textId="77777777" w:rsidR="00FB5B7E" w:rsidRDefault="00FB5B7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57E72F" id="Text Box 16" o:spid="_x0000_s1029" type="#_x0000_t202" style="position:absolute;margin-left:-8.4pt;margin-top:-7.5pt;width:27.45pt;height:2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" filled="f" stroked="f" strokeweight=".5pt">
                <v:textbox>
                  <w:txbxContent>
                    <w:p w14:paraId="673F4B00" w14:textId="77777777" w:rsidR="00FB5B7E" w:rsidRDefault="00FB5B7E">
                      <w:r>
                        <w:t>A</w:t>
                      </w:r>
                    </w:p>
                  </w:txbxContent>
                </v:textbox>
              </v:shape>
            </w:pict>
          </mc:Fallback>
        </mc:AlternateContent>
      </w:r>
      <w:r w:rsidR="00C57D01" w:rsidRPr="00A35B07">
        <w:rPr>
          <w:b/>
          <w:noProof/>
        </w:rPr>
        <w:drawing>
          <wp:inline distT="0" distB="0" distL="0" distR="0" wp14:anchorId="17AEBDE7" wp14:editId="25B7F381">
            <wp:extent cx="5943600" cy="4178935"/>
            <wp:effectExtent l="0" t="0" r="0" b="0"/>
            <wp:docPr id="13" name="Picture 13"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chart, line chart&#10;&#10;Description automatically generated"/>
                    <pic:cNvPicPr/>
                  </pic:nvPicPr>
                  <pic:blipFill>
                    <a:blip r:embed="rId4"/>
                    <a:stretch>
                      <a:fillRect/>
                    </a:stretch>
                  </pic:blipFill>
                  <pic:spPr>
                    <a:xfrm>
                      <a:off x="0" y="0"/>
                      <a:ext cx="5943600" cy="4178935"/>
                    </a:xfrm>
                    <a:prstGeom prst="rect">
                      <a:avLst/>
                    </a:prstGeom>
                  </pic:spPr>
                </pic:pic>
              </a:graphicData>
            </a:graphic>
          </wp:inline>
        </w:drawing>
      </w:r>
    </w:p>
    <w:p w14:paraId="2057776A" w14:textId="77777777" w:rsidR="00C57D01" w:rsidRDefault="00C57D01" w:rsidP="00C57D01">
      <w:pPr>
        <w:rPr>
          <w:b/>
        </w:rPr>
      </w:pPr>
    </w:p>
    <w:p w14:paraId="568CDADF" w14:textId="77777777" w:rsidR="00C57D01" w:rsidRDefault="00C57D01" w:rsidP="00C57D01">
      <w:pPr>
        <w:rPr>
          <w:b/>
        </w:rPr>
      </w:pPr>
    </w:p>
    <w:p w14:paraId="74B59425" w14:textId="77777777" w:rsidR="00C57D01" w:rsidRDefault="00C57D01" w:rsidP="00C57D01">
      <w:r>
        <w:rPr>
          <w:b/>
        </w:rPr>
        <w:t>Figure S1:</w:t>
      </w:r>
      <w:r>
        <w:t xml:space="preserve"> The marginal cost of noncompliance is highest as complete suppression is approached. Millions of additional yearly US cases per 1% reduction in compliance, as a function of the fraction of noncompliant individuals in the population for an intervention that is (A) 50% effective, (B) 70% effective, (C) 90% effective, or (D) 95% effective.</w:t>
      </w:r>
      <w:r>
        <w:br w:type="page"/>
      </w:r>
    </w:p>
    <w:p w14:paraId="7501484C" w14:textId="77777777" w:rsidR="00C57D01" w:rsidRDefault="00C57D01" w:rsidP="00C57D01">
      <w:r w:rsidRPr="00A35B07">
        <w:rPr>
          <w:noProof/>
        </w:rPr>
        <w:lastRenderedPageBreak/>
        <w:drawing>
          <wp:inline distT="0" distB="0" distL="0" distR="0" wp14:anchorId="1D055244" wp14:editId="7031A93B">
            <wp:extent cx="5943600" cy="2225675"/>
            <wp:effectExtent l="0" t="0" r="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5"/>
                    <a:stretch>
                      <a:fillRect/>
                    </a:stretch>
                  </pic:blipFill>
                  <pic:spPr>
                    <a:xfrm>
                      <a:off x="0" y="0"/>
                      <a:ext cx="5943600" cy="2225675"/>
                    </a:xfrm>
                    <a:prstGeom prst="rect">
                      <a:avLst/>
                    </a:prstGeom>
                  </pic:spPr>
                </pic:pic>
              </a:graphicData>
            </a:graphic>
          </wp:inline>
        </w:drawing>
      </w:r>
    </w:p>
    <w:p w14:paraId="4D3F8B5D" w14:textId="77777777" w:rsidR="00C57D01" w:rsidRDefault="00C57D01" w:rsidP="00C57D01"/>
    <w:p w14:paraId="19D23D16" w14:textId="77777777" w:rsidR="00C57D01" w:rsidRPr="00DC3E48" w:rsidRDefault="00C57D01" w:rsidP="00C57D01">
      <w:r>
        <w:rPr>
          <w:b/>
        </w:rPr>
        <w:t>Figure S2:</w:t>
      </w:r>
      <w:r>
        <w:t xml:space="preserve"> Attainability of complete suppression depends on R</w:t>
      </w:r>
      <w:r w:rsidRPr="00114CA8">
        <w:rPr>
          <w:vertAlign w:val="subscript"/>
        </w:rPr>
        <w:t>0</w:t>
      </w:r>
      <w:r>
        <w:t xml:space="preserve"> and effectiveness of the intervention. Yearly US cases as a function of compliance for hypothetical scenarios in which R</w:t>
      </w:r>
      <w:r>
        <w:rPr>
          <w:vertAlign w:val="subscript"/>
        </w:rPr>
        <w:t>0</w:t>
      </w:r>
      <w:r>
        <w:t xml:space="preserve"> = 2, 3, 4 or 5.7. </w:t>
      </w:r>
    </w:p>
    <w:p w14:paraId="317E47B7" w14:textId="77777777" w:rsidR="00C57D01" w:rsidRDefault="00C57D01" w:rsidP="00C57D01"/>
    <w:p w14:paraId="5491FF56" w14:textId="77777777" w:rsidR="00C57D01" w:rsidRDefault="00C57D01" w:rsidP="00C57D01"/>
    <w:p w14:paraId="7FFD677F" w14:textId="77777777" w:rsidR="00C57D01" w:rsidRDefault="00C57D01" w:rsidP="00C57D01"/>
    <w:p w14:paraId="37786A80" w14:textId="77777777" w:rsidR="00C57D01" w:rsidRDefault="00C57D01" w:rsidP="00C57D01"/>
    <w:p w14:paraId="219A719D" w14:textId="77777777" w:rsidR="00C57D01" w:rsidRDefault="00C57D01" w:rsidP="00C57D01">
      <w:r w:rsidRPr="00C92EEA">
        <w:rPr>
          <w:noProof/>
        </w:rPr>
        <w:drawing>
          <wp:inline distT="0" distB="0" distL="0" distR="0" wp14:anchorId="3C3634EB" wp14:editId="0698F836">
            <wp:extent cx="5943600" cy="2030095"/>
            <wp:effectExtent l="0" t="0" r="0" b="1905"/>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pic:nvPicPr>
                  <pic:blipFill>
                    <a:blip r:embed="rId6"/>
                    <a:stretch>
                      <a:fillRect/>
                    </a:stretch>
                  </pic:blipFill>
                  <pic:spPr>
                    <a:xfrm>
                      <a:off x="0" y="0"/>
                      <a:ext cx="5943600" cy="2030095"/>
                    </a:xfrm>
                    <a:prstGeom prst="rect">
                      <a:avLst/>
                    </a:prstGeom>
                  </pic:spPr>
                </pic:pic>
              </a:graphicData>
            </a:graphic>
          </wp:inline>
        </w:drawing>
      </w:r>
    </w:p>
    <w:p w14:paraId="3D0567F5" w14:textId="77777777" w:rsidR="00C57D01" w:rsidRDefault="00C57D01" w:rsidP="00C57D01"/>
    <w:p w14:paraId="1371E644" w14:textId="77777777" w:rsidR="00C57D01" w:rsidRDefault="00C57D01" w:rsidP="00C57D01">
      <w:r>
        <w:rPr>
          <w:b/>
        </w:rPr>
        <w:t>Figure S3:</w:t>
      </w:r>
      <w:r>
        <w:t xml:space="preserve"> Duration of natural immunity impacts yearly disease burden but not the compliance threshold for complete suppression. Yearly predicted US cases at steady-state under a range of assumptions about the duration of natural immunity.</w:t>
      </w:r>
    </w:p>
    <w:p w14:paraId="139B8464" w14:textId="77777777" w:rsidR="00C57D01" w:rsidRDefault="00C57D01" w:rsidP="00C57D01">
      <w:r>
        <w:br w:type="page"/>
      </w:r>
    </w:p>
    <w:p w14:paraId="5032A0F5" w14:textId="77777777" w:rsidR="00C57D01" w:rsidRDefault="00C57D01" w:rsidP="00C57D01">
      <w:r>
        <w:rPr>
          <w:noProof/>
        </w:rPr>
        <w:lastRenderedPageBreak/>
        <w:drawing>
          <wp:inline distT="0" distB="0" distL="0" distR="0" wp14:anchorId="3576E51E" wp14:editId="2D407DE6">
            <wp:extent cx="5943600" cy="3705225"/>
            <wp:effectExtent l="0" t="0" r="0" b="0"/>
            <wp:docPr id="11" name="image2.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2.png" descr="Chart, scatter chart&#10;&#10;Description automatically generated"/>
                    <pic:cNvPicPr preferRelativeResize="0"/>
                  </pic:nvPicPr>
                  <pic:blipFill>
                    <a:blip r:embed="rId7"/>
                    <a:srcRect/>
                    <a:stretch>
                      <a:fillRect/>
                    </a:stretch>
                  </pic:blipFill>
                  <pic:spPr>
                    <a:xfrm>
                      <a:off x="0" y="0"/>
                      <a:ext cx="5943600" cy="3705225"/>
                    </a:xfrm>
                    <a:prstGeom prst="rect">
                      <a:avLst/>
                    </a:prstGeom>
                    <a:ln/>
                  </pic:spPr>
                </pic:pic>
              </a:graphicData>
            </a:graphic>
          </wp:inline>
        </w:drawing>
      </w:r>
    </w:p>
    <w:p w14:paraId="4155AC6C" w14:textId="77777777" w:rsidR="00C57D01" w:rsidRDefault="00C57D01" w:rsidP="00C57D01"/>
    <w:p w14:paraId="0EC487C6" w14:textId="77777777" w:rsidR="00C57D01" w:rsidRDefault="00C57D01" w:rsidP="00C57D01">
      <w:r>
        <w:rPr>
          <w:noProof/>
        </w:rPr>
        <w:drawing>
          <wp:inline distT="0" distB="0" distL="0" distR="0" wp14:anchorId="1E2ABDC5" wp14:editId="68BEE08B">
            <wp:extent cx="1724025" cy="476250"/>
            <wp:effectExtent l="0" t="0" r="0" b="0"/>
            <wp:docPr id="10" name="image6.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6.png" descr="Table&#10;&#10;Description automatically generated"/>
                    <pic:cNvPicPr preferRelativeResize="0"/>
                  </pic:nvPicPr>
                  <pic:blipFill>
                    <a:blip r:embed="rId8"/>
                    <a:srcRect/>
                    <a:stretch>
                      <a:fillRect/>
                    </a:stretch>
                  </pic:blipFill>
                  <pic:spPr>
                    <a:xfrm>
                      <a:off x="0" y="0"/>
                      <a:ext cx="1724025" cy="476250"/>
                    </a:xfrm>
                    <a:prstGeom prst="rect">
                      <a:avLst/>
                    </a:prstGeom>
                    <a:ln/>
                  </pic:spPr>
                </pic:pic>
              </a:graphicData>
            </a:graphic>
          </wp:inline>
        </w:drawing>
      </w:r>
    </w:p>
    <w:p w14:paraId="249976EC" w14:textId="77777777" w:rsidR="00C57D01" w:rsidRDefault="00C57D01" w:rsidP="00C57D01"/>
    <w:p w14:paraId="2E73F3DB" w14:textId="0989AD0A" w:rsidR="00C57D01" w:rsidRDefault="00C57D01" w:rsidP="00C57D01">
      <w:r w:rsidRPr="00523248">
        <w:rPr>
          <w:b/>
          <w:bCs/>
        </w:rPr>
        <w:t xml:space="preserve">Figure S4: </w:t>
      </w:r>
      <w:r>
        <w:t xml:space="preserve">Association between loose-tight score and COVID-19 cases per capita </w:t>
      </w:r>
      <w:r>
        <w:fldChar w:fldCharType="begin"/>
      </w:r>
      <w:r w:rsidR="000C1E68">
        <w:instrText xml:space="preserve"> ADDIN ZOTERO_ITEM CSL_CITATION {"citationID":"fXfBeKzd","properties":{"formattedCitation":"[7]","plainCitation":"[7]","noteIndex":0},"citationItems":[{"id":5838,"uris":["http://zotero.org/users/3776105/items/I2VRE7RT"],"uri":["http://zotero.org/users/3776105/items/I2VRE7RT"],"itemData":{"id":5838,"type":"article-journal","abstract":"With data from 33 nations, we illustrate the differences between cultures that are tight (have many strong norms and a low tolerance of deviant behavior) versus loose (have weak social norms and a high tolerance of deviant behavior). Tightness-looseness is part of a complex, loosely integrated multilevel system that comprises distal ecological and historical threats (e.g., high population density, resource scarcity, a history of territorial conflict, and disease and environmental threats), broad versus narrow socialization in societal institutions (e.g., autocracy, media regulations), the strength of everyday recurring situations, and micro-level psychological affordances (e.g., prevention self-guides, high regulatory strength, need for structure). This research advances knowledge that can foster cross-cultural understanding in a world of increasing global interdependence and has implications for modeling cultural change.","container-title":"Science (New York, N.Y.)","DOI":"10.1126/science.1197754","ISSN":"1095-9203","issue":"6033","journalAbbreviation":"Science","language":"eng","note":"PMID: 21617077","page":"1100-1104","source":"PubMed","title":"Differences between tight and loose cultures: a 33-nation study","title-short":"Differences between tight and loose cultures","volume":"332","author":[{"family":"Gelfand","given":"Michele J."},{"family":"Raver","given":"Jana L."},{"family":"Nishii","given":"Lisa"},{"family":"Leslie","given":"Lisa M."},{"family":"Lun","given":"Janetta"},{"family":"Lim","given":"Beng Chong"},{"family":"Duan","given":"Lili"},{"family":"Almaliach","given":"Assaf"},{"family":"Ang","given":"Soon"},{"family":"Arnadottir","given":"Jakobina"},{"family":"Aycan","given":"Zeynep"},{"family":"Boehnke","given":"Klaus"},{"family":"Boski","given":"Pawel"},{"family":"Cabecinhas","given":"Rosa"},{"family":"Chan","given":"Darius"},{"family":"Chhokar","given":"Jagdeep"},{"family":"D'Amato","given":"Alessia"},{"family":"Ferrer","given":"Montse"},{"family":"Fischlmayr","given":"Iris C."},{"family":"Fischer","given":"Ronald"},{"family":"Fülöp","given":"Marta"},{"family":"Georgas","given":"James"},{"family":"Kashima","given":"Emiko S."},{"family":"Kashima","given":"Yoshishima"},{"family":"Kim","given":"Kibum"},{"family":"Lempereur","given":"Alain"},{"family":"Marquez","given":"Patricia"},{"family":"Othman","given":"Rozhan"},{"family":"Overlaet","given":"Bert"},{"family":"Panagiotopoulou","given":"Penny"},{"family":"Peltzer","given":"Karl"},{"family":"Perez-Florizno","given":"Lorena R."},{"family":"Ponomarenko","given":"Larisa"},{"family":"Realo","given":"Anu"},{"family":"Schei","given":"Vidar"},{"family":"Schmitt","given":"Manfred"},{"family":"Smith","given":"Peter B."},{"family":"Soomro","given":"Nazar"},{"family":"Szabo","given":"Erna"},{"family":"Taveesin","given":"Nalinee"},{"family":"Toyama","given":"Midori"},{"family":"Van de Vliert","given":"Evert"},{"family":"Vohra","given":"Naharika"},{"family":"Ward","given":"Colleen"},{"family":"Yamaguchi","given":"Susumu"}],"issued":{"date-parts":[["2011",5,27]]}}}],"schema":"https://github.com/citation-style-language/schema/raw/master/csl-citation.json"} </w:instrText>
      </w:r>
      <w:r>
        <w:fldChar w:fldCharType="separate"/>
      </w:r>
      <w:r w:rsidR="000C1E68">
        <w:t>[7]</w:t>
      </w:r>
      <w:r>
        <w:fldChar w:fldCharType="end"/>
      </w:r>
      <w:r>
        <w:t xml:space="preserve">. There is a weak association with loose-tight cultures and total case count observed based on reported case counts as of October. </w:t>
      </w:r>
    </w:p>
    <w:p w14:paraId="22CDE17F" w14:textId="416BCBCE" w:rsidR="00C57D01" w:rsidRDefault="00C57D01" w:rsidP="00C57D01"/>
    <w:p w14:paraId="5F768263" w14:textId="77777777" w:rsidR="00476DA6" w:rsidRDefault="00476DA6" w:rsidP="00C57D01"/>
    <w:p w14:paraId="4F50843A" w14:textId="73A48C7B" w:rsidR="00C57D01" w:rsidRDefault="00476DA6" w:rsidP="00C57D01">
      <w:r w:rsidRPr="00476DA6">
        <w:lastRenderedPageBreak/>
        <w:drawing>
          <wp:inline distT="0" distB="0" distL="0" distR="0" wp14:anchorId="0AAE47F8" wp14:editId="0C1FF7A2">
            <wp:extent cx="5943600" cy="2889250"/>
            <wp:effectExtent l="0" t="0" r="0" b="635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9"/>
                    <a:stretch>
                      <a:fillRect/>
                    </a:stretch>
                  </pic:blipFill>
                  <pic:spPr>
                    <a:xfrm>
                      <a:off x="0" y="0"/>
                      <a:ext cx="5943600" cy="2889250"/>
                    </a:xfrm>
                    <a:prstGeom prst="rect">
                      <a:avLst/>
                    </a:prstGeom>
                  </pic:spPr>
                </pic:pic>
              </a:graphicData>
            </a:graphic>
          </wp:inline>
        </w:drawing>
      </w:r>
    </w:p>
    <w:p w14:paraId="7F9A3F05" w14:textId="492F0154" w:rsidR="00C57D01" w:rsidRDefault="00C57D01" w:rsidP="00C57D01"/>
    <w:p w14:paraId="5B70AE2F" w14:textId="77777777" w:rsidR="00C57D01" w:rsidRDefault="00C57D01" w:rsidP="00C57D01">
      <w:r w:rsidRPr="00226B58">
        <w:rPr>
          <w:b/>
          <w:bCs/>
        </w:rPr>
        <w:t>Figure S5.</w:t>
      </w:r>
      <w:r>
        <w:t xml:space="preserve"> Complement to Figure 2, with simulated 6-month duration of natural immunity.</w:t>
      </w:r>
      <w:r w:rsidRPr="003637BA">
        <w:t xml:space="preserve"> </w:t>
      </w:r>
      <w:r>
        <w:t>Panels A and D represent the fraction of the population, including both compliant and noncompliant individuals, that is susceptible, exposed, infectious, and recovered populations over time after a return to pre-pandemic conditions under (A-C) 95% compliance or (D-F) 50% compliance with a 50% effective intervention. Panels B and E demonstrate the fraction of compliant and noncompliant individuals who are infected over time. Panels C and F demonstrate the cumulative hazard ratio for infection in noncompliant versus compliant individuals.</w:t>
      </w:r>
    </w:p>
    <w:p w14:paraId="0CD71539" w14:textId="77777777" w:rsidR="00C57D01" w:rsidRDefault="00C57D01" w:rsidP="00C57D01"/>
    <w:p w14:paraId="3255DE82" w14:textId="77777777" w:rsidR="00C57D01" w:rsidRDefault="00C57D01" w:rsidP="00C57D01"/>
    <w:p w14:paraId="234600E9" w14:textId="77777777" w:rsidR="00C57D01" w:rsidRDefault="00C57D01" w:rsidP="00C57D01"/>
    <w:p w14:paraId="4F9DC2C2" w14:textId="77777777" w:rsidR="00C57D01" w:rsidRDefault="00C57D01" w:rsidP="00C57D01">
      <w:r w:rsidRPr="00226B58">
        <w:rPr>
          <w:noProof/>
        </w:rPr>
        <w:drawing>
          <wp:inline distT="0" distB="0" distL="0" distR="0" wp14:anchorId="7B62EC17" wp14:editId="1D0838D3">
            <wp:extent cx="5943600" cy="2200910"/>
            <wp:effectExtent l="0" t="0" r="0"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10"/>
                    <a:stretch>
                      <a:fillRect/>
                    </a:stretch>
                  </pic:blipFill>
                  <pic:spPr>
                    <a:xfrm>
                      <a:off x="0" y="0"/>
                      <a:ext cx="5943600" cy="2200910"/>
                    </a:xfrm>
                    <a:prstGeom prst="rect">
                      <a:avLst/>
                    </a:prstGeom>
                  </pic:spPr>
                </pic:pic>
              </a:graphicData>
            </a:graphic>
          </wp:inline>
        </w:drawing>
      </w:r>
    </w:p>
    <w:p w14:paraId="1C1BBD83" w14:textId="583486F9" w:rsidR="00C57D01" w:rsidRDefault="00C57D01" w:rsidP="00C57D01">
      <w:r w:rsidRPr="00226B58">
        <w:rPr>
          <w:b/>
          <w:bCs/>
        </w:rPr>
        <w:t>Figure S6.</w:t>
      </w:r>
      <w:r>
        <w:t xml:space="preserve"> Complement to Figure 3, with simulated 6-month duration of natural immunity. Total US COVID-19 infections in the next year under interventions with varying efficacy and compliance. Black box on panel A </w:t>
      </w:r>
      <w:r w:rsidR="00A7062C">
        <w:t>delineates</w:t>
      </w:r>
      <w:r>
        <w:t xml:space="preserve"> region expanded in panel B. </w:t>
      </w:r>
      <w:r w:rsidR="00B904C1">
        <w:t>Total US infections in p</w:t>
      </w:r>
      <w:r>
        <w:t xml:space="preserve">anel B </w:t>
      </w:r>
      <w:r w:rsidR="00B904C1">
        <w:t>are</w:t>
      </w:r>
      <w:r>
        <w:t xml:space="preserve"> displayed on a log scale.</w:t>
      </w:r>
    </w:p>
    <w:p w14:paraId="6F420242" w14:textId="77777777" w:rsidR="00C57D01" w:rsidRDefault="00C57D01" w:rsidP="00C57D01"/>
    <w:p w14:paraId="525D9C9B" w14:textId="77777777" w:rsidR="00C57D01" w:rsidRDefault="00C57D01" w:rsidP="00C57D01"/>
    <w:p w14:paraId="6C4DBF3F" w14:textId="77777777" w:rsidR="00C57D01" w:rsidRDefault="00C57D01" w:rsidP="00C57D01">
      <w:r w:rsidRPr="00226B58">
        <w:rPr>
          <w:noProof/>
        </w:rPr>
        <w:drawing>
          <wp:inline distT="0" distB="0" distL="0" distR="0" wp14:anchorId="5F78C3E7" wp14:editId="3700592C">
            <wp:extent cx="5943600" cy="2101215"/>
            <wp:effectExtent l="0" t="0" r="0"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11"/>
                    <a:stretch>
                      <a:fillRect/>
                    </a:stretch>
                  </pic:blipFill>
                  <pic:spPr>
                    <a:xfrm>
                      <a:off x="0" y="0"/>
                      <a:ext cx="5943600" cy="2101215"/>
                    </a:xfrm>
                    <a:prstGeom prst="rect">
                      <a:avLst/>
                    </a:prstGeom>
                  </pic:spPr>
                </pic:pic>
              </a:graphicData>
            </a:graphic>
          </wp:inline>
        </w:drawing>
      </w:r>
      <w:r w:rsidRPr="00226B58">
        <w:rPr>
          <w:b/>
          <w:bCs/>
        </w:rPr>
        <w:t>Figure S7.</w:t>
      </w:r>
      <w:r>
        <w:t xml:space="preserve"> Complement to Figure 4, with simulated 6-month duration of natural immunity. Cumulative infections per individual under a 50% or 90% effective intervention. Three scenarios are simulated: full noncompliance, full compliance, and 70% compliance (with outcomes for compliant and noncompliant individuals shown).</w:t>
      </w:r>
    </w:p>
    <w:p w14:paraId="7DAEC506" w14:textId="77777777" w:rsidR="00C57D01" w:rsidRDefault="00C57D01" w:rsidP="00C57D01"/>
    <w:p w14:paraId="34C9822C" w14:textId="77777777" w:rsidR="00C57D01" w:rsidRDefault="00C57D01" w:rsidP="00C57D01"/>
    <w:p w14:paraId="3193A9BA" w14:textId="77777777" w:rsidR="00C57D01" w:rsidRDefault="00C57D01" w:rsidP="00C57D01"/>
    <w:p w14:paraId="08E312F3" w14:textId="77777777" w:rsidR="00C57D01" w:rsidRDefault="00C57D01" w:rsidP="00C57D01"/>
    <w:p w14:paraId="0A5AA79B" w14:textId="77777777" w:rsidR="00C57D01" w:rsidRDefault="00C57D01" w:rsidP="00C57D01">
      <w:r w:rsidRPr="00226B58">
        <w:rPr>
          <w:noProof/>
        </w:rPr>
        <w:drawing>
          <wp:inline distT="0" distB="0" distL="0" distR="0" wp14:anchorId="2369C82D" wp14:editId="2C311BFF">
            <wp:extent cx="4940300" cy="3327400"/>
            <wp:effectExtent l="0" t="0" r="0" b="0"/>
            <wp:docPr id="4" name="Picture 2" descr="Chart&#10;&#10;Description automatically generated">
              <a:extLst xmlns:a="http://schemas.openxmlformats.org/drawingml/2006/main">
                <a:ext uri="{FF2B5EF4-FFF2-40B4-BE49-F238E27FC236}">
                  <a16:creationId xmlns:a16="http://schemas.microsoft.com/office/drawing/2014/main" id="{44F6A25E-CC5F-504C-A3AB-E8CA346D1D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hart&#10;&#10;Description automatically generated">
                      <a:extLst>
                        <a:ext uri="{FF2B5EF4-FFF2-40B4-BE49-F238E27FC236}">
                          <a16:creationId xmlns:a16="http://schemas.microsoft.com/office/drawing/2014/main" id="{44F6A25E-CC5F-504C-A3AB-E8CA346D1D74}"/>
                        </a:ext>
                      </a:extLst>
                    </pic:cNvPr>
                    <pic:cNvPicPr>
                      <a:picLocks noChangeAspect="1"/>
                    </pic:cNvPicPr>
                  </pic:nvPicPr>
                  <pic:blipFill>
                    <a:blip r:embed="rId12"/>
                    <a:stretch>
                      <a:fillRect/>
                    </a:stretch>
                  </pic:blipFill>
                  <pic:spPr>
                    <a:xfrm>
                      <a:off x="0" y="0"/>
                      <a:ext cx="4940300" cy="3327400"/>
                    </a:xfrm>
                    <a:prstGeom prst="rect">
                      <a:avLst/>
                    </a:prstGeom>
                  </pic:spPr>
                </pic:pic>
              </a:graphicData>
            </a:graphic>
          </wp:inline>
        </w:drawing>
      </w:r>
    </w:p>
    <w:p w14:paraId="52DCA90B" w14:textId="77777777" w:rsidR="00C57D01" w:rsidRDefault="00C57D01" w:rsidP="00C57D01">
      <w:r w:rsidRPr="00226B58">
        <w:rPr>
          <w:b/>
          <w:bCs/>
        </w:rPr>
        <w:t>Figure S8.</w:t>
      </w:r>
      <w:r w:rsidRPr="00226B58">
        <w:t xml:space="preserve"> </w:t>
      </w:r>
      <w:r>
        <w:t>Complement to Figure 5, with simulated 6-month duration of natural immunity.</w:t>
      </w:r>
      <w:r w:rsidRPr="003637BA">
        <w:t xml:space="preserve"> </w:t>
      </w:r>
      <w:r>
        <w:t>Yearly US cases at steady-state under interventions with varying degrees of efficacy and compliance.</w:t>
      </w:r>
    </w:p>
    <w:p w14:paraId="764DECA0" w14:textId="77777777" w:rsidR="00C57D01" w:rsidRDefault="00C57D01" w:rsidP="00C57D01"/>
    <w:p w14:paraId="267BA9F7" w14:textId="77777777" w:rsidR="00C57D01" w:rsidRDefault="00C57D01" w:rsidP="00C57D01">
      <w:r w:rsidRPr="0051408D">
        <w:rPr>
          <w:noProof/>
        </w:rPr>
        <w:lastRenderedPageBreak/>
        <w:drawing>
          <wp:inline distT="0" distB="0" distL="0" distR="0" wp14:anchorId="730BE192" wp14:editId="29D9995F">
            <wp:extent cx="5943600" cy="213423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3"/>
                    <a:stretch>
                      <a:fillRect/>
                    </a:stretch>
                  </pic:blipFill>
                  <pic:spPr>
                    <a:xfrm>
                      <a:off x="0" y="0"/>
                      <a:ext cx="5943600" cy="2134235"/>
                    </a:xfrm>
                    <a:prstGeom prst="rect">
                      <a:avLst/>
                    </a:prstGeom>
                  </pic:spPr>
                </pic:pic>
              </a:graphicData>
            </a:graphic>
          </wp:inline>
        </w:drawing>
      </w:r>
    </w:p>
    <w:p w14:paraId="71343BAC" w14:textId="77777777" w:rsidR="00C57D01" w:rsidRDefault="00C57D01" w:rsidP="00C57D01">
      <w:r w:rsidRPr="00226B58">
        <w:rPr>
          <w:b/>
          <w:bCs/>
        </w:rPr>
        <w:t>Figure S</w:t>
      </w:r>
      <w:r>
        <w:rPr>
          <w:b/>
          <w:bCs/>
        </w:rPr>
        <w:t>9</w:t>
      </w:r>
      <w:r w:rsidRPr="00226B58">
        <w:rPr>
          <w:b/>
          <w:bCs/>
        </w:rPr>
        <w:t>.</w:t>
      </w:r>
      <w:r w:rsidRPr="00226B58">
        <w:t xml:space="preserve"> </w:t>
      </w:r>
      <w:r>
        <w:t>Complement to Figure S2, with simulated 6-month duration of natural immunity. Yearly US cases as a function of compliance for hypothetical scenarios in which R</w:t>
      </w:r>
      <w:r>
        <w:rPr>
          <w:vertAlign w:val="subscript"/>
        </w:rPr>
        <w:t>0</w:t>
      </w:r>
      <w:r>
        <w:t xml:space="preserve"> = 2, 3, 4 or 5.7.</w:t>
      </w:r>
    </w:p>
    <w:p w14:paraId="7BE2389B" w14:textId="77777777" w:rsidR="00C57D01" w:rsidRDefault="00C57D01" w:rsidP="00C57D01"/>
    <w:p w14:paraId="30A28DB7" w14:textId="2257C8A2" w:rsidR="00C57D01" w:rsidRDefault="00C57D01" w:rsidP="00C57D01"/>
    <w:p w14:paraId="6723859D" w14:textId="5C0F5DFF" w:rsidR="00C57D01" w:rsidRDefault="00AC472A" w:rsidP="00C57D01">
      <w:pPr>
        <w:rPr>
          <w:b/>
          <w:bCs/>
        </w:rPr>
      </w:pPr>
      <w:r w:rsidRPr="00AC472A">
        <w:rPr>
          <w:b/>
          <w:bCs/>
          <w:noProof/>
        </w:rPr>
        <w:drawing>
          <wp:inline distT="0" distB="0" distL="0" distR="0" wp14:anchorId="5495E4DD" wp14:editId="44EAD163">
            <wp:extent cx="5943600" cy="2891790"/>
            <wp:effectExtent l="0" t="0" r="0" b="3810"/>
            <wp:docPr id="22" name="Picture 2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10;&#10;Description automatically generated"/>
                    <pic:cNvPicPr/>
                  </pic:nvPicPr>
                  <pic:blipFill>
                    <a:blip r:embed="rId14"/>
                    <a:stretch>
                      <a:fillRect/>
                    </a:stretch>
                  </pic:blipFill>
                  <pic:spPr>
                    <a:xfrm>
                      <a:off x="0" y="0"/>
                      <a:ext cx="5943600" cy="2891790"/>
                    </a:xfrm>
                    <a:prstGeom prst="rect">
                      <a:avLst/>
                    </a:prstGeom>
                  </pic:spPr>
                </pic:pic>
              </a:graphicData>
            </a:graphic>
          </wp:inline>
        </w:drawing>
      </w:r>
    </w:p>
    <w:p w14:paraId="58C9B399" w14:textId="77777777" w:rsidR="00C57D01" w:rsidRDefault="00C57D01" w:rsidP="00C57D01">
      <w:r w:rsidRPr="00226B58">
        <w:rPr>
          <w:b/>
          <w:bCs/>
        </w:rPr>
        <w:t>Figure S</w:t>
      </w:r>
      <w:r>
        <w:rPr>
          <w:b/>
          <w:bCs/>
        </w:rPr>
        <w:t>10</w:t>
      </w:r>
      <w:r w:rsidRPr="00226B58">
        <w:rPr>
          <w:b/>
          <w:bCs/>
        </w:rPr>
        <w:t>.</w:t>
      </w:r>
      <w:r w:rsidRPr="00226B58">
        <w:t xml:space="preserve"> </w:t>
      </w:r>
      <w:r>
        <w:t>Complement to Figure 2, with simulated 36-month duration of natural immunity. Panels A and D represent the fraction of the population, including both compliant and noncompliant individuals, that is susceptible, exposed, infectious, and recovered populations over time after a return to pre-pandemic conditions under (A-C) 95% compliance or (D-F) 50% compliance with a 50% effective intervention. Panels B and E demonstrate the fraction of compliant and noncompliant individuals who are infected over time. Panels C and F demonstrate the cumulative hazard ratio for infection in noncompliant versus compliant individuals.</w:t>
      </w:r>
    </w:p>
    <w:p w14:paraId="4CFBCD12" w14:textId="77777777" w:rsidR="00C57D01" w:rsidRDefault="00C57D01" w:rsidP="00C57D01"/>
    <w:p w14:paraId="72F7193B" w14:textId="77777777" w:rsidR="00C57D01" w:rsidRDefault="00C57D01" w:rsidP="00C57D01"/>
    <w:p w14:paraId="0C8FE9A4" w14:textId="77777777" w:rsidR="00C57D01" w:rsidRDefault="00C57D01" w:rsidP="00C57D01">
      <w:pPr>
        <w:rPr>
          <w:b/>
          <w:bCs/>
        </w:rPr>
      </w:pPr>
      <w:r w:rsidRPr="008E492C">
        <w:rPr>
          <w:b/>
          <w:bCs/>
          <w:noProof/>
        </w:rPr>
        <w:lastRenderedPageBreak/>
        <w:drawing>
          <wp:inline distT="0" distB="0" distL="0" distR="0" wp14:anchorId="16DFD0DF" wp14:editId="235CC27F">
            <wp:extent cx="5943600" cy="2204085"/>
            <wp:effectExtent l="0" t="0" r="0" b="5715"/>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a:blip r:embed="rId15"/>
                    <a:stretch>
                      <a:fillRect/>
                    </a:stretch>
                  </pic:blipFill>
                  <pic:spPr>
                    <a:xfrm>
                      <a:off x="0" y="0"/>
                      <a:ext cx="5943600" cy="2204085"/>
                    </a:xfrm>
                    <a:prstGeom prst="rect">
                      <a:avLst/>
                    </a:prstGeom>
                  </pic:spPr>
                </pic:pic>
              </a:graphicData>
            </a:graphic>
          </wp:inline>
        </w:drawing>
      </w:r>
    </w:p>
    <w:p w14:paraId="08030023" w14:textId="77777777" w:rsidR="00C57D01" w:rsidRDefault="00C57D01" w:rsidP="00C57D01">
      <w:r w:rsidRPr="00226B58">
        <w:rPr>
          <w:b/>
          <w:bCs/>
        </w:rPr>
        <w:t>Figure S</w:t>
      </w:r>
      <w:r>
        <w:rPr>
          <w:b/>
          <w:bCs/>
        </w:rPr>
        <w:t>11</w:t>
      </w:r>
      <w:r w:rsidRPr="00226B58">
        <w:rPr>
          <w:b/>
          <w:bCs/>
        </w:rPr>
        <w:t>.</w:t>
      </w:r>
      <w:r w:rsidRPr="00226B58">
        <w:t xml:space="preserve"> </w:t>
      </w:r>
      <w:r>
        <w:t>Complement to Figure 3, with simulated 36-month duration of natural immunity. Total US COVID-19 infections in the next year under interventions with varying efficacy and compliance. Black box on panel A shows region expanded in panel B. Panel B is displayed on a log scale.</w:t>
      </w:r>
    </w:p>
    <w:p w14:paraId="76290418" w14:textId="54DD79B8" w:rsidR="00C57D01" w:rsidRDefault="00C57D01" w:rsidP="00C57D01"/>
    <w:p w14:paraId="7214BE4A" w14:textId="6EBBBB53" w:rsidR="00C57D01" w:rsidRDefault="00576348" w:rsidP="00C57D01">
      <w:r w:rsidRPr="00576348">
        <w:rPr>
          <w:noProof/>
        </w:rPr>
        <w:drawing>
          <wp:anchor distT="0" distB="0" distL="114300" distR="114300" simplePos="0" relativeHeight="251683840" behindDoc="1" locked="0" layoutInCell="1" allowOverlap="1" wp14:anchorId="33473C02" wp14:editId="56555417">
            <wp:simplePos x="0" y="0"/>
            <wp:positionH relativeFrom="column">
              <wp:posOffset>2946400</wp:posOffset>
            </wp:positionH>
            <wp:positionV relativeFrom="paragraph">
              <wp:posOffset>234315</wp:posOffset>
            </wp:positionV>
            <wp:extent cx="2890520" cy="2081530"/>
            <wp:effectExtent l="0" t="0" r="5080" b="1270"/>
            <wp:wrapTight wrapText="bothSides">
              <wp:wrapPolygon edited="0">
                <wp:start x="0" y="0"/>
                <wp:lineTo x="0" y="21481"/>
                <wp:lineTo x="21543" y="21481"/>
                <wp:lineTo x="21543" y="0"/>
                <wp:lineTo x="0" y="0"/>
              </wp:wrapPolygon>
            </wp:wrapTight>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890520" cy="2081530"/>
                    </a:xfrm>
                    <a:prstGeom prst="rect">
                      <a:avLst/>
                    </a:prstGeom>
                  </pic:spPr>
                </pic:pic>
              </a:graphicData>
            </a:graphic>
            <wp14:sizeRelH relativeFrom="page">
              <wp14:pctWidth>0</wp14:pctWidth>
            </wp14:sizeRelH>
            <wp14:sizeRelV relativeFrom="page">
              <wp14:pctHeight>0</wp14:pctHeight>
            </wp14:sizeRelV>
          </wp:anchor>
        </w:drawing>
      </w:r>
      <w:r w:rsidRPr="00576348">
        <w:rPr>
          <w:noProof/>
        </w:rPr>
        <w:drawing>
          <wp:anchor distT="0" distB="0" distL="114300" distR="114300" simplePos="0" relativeHeight="251684864" behindDoc="1" locked="0" layoutInCell="1" allowOverlap="1" wp14:anchorId="114401AE" wp14:editId="21C67A7A">
            <wp:simplePos x="0" y="0"/>
            <wp:positionH relativeFrom="column">
              <wp:posOffset>0</wp:posOffset>
            </wp:positionH>
            <wp:positionV relativeFrom="paragraph">
              <wp:posOffset>234099</wp:posOffset>
            </wp:positionV>
            <wp:extent cx="2889514" cy="2081049"/>
            <wp:effectExtent l="0" t="0" r="6350" b="1905"/>
            <wp:wrapTight wrapText="bothSides">
              <wp:wrapPolygon edited="0">
                <wp:start x="0" y="0"/>
                <wp:lineTo x="0" y="21488"/>
                <wp:lineTo x="21553" y="21488"/>
                <wp:lineTo x="21553" y="0"/>
                <wp:lineTo x="0" y="0"/>
              </wp:wrapPolygon>
            </wp:wrapTight>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889514" cy="2081049"/>
                    </a:xfrm>
                    <a:prstGeom prst="rect">
                      <a:avLst/>
                    </a:prstGeom>
                  </pic:spPr>
                </pic:pic>
              </a:graphicData>
            </a:graphic>
            <wp14:sizeRelH relativeFrom="page">
              <wp14:pctWidth>0</wp14:pctWidth>
            </wp14:sizeRelH>
            <wp14:sizeRelV relativeFrom="page">
              <wp14:pctHeight>0</wp14:pctHeight>
            </wp14:sizeRelV>
          </wp:anchor>
        </w:drawing>
      </w:r>
    </w:p>
    <w:p w14:paraId="20D4FEE4" w14:textId="7C075F59" w:rsidR="00C57D01" w:rsidRDefault="00C57D01" w:rsidP="00C57D01">
      <w:r w:rsidRPr="00226B58">
        <w:rPr>
          <w:b/>
          <w:bCs/>
        </w:rPr>
        <w:t>Figure S</w:t>
      </w:r>
      <w:r>
        <w:rPr>
          <w:b/>
          <w:bCs/>
        </w:rPr>
        <w:t>12</w:t>
      </w:r>
      <w:r w:rsidRPr="00226B58">
        <w:rPr>
          <w:b/>
          <w:bCs/>
        </w:rPr>
        <w:t>.</w:t>
      </w:r>
      <w:r w:rsidRPr="00226B58">
        <w:t xml:space="preserve"> </w:t>
      </w:r>
      <w:r>
        <w:t>Complement to Figure 4, with simulated 36-month duration of natural immunity.</w:t>
      </w:r>
      <w:r w:rsidRPr="003637BA">
        <w:t xml:space="preserve"> </w:t>
      </w:r>
      <w:r w:rsidR="00576348">
        <w:t xml:space="preserve">Cumulative average number of times infected (including reinfections) per individual under a 50% (A) or 90% (B) effective intervention. </w:t>
      </w:r>
      <w:r>
        <w:t xml:space="preserve"> Three scenarios are simulated: full noncompliance, full compliance, and 70% compliance (with outcomes for compliant and noncompliant individuals shown).</w:t>
      </w:r>
    </w:p>
    <w:p w14:paraId="26433AC9" w14:textId="77777777" w:rsidR="00C57D01" w:rsidRDefault="00C57D01" w:rsidP="00C57D01"/>
    <w:p w14:paraId="7C32EF35" w14:textId="77777777" w:rsidR="00C57D01" w:rsidRDefault="00C57D01" w:rsidP="00C57D01"/>
    <w:p w14:paraId="490FBB51" w14:textId="77777777" w:rsidR="00C57D01" w:rsidRDefault="00C57D01" w:rsidP="00C57D01"/>
    <w:p w14:paraId="7B91DE06" w14:textId="77777777" w:rsidR="00C57D01" w:rsidRDefault="00C57D01" w:rsidP="00C57D01">
      <w:r w:rsidRPr="008E492C">
        <w:rPr>
          <w:noProof/>
        </w:rPr>
        <w:lastRenderedPageBreak/>
        <w:drawing>
          <wp:inline distT="0" distB="0" distL="0" distR="0" wp14:anchorId="0CECF22F" wp14:editId="7913AD44">
            <wp:extent cx="4851400" cy="3327400"/>
            <wp:effectExtent l="0" t="0" r="0" b="0"/>
            <wp:docPr id="9" name="Picture 2" descr="Chart&#10;&#10;Description automatically generated">
              <a:extLst xmlns:a="http://schemas.openxmlformats.org/drawingml/2006/main">
                <a:ext uri="{FF2B5EF4-FFF2-40B4-BE49-F238E27FC236}">
                  <a16:creationId xmlns:a16="http://schemas.microsoft.com/office/drawing/2014/main" id="{7C1C919D-4518-C345-AB3B-F3BBF60979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hart&#10;&#10;Description automatically generated">
                      <a:extLst>
                        <a:ext uri="{FF2B5EF4-FFF2-40B4-BE49-F238E27FC236}">
                          <a16:creationId xmlns:a16="http://schemas.microsoft.com/office/drawing/2014/main" id="{7C1C919D-4518-C345-AB3B-F3BBF6097934}"/>
                        </a:ext>
                      </a:extLst>
                    </pic:cNvPr>
                    <pic:cNvPicPr>
                      <a:picLocks noChangeAspect="1"/>
                    </pic:cNvPicPr>
                  </pic:nvPicPr>
                  <pic:blipFill>
                    <a:blip r:embed="rId18"/>
                    <a:stretch>
                      <a:fillRect/>
                    </a:stretch>
                  </pic:blipFill>
                  <pic:spPr>
                    <a:xfrm>
                      <a:off x="0" y="0"/>
                      <a:ext cx="4851400" cy="3327400"/>
                    </a:xfrm>
                    <a:prstGeom prst="rect">
                      <a:avLst/>
                    </a:prstGeom>
                  </pic:spPr>
                </pic:pic>
              </a:graphicData>
            </a:graphic>
          </wp:inline>
        </w:drawing>
      </w:r>
    </w:p>
    <w:p w14:paraId="25FF96F3" w14:textId="77777777" w:rsidR="00C57D01" w:rsidRDefault="00C57D01" w:rsidP="00C57D01">
      <w:r w:rsidRPr="00226B58">
        <w:rPr>
          <w:b/>
          <w:bCs/>
        </w:rPr>
        <w:t>Figure S</w:t>
      </w:r>
      <w:r>
        <w:rPr>
          <w:b/>
          <w:bCs/>
        </w:rPr>
        <w:t>13</w:t>
      </w:r>
      <w:r w:rsidRPr="00226B58">
        <w:rPr>
          <w:b/>
          <w:bCs/>
        </w:rPr>
        <w:t>.</w:t>
      </w:r>
      <w:r w:rsidRPr="00226B58">
        <w:t xml:space="preserve"> </w:t>
      </w:r>
      <w:r>
        <w:t>Complement to Figure 5, with simulated 36-month duration of natural immunity. Yearly US cases at steady-state under interventions with varying degrees of efficacy and compliance.</w:t>
      </w:r>
    </w:p>
    <w:p w14:paraId="594EAB0A" w14:textId="77777777" w:rsidR="00C57D01" w:rsidRDefault="00C57D01" w:rsidP="00C57D01">
      <w:pPr>
        <w:rPr>
          <w:b/>
          <w:bCs/>
        </w:rPr>
      </w:pPr>
    </w:p>
    <w:p w14:paraId="3A047267" w14:textId="77777777" w:rsidR="00C57D01" w:rsidRDefault="00C57D01" w:rsidP="00C57D01">
      <w:pPr>
        <w:rPr>
          <w:b/>
          <w:bCs/>
        </w:rPr>
      </w:pPr>
    </w:p>
    <w:p w14:paraId="57A5B61A" w14:textId="77777777" w:rsidR="00C57D01" w:rsidRDefault="00C57D01" w:rsidP="00C57D01">
      <w:pPr>
        <w:rPr>
          <w:b/>
          <w:bCs/>
        </w:rPr>
      </w:pPr>
      <w:r w:rsidRPr="008E492C">
        <w:rPr>
          <w:b/>
          <w:bCs/>
          <w:noProof/>
        </w:rPr>
        <w:drawing>
          <wp:inline distT="0" distB="0" distL="0" distR="0" wp14:anchorId="02EB12C0" wp14:editId="0F3B0BC5">
            <wp:extent cx="5943600" cy="2204720"/>
            <wp:effectExtent l="0" t="0" r="0" b="508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19"/>
                    <a:stretch>
                      <a:fillRect/>
                    </a:stretch>
                  </pic:blipFill>
                  <pic:spPr>
                    <a:xfrm>
                      <a:off x="0" y="0"/>
                      <a:ext cx="5943600" cy="2204720"/>
                    </a:xfrm>
                    <a:prstGeom prst="rect">
                      <a:avLst/>
                    </a:prstGeom>
                  </pic:spPr>
                </pic:pic>
              </a:graphicData>
            </a:graphic>
          </wp:inline>
        </w:drawing>
      </w:r>
    </w:p>
    <w:p w14:paraId="0B47F7BD" w14:textId="5F2A536D" w:rsidR="00C57D01" w:rsidRDefault="00C57D01" w:rsidP="00C57D01">
      <w:r w:rsidRPr="00226B58">
        <w:rPr>
          <w:b/>
          <w:bCs/>
        </w:rPr>
        <w:t>Figure S</w:t>
      </w:r>
      <w:r>
        <w:rPr>
          <w:b/>
          <w:bCs/>
        </w:rPr>
        <w:t>14</w:t>
      </w:r>
      <w:r w:rsidRPr="00226B58">
        <w:rPr>
          <w:b/>
          <w:bCs/>
        </w:rPr>
        <w:t>.</w:t>
      </w:r>
      <w:r w:rsidRPr="00226B58">
        <w:t xml:space="preserve"> </w:t>
      </w:r>
      <w:r>
        <w:t>Complement to Figure S2, with simulated 36-month duration of natural immunity. Yearly US cases as a function of compliance for hypothetical scenarios in which R</w:t>
      </w:r>
      <w:r>
        <w:rPr>
          <w:vertAlign w:val="subscript"/>
        </w:rPr>
        <w:t>0</w:t>
      </w:r>
      <w:r>
        <w:t xml:space="preserve"> = 2, 3, 4 or 5.7.</w:t>
      </w:r>
    </w:p>
    <w:p w14:paraId="75CF6FC2" w14:textId="31FF6CA6" w:rsidR="00010E9F" w:rsidRDefault="00010E9F" w:rsidP="00C57D01"/>
    <w:p w14:paraId="2EF7E9DB" w14:textId="77D35052" w:rsidR="00010E9F" w:rsidRDefault="00010E9F" w:rsidP="00C57D01"/>
    <w:p w14:paraId="00BD4ADC" w14:textId="78ED9124" w:rsidR="00010E9F" w:rsidRDefault="00010E9F" w:rsidP="00C57D01"/>
    <w:p w14:paraId="4CE60D43" w14:textId="30979A08" w:rsidR="00010E9F" w:rsidRDefault="00010E9F" w:rsidP="00C57D01"/>
    <w:p w14:paraId="42FD04D1" w14:textId="77777777" w:rsidR="00010E9F" w:rsidRPr="00226B58" w:rsidRDefault="00010E9F" w:rsidP="00C57D01">
      <w:pPr>
        <w:rPr>
          <w:b/>
          <w:bCs/>
        </w:rPr>
      </w:pPr>
    </w:p>
    <w:p w14:paraId="62F7BD8A" w14:textId="77777777" w:rsidR="00C57D01" w:rsidRDefault="00C57D01" w:rsidP="00C57D01"/>
    <w:p w14:paraId="552F3398" w14:textId="77777777" w:rsidR="00C57D01" w:rsidRPr="00C8500C" w:rsidRDefault="00C57D01" w:rsidP="00C57D01">
      <w:pPr>
        <w:jc w:val="center"/>
        <w:rPr>
          <w:b/>
          <w:bCs/>
        </w:rPr>
      </w:pPr>
      <w:r>
        <w:rPr>
          <w:b/>
          <w:bCs/>
        </w:rPr>
        <w:lastRenderedPageBreak/>
        <w:t>References</w:t>
      </w:r>
    </w:p>
    <w:p w14:paraId="0EDB2D9B" w14:textId="77777777" w:rsidR="00C57D01" w:rsidRDefault="00C57D01" w:rsidP="00C57D01"/>
    <w:p w14:paraId="6EB5CD07" w14:textId="77777777" w:rsidR="000C1E68" w:rsidRPr="000C1E68" w:rsidRDefault="000C1E68" w:rsidP="000C1E68">
      <w:pPr>
        <w:pStyle w:val="Bibliography"/>
      </w:pPr>
      <w:r>
        <w:fldChar w:fldCharType="begin"/>
      </w:r>
      <w:r>
        <w:instrText xml:space="preserve"> ADDIN ZOTERO_BIBL {"uncited":[],"omitted":[],"custom":[]} CSL_BIBLIOGRAPHY </w:instrText>
      </w:r>
      <w:r>
        <w:fldChar w:fldCharType="separate"/>
      </w:r>
      <w:r w:rsidRPr="000C1E68">
        <w:t>1. South Dakota Coronavirus: 76,142 Cases and 849 Deaths (COVID-19 ) - Worldometer. https://www.worldometers.info/coronavirus/usa/south-dakota/. Accessed 26 Nov 2020.</w:t>
      </w:r>
    </w:p>
    <w:p w14:paraId="4F877350" w14:textId="77777777" w:rsidR="000C1E68" w:rsidRPr="000C1E68" w:rsidRDefault="000C1E68" w:rsidP="000C1E68">
      <w:pPr>
        <w:pStyle w:val="Bibliography"/>
      </w:pPr>
      <w:r w:rsidRPr="000C1E68">
        <w:t>2. South Dakota Population 2020 (Demographics, Maps, Graphs). https://worldpopulationreview.com/states/south-dakota-population. Accessed 26 Nov 2020.</w:t>
      </w:r>
    </w:p>
    <w:p w14:paraId="1A5FA1F3" w14:textId="77777777" w:rsidR="000C1E68" w:rsidRPr="000C1E68" w:rsidRDefault="000C1E68" w:rsidP="000C1E68">
      <w:pPr>
        <w:pStyle w:val="Bibliography"/>
      </w:pPr>
      <w:r w:rsidRPr="000C1E68">
        <w:t>3. Laxminarayan R, Wahl B, Dudala SR, Gopal K, B CM, Neelima S, et al. Epidemiology and transmission dynamics of COVID-19 in two Indian states. Science. 2020;370:691–7.</w:t>
      </w:r>
    </w:p>
    <w:p w14:paraId="61D4B19B" w14:textId="77777777" w:rsidR="000C1E68" w:rsidRPr="000C1E68" w:rsidRDefault="000C1E68" w:rsidP="000C1E68">
      <w:pPr>
        <w:pStyle w:val="Bibliography"/>
      </w:pPr>
      <w:r w:rsidRPr="000C1E68">
        <w:t>4. Chu DK, Akl EA, Duda S, Solo K, Yaacoub S, Schünemann HJ. Physical distancing, face masks, and eye protection to prevent person-to-person transmission of SARS-CoV-2 and COVID-19: a systematic review and meta-analysis. Lancet. 2020;395:1973–87.</w:t>
      </w:r>
    </w:p>
    <w:p w14:paraId="37AE6857" w14:textId="77777777" w:rsidR="000C1E68" w:rsidRPr="000C1E68" w:rsidRDefault="000C1E68" w:rsidP="000C1E68">
      <w:pPr>
        <w:pStyle w:val="Bibliography"/>
      </w:pPr>
      <w:r w:rsidRPr="000C1E68">
        <w:t>5. Levin AT, Hanage WP, Owusu-Boaitey N, Cochran KB, Walsh SP, Meyerowitz-Katz G. Assessing the age specificity of infection fatality rates for COVID-19: systematic review, meta-analysis, and public policy implications. Eur J Epidemiol. 2020. doi:10.1007/s10654-020-00698-1.</w:t>
      </w:r>
    </w:p>
    <w:p w14:paraId="38E5B410" w14:textId="77777777" w:rsidR="000C1E68" w:rsidRPr="000C1E68" w:rsidRDefault="000C1E68" w:rsidP="000C1E68">
      <w:pPr>
        <w:pStyle w:val="Bibliography"/>
      </w:pPr>
      <w:r w:rsidRPr="000C1E68">
        <w:t>6. 2018 Data: Alcohol-Impaired Driving. NHTSA’s Center for Statistics and Analysis. https://crashstats.nhtsa.dot.gov/Api/Public/ViewPublication/812864. Accessed 22 Dec 2020.</w:t>
      </w:r>
    </w:p>
    <w:p w14:paraId="5F399736" w14:textId="77777777" w:rsidR="000C1E68" w:rsidRPr="000C1E68" w:rsidRDefault="000C1E68" w:rsidP="000C1E68">
      <w:pPr>
        <w:pStyle w:val="Bibliography"/>
      </w:pPr>
      <w:r w:rsidRPr="000C1E68">
        <w:t>7. Gelfand MJ, Raver JL, Nishii L, Leslie LM, Lun J, Lim BC, et al. Differences between tight and loose cultures: a 33-nation study. Science. 2011;332:1100–4.</w:t>
      </w:r>
    </w:p>
    <w:p w14:paraId="78BD0AE5" w14:textId="02D8AC26" w:rsidR="001A77E3" w:rsidRDefault="000C1E68">
      <w:r>
        <w:fldChar w:fldCharType="end"/>
      </w:r>
    </w:p>
    <w:sectPr w:rsidR="001A77E3" w:rsidSect="005860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D01"/>
    <w:rsid w:val="000057D6"/>
    <w:rsid w:val="00006137"/>
    <w:rsid w:val="00010A07"/>
    <w:rsid w:val="00010E9F"/>
    <w:rsid w:val="00026CE0"/>
    <w:rsid w:val="000848C9"/>
    <w:rsid w:val="000C1E68"/>
    <w:rsid w:val="000E7EF1"/>
    <w:rsid w:val="00167771"/>
    <w:rsid w:val="001A77E3"/>
    <w:rsid w:val="001C5D97"/>
    <w:rsid w:val="0023752C"/>
    <w:rsid w:val="00237AEC"/>
    <w:rsid w:val="002B0F3E"/>
    <w:rsid w:val="00440E43"/>
    <w:rsid w:val="00476DA6"/>
    <w:rsid w:val="00496152"/>
    <w:rsid w:val="00501298"/>
    <w:rsid w:val="0052406F"/>
    <w:rsid w:val="00576348"/>
    <w:rsid w:val="00614D6A"/>
    <w:rsid w:val="00640235"/>
    <w:rsid w:val="00687E05"/>
    <w:rsid w:val="006A49EA"/>
    <w:rsid w:val="006F3014"/>
    <w:rsid w:val="00746515"/>
    <w:rsid w:val="0079409D"/>
    <w:rsid w:val="00797789"/>
    <w:rsid w:val="007D22BB"/>
    <w:rsid w:val="008454CD"/>
    <w:rsid w:val="008A5829"/>
    <w:rsid w:val="008F3EBC"/>
    <w:rsid w:val="00903105"/>
    <w:rsid w:val="0097705A"/>
    <w:rsid w:val="009F55C5"/>
    <w:rsid w:val="00A174B7"/>
    <w:rsid w:val="00A7062C"/>
    <w:rsid w:val="00A96C88"/>
    <w:rsid w:val="00A96DED"/>
    <w:rsid w:val="00AC472A"/>
    <w:rsid w:val="00AF003B"/>
    <w:rsid w:val="00B16DFA"/>
    <w:rsid w:val="00B25CE3"/>
    <w:rsid w:val="00B5666C"/>
    <w:rsid w:val="00B904C1"/>
    <w:rsid w:val="00B934C6"/>
    <w:rsid w:val="00BC537F"/>
    <w:rsid w:val="00BE0CD8"/>
    <w:rsid w:val="00C0189F"/>
    <w:rsid w:val="00C57D01"/>
    <w:rsid w:val="00C71F4B"/>
    <w:rsid w:val="00C72586"/>
    <w:rsid w:val="00CB4F7B"/>
    <w:rsid w:val="00CC79D3"/>
    <w:rsid w:val="00CF0338"/>
    <w:rsid w:val="00D260C5"/>
    <w:rsid w:val="00D57A7F"/>
    <w:rsid w:val="00D85A5A"/>
    <w:rsid w:val="00D86B26"/>
    <w:rsid w:val="00E170FE"/>
    <w:rsid w:val="00E210C5"/>
    <w:rsid w:val="00E252BA"/>
    <w:rsid w:val="00E343F5"/>
    <w:rsid w:val="00E90164"/>
    <w:rsid w:val="00EA2F6A"/>
    <w:rsid w:val="00EE33F9"/>
    <w:rsid w:val="00F501FA"/>
    <w:rsid w:val="00F8593A"/>
    <w:rsid w:val="00FB5B7E"/>
    <w:rsid w:val="00FD0A49"/>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41E1"/>
  <w15:docId w15:val="{6447285E-5007-7C48-971E-DEDB8FC4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57D01"/>
    <w:pPr>
      <w:spacing w:after="0" w:line="240" w:lineRule="auto"/>
    </w:pPr>
    <w:rPr>
      <w:rFonts w:ascii="Calibri" w:eastAsia="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C57D01"/>
    <w:pPr>
      <w:tabs>
        <w:tab w:val="left" w:pos="380"/>
      </w:tabs>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tif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tiff"/><Relationship Id="rId17" Type="http://schemas.openxmlformats.org/officeDocument/2006/relationships/image" Target="media/image14.tiff"/><Relationship Id="rId2" Type="http://schemas.openxmlformats.org/officeDocument/2006/relationships/settings" Target="settings.xml"/><Relationship Id="rId16" Type="http://schemas.openxmlformats.org/officeDocument/2006/relationships/image" Target="media/image13.tif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Applications/Zotero.app/Contents/Resources/extensions/zoteroMacWordIntegration@zotero.org/install/Zotero%20cop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Zotero copy.dotm</Template>
  <TotalTime>27</TotalTime>
  <Pages>12</Pages>
  <Words>6306</Words>
  <Characters>35950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Madison Stoddard</cp:lastModifiedBy>
  <cp:revision>11</cp:revision>
  <dcterms:created xsi:type="dcterms:W3CDTF">2020-12-22T18:56:00Z</dcterms:created>
  <dcterms:modified xsi:type="dcterms:W3CDTF">2021-03-30T15:26:00Z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id="zodSRBCD"/&gt;&lt;style id="http://www.zotero.org/styles/bmc-public-health" hasBibliography="1" bibliographyStyleHasBeenSet="1"/&gt;&lt;prefs&gt;&lt;pref name="fieldType" value="Field"/&gt;&lt;pref name="dontAskDelayCit</vt:lpwstr>
  </property>
  <property fmtid="{D5CDD505-2E9C-101B-9397-08002B2CF9AE}" pid="3" name="ZOTERO_PREF_2">
    <vt:lpwstr>ationUpdates" value="true"/&gt;&lt;/prefs&gt;&lt;/data&gt;</vt:lpwstr>
  </property>
</Properties>
</file>