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DDD672" w14:textId="77777777" w:rsidR="0001490B" w:rsidRPr="009178A2" w:rsidRDefault="0001490B" w:rsidP="0001490B">
      <w:pPr>
        <w:pStyle w:val="MDPI31text"/>
        <w:spacing w:line="480" w:lineRule="auto"/>
        <w:ind w:firstLine="0"/>
        <w:jc w:val="left"/>
        <w:rPr>
          <w:rFonts w:asciiTheme="majorHAnsi" w:hAnsiTheme="majorHAnsi" w:cstheme="majorHAnsi"/>
          <w:b/>
          <w:sz w:val="28"/>
          <w:szCs w:val="28"/>
        </w:rPr>
      </w:pPr>
      <w:bookmarkStart w:id="0" w:name="_Hlk63461244"/>
      <w:r w:rsidRPr="009178A2">
        <w:rPr>
          <w:rFonts w:asciiTheme="majorHAnsi" w:hAnsiTheme="majorHAnsi" w:cstheme="majorHAnsi"/>
          <w:b/>
          <w:sz w:val="28"/>
          <w:szCs w:val="28"/>
        </w:rPr>
        <w:t xml:space="preserve">Towards a needs-based </w:t>
      </w:r>
      <w:r w:rsidRPr="009178A2">
        <w:rPr>
          <w:rFonts w:asciiTheme="majorHAnsi" w:hAnsiTheme="majorHAnsi" w:cstheme="majorHAnsi"/>
          <w:b/>
          <w:sz w:val="28"/>
          <w:szCs w:val="28"/>
          <w:highlight w:val="yellow"/>
        </w:rPr>
        <w:t>design</w:t>
      </w:r>
      <w:r w:rsidRPr="009178A2">
        <w:rPr>
          <w:rFonts w:asciiTheme="majorHAnsi" w:hAnsiTheme="majorHAnsi" w:cstheme="majorHAnsi"/>
          <w:b/>
          <w:sz w:val="28"/>
          <w:szCs w:val="28"/>
        </w:rPr>
        <w:t xml:space="preserve"> of the physical rehabilitation workforce in South Africa: trend analysis [1990-2017] and a 5-year forecasting for the most impactful health conditions based on Global Burden of Disease estimates</w:t>
      </w:r>
    </w:p>
    <w:bookmarkEnd w:id="0"/>
    <w:p w14:paraId="0D78BCFE" w14:textId="77777777" w:rsidR="0001490B" w:rsidRPr="009178A2" w:rsidRDefault="0001490B" w:rsidP="0001490B">
      <w:pPr>
        <w:pStyle w:val="MDPI31text"/>
        <w:spacing w:line="480" w:lineRule="auto"/>
        <w:jc w:val="left"/>
      </w:pPr>
    </w:p>
    <w:p w14:paraId="6BF70D20" w14:textId="77777777" w:rsidR="0001490B" w:rsidRPr="009178A2" w:rsidRDefault="0001490B" w:rsidP="0001490B">
      <w:pPr>
        <w:rPr>
          <w:rFonts w:asciiTheme="majorHAnsi" w:hAnsiTheme="majorHAnsi" w:cstheme="majorHAnsi"/>
          <w:b/>
          <w:bCs/>
          <w:sz w:val="24"/>
          <w:szCs w:val="24"/>
          <w:vertAlign w:val="superscript"/>
          <w:lang w:val="en-US"/>
        </w:rPr>
      </w:pPr>
      <w:proofErr w:type="spellStart"/>
      <w:r w:rsidRPr="009178A2">
        <w:rPr>
          <w:rFonts w:asciiTheme="majorHAnsi" w:hAnsiTheme="majorHAnsi" w:cstheme="majorHAnsi"/>
          <w:b/>
          <w:bCs/>
          <w:sz w:val="24"/>
          <w:szCs w:val="24"/>
          <w:lang w:val="en-US"/>
        </w:rPr>
        <w:t>Louw</w:t>
      </w:r>
      <w:proofErr w:type="spellEnd"/>
      <w:r w:rsidRPr="009178A2">
        <w:rPr>
          <w:rFonts w:asciiTheme="majorHAnsi" w:hAnsiTheme="majorHAnsi" w:cstheme="majorHAnsi"/>
          <w:b/>
          <w:bCs/>
          <w:sz w:val="24"/>
          <w:szCs w:val="24"/>
          <w:lang w:val="en-US"/>
        </w:rPr>
        <w:t xml:space="preserve"> Q</w:t>
      </w:r>
      <w:r w:rsidRPr="009178A2">
        <w:rPr>
          <w:rFonts w:asciiTheme="majorHAnsi" w:hAnsiTheme="majorHAnsi" w:cstheme="majorHAnsi"/>
          <w:b/>
          <w:bCs/>
          <w:sz w:val="24"/>
          <w:szCs w:val="24"/>
          <w:vertAlign w:val="superscript"/>
          <w:lang w:val="en-US"/>
        </w:rPr>
        <w:t>1*</w:t>
      </w:r>
      <w:r w:rsidRPr="009178A2">
        <w:rPr>
          <w:rFonts w:asciiTheme="majorHAnsi" w:hAnsiTheme="majorHAnsi" w:cstheme="majorHAnsi"/>
          <w:b/>
          <w:bCs/>
          <w:sz w:val="24"/>
          <w:szCs w:val="24"/>
          <w:lang w:val="en-US"/>
        </w:rPr>
        <w:t>, Grimmer K</w:t>
      </w:r>
      <w:r w:rsidRPr="009178A2">
        <w:rPr>
          <w:rFonts w:asciiTheme="majorHAnsi" w:hAnsiTheme="majorHAnsi" w:cstheme="majorHAnsi"/>
          <w:b/>
          <w:bCs/>
          <w:sz w:val="24"/>
          <w:szCs w:val="24"/>
          <w:vertAlign w:val="superscript"/>
          <w:lang w:val="en-US"/>
        </w:rPr>
        <w:t>1</w:t>
      </w:r>
      <w:r w:rsidRPr="009178A2">
        <w:rPr>
          <w:rFonts w:asciiTheme="majorHAnsi" w:hAnsiTheme="majorHAnsi" w:cstheme="majorHAnsi"/>
          <w:b/>
          <w:bCs/>
          <w:sz w:val="24"/>
          <w:szCs w:val="24"/>
          <w:lang w:val="en-US"/>
        </w:rPr>
        <w:t>, Berner K</w:t>
      </w:r>
      <w:r w:rsidRPr="009178A2">
        <w:rPr>
          <w:rFonts w:asciiTheme="majorHAnsi" w:hAnsiTheme="majorHAnsi" w:cstheme="majorHAnsi"/>
          <w:b/>
          <w:bCs/>
          <w:sz w:val="24"/>
          <w:szCs w:val="24"/>
          <w:vertAlign w:val="superscript"/>
          <w:lang w:val="en-US"/>
        </w:rPr>
        <w:t>1</w:t>
      </w:r>
      <w:r w:rsidRPr="009178A2">
        <w:rPr>
          <w:rFonts w:asciiTheme="majorHAnsi" w:hAnsiTheme="majorHAnsi" w:cstheme="majorHAnsi"/>
          <w:b/>
          <w:bCs/>
          <w:sz w:val="24"/>
          <w:szCs w:val="24"/>
          <w:lang w:val="en-US"/>
        </w:rPr>
        <w:t>, Conradie T</w:t>
      </w:r>
      <w:r w:rsidRPr="009178A2">
        <w:rPr>
          <w:rFonts w:asciiTheme="majorHAnsi" w:hAnsiTheme="majorHAnsi" w:cstheme="majorHAnsi"/>
          <w:b/>
          <w:bCs/>
          <w:sz w:val="24"/>
          <w:szCs w:val="24"/>
          <w:vertAlign w:val="superscript"/>
          <w:lang w:val="en-US"/>
        </w:rPr>
        <w:t>1</w:t>
      </w:r>
      <w:r w:rsidRPr="009178A2">
        <w:rPr>
          <w:rFonts w:asciiTheme="majorHAnsi" w:hAnsiTheme="majorHAnsi" w:cstheme="majorHAnsi"/>
          <w:b/>
          <w:bCs/>
          <w:sz w:val="24"/>
          <w:szCs w:val="24"/>
          <w:lang w:val="en-US"/>
        </w:rPr>
        <w:t xml:space="preserve">, </w:t>
      </w:r>
      <w:proofErr w:type="spellStart"/>
      <w:r w:rsidRPr="009178A2">
        <w:rPr>
          <w:rFonts w:asciiTheme="majorHAnsi" w:hAnsiTheme="majorHAnsi" w:cstheme="majorHAnsi"/>
          <w:b/>
          <w:bCs/>
          <w:sz w:val="24"/>
          <w:szCs w:val="24"/>
          <w:lang w:val="en-US"/>
        </w:rPr>
        <w:t>Bedada</w:t>
      </w:r>
      <w:proofErr w:type="spellEnd"/>
      <w:r w:rsidRPr="009178A2">
        <w:rPr>
          <w:rFonts w:asciiTheme="majorHAnsi" w:hAnsiTheme="majorHAnsi" w:cstheme="majorHAnsi"/>
          <w:b/>
          <w:bCs/>
          <w:sz w:val="24"/>
          <w:szCs w:val="24"/>
          <w:lang w:val="en-US"/>
        </w:rPr>
        <w:t xml:space="preserve"> DT</w:t>
      </w:r>
      <w:r w:rsidRPr="009178A2">
        <w:rPr>
          <w:rFonts w:asciiTheme="majorHAnsi" w:hAnsiTheme="majorHAnsi" w:cstheme="majorHAnsi"/>
          <w:b/>
          <w:bCs/>
          <w:sz w:val="24"/>
          <w:szCs w:val="24"/>
          <w:vertAlign w:val="superscript"/>
          <w:lang w:val="en-US"/>
        </w:rPr>
        <w:t>2</w:t>
      </w:r>
      <w:r w:rsidRPr="009178A2">
        <w:rPr>
          <w:rFonts w:asciiTheme="majorHAnsi" w:hAnsiTheme="majorHAnsi" w:cstheme="majorHAnsi"/>
          <w:b/>
          <w:bCs/>
          <w:sz w:val="24"/>
          <w:szCs w:val="24"/>
          <w:lang w:val="en-US"/>
        </w:rPr>
        <w:t xml:space="preserve"> and Jesus TS</w:t>
      </w:r>
      <w:r w:rsidRPr="009178A2">
        <w:rPr>
          <w:rFonts w:asciiTheme="majorHAnsi" w:hAnsiTheme="majorHAnsi" w:cstheme="majorHAnsi"/>
          <w:b/>
          <w:bCs/>
          <w:sz w:val="24"/>
          <w:szCs w:val="24"/>
          <w:vertAlign w:val="superscript"/>
          <w:lang w:val="en-US"/>
        </w:rPr>
        <w:t>3</w:t>
      </w:r>
    </w:p>
    <w:p w14:paraId="7FBF6EF2" w14:textId="77777777" w:rsidR="0001490B" w:rsidRPr="009178A2" w:rsidRDefault="0001490B" w:rsidP="0001490B">
      <w:pPr>
        <w:pStyle w:val="MDPI31text"/>
        <w:spacing w:line="480" w:lineRule="auto"/>
        <w:ind w:firstLine="0"/>
        <w:contextualSpacing/>
        <w:rPr>
          <w:rFonts w:asciiTheme="majorHAnsi" w:hAnsiTheme="majorHAnsi" w:cstheme="majorHAnsi"/>
          <w:b/>
          <w:sz w:val="22"/>
          <w:szCs w:val="24"/>
        </w:rPr>
      </w:pPr>
      <w:r w:rsidRPr="009178A2">
        <w:rPr>
          <w:rFonts w:asciiTheme="majorHAnsi" w:hAnsiTheme="majorHAnsi" w:cstheme="majorHAnsi"/>
          <w:b/>
          <w:sz w:val="22"/>
          <w:szCs w:val="24"/>
        </w:rPr>
        <w:t xml:space="preserve">AUTHOR DETAILS </w:t>
      </w:r>
    </w:p>
    <w:p w14:paraId="6E103086" w14:textId="77777777" w:rsidR="0001490B" w:rsidRPr="009178A2" w:rsidRDefault="0001490B" w:rsidP="0001490B">
      <w:pPr>
        <w:spacing w:after="0"/>
        <w:rPr>
          <w:rFonts w:asciiTheme="majorHAnsi" w:hAnsiTheme="majorHAnsi" w:cstheme="majorHAnsi"/>
          <w:lang w:val="en-US"/>
        </w:rPr>
      </w:pPr>
      <w:r w:rsidRPr="009178A2">
        <w:rPr>
          <w:rFonts w:asciiTheme="majorHAnsi" w:hAnsiTheme="majorHAnsi" w:cstheme="majorHAnsi"/>
          <w:vertAlign w:val="superscript"/>
          <w:lang w:val="en-US"/>
        </w:rPr>
        <w:t>1</w:t>
      </w:r>
      <w:r w:rsidRPr="009178A2">
        <w:rPr>
          <w:rFonts w:asciiTheme="majorHAnsi" w:hAnsiTheme="majorHAnsi" w:cstheme="majorHAnsi"/>
          <w:lang w:val="en-US"/>
        </w:rPr>
        <w:t>Division of Physiotherapy,</w:t>
      </w:r>
      <w:r>
        <w:rPr>
          <w:rFonts w:asciiTheme="majorHAnsi" w:hAnsiTheme="majorHAnsi" w:cstheme="majorHAnsi"/>
          <w:lang w:val="en-US"/>
        </w:rPr>
        <w:t xml:space="preserve"> Department of</w:t>
      </w:r>
      <w:r w:rsidRPr="009178A2">
        <w:rPr>
          <w:rFonts w:asciiTheme="majorHAnsi" w:hAnsiTheme="majorHAnsi" w:cstheme="majorHAnsi"/>
          <w:lang w:val="en-US"/>
        </w:rPr>
        <w:t xml:space="preserve"> Health and Rehabilitation Sciences, </w:t>
      </w:r>
      <w:r w:rsidRPr="009178A2">
        <w:rPr>
          <w:rFonts w:asciiTheme="majorHAnsi" w:hAnsiTheme="majorHAnsi" w:cstheme="majorHAnsi"/>
          <w:bCs/>
          <w:lang w:val="en-US"/>
        </w:rPr>
        <w:t xml:space="preserve">Faculty of Medicine and Health Sciences, </w:t>
      </w:r>
      <w:r w:rsidRPr="009178A2">
        <w:rPr>
          <w:rFonts w:asciiTheme="majorHAnsi" w:hAnsiTheme="majorHAnsi" w:cstheme="majorHAnsi"/>
          <w:lang w:val="en-US"/>
        </w:rPr>
        <w:t>Stellenbosch University, Cape Town, South Africa</w:t>
      </w:r>
    </w:p>
    <w:p w14:paraId="7E227332" w14:textId="77777777" w:rsidR="0001490B" w:rsidRPr="009178A2" w:rsidRDefault="0001490B" w:rsidP="0001490B">
      <w:pPr>
        <w:spacing w:before="120"/>
        <w:contextualSpacing/>
        <w:rPr>
          <w:rFonts w:asciiTheme="majorHAnsi" w:hAnsiTheme="majorHAnsi" w:cstheme="majorHAnsi"/>
          <w:bCs/>
          <w:lang w:val="en-US"/>
        </w:rPr>
      </w:pPr>
      <w:r w:rsidRPr="009178A2">
        <w:rPr>
          <w:rFonts w:asciiTheme="majorHAnsi" w:hAnsiTheme="majorHAnsi" w:cstheme="majorHAnsi"/>
          <w:vertAlign w:val="superscript"/>
          <w:lang w:val="en-US"/>
        </w:rPr>
        <w:t>2</w:t>
      </w:r>
      <w:r w:rsidRPr="009178A2">
        <w:rPr>
          <w:rFonts w:asciiTheme="majorHAnsi" w:hAnsiTheme="majorHAnsi" w:cstheme="majorHAnsi"/>
          <w:lang w:val="en-US"/>
        </w:rPr>
        <w:t xml:space="preserve">Division of Epidemiology and Biostatistics, </w:t>
      </w:r>
      <w:r w:rsidRPr="009178A2">
        <w:rPr>
          <w:rFonts w:asciiTheme="majorHAnsi" w:hAnsiTheme="majorHAnsi" w:cstheme="majorHAnsi"/>
          <w:bCs/>
          <w:lang w:val="en-US"/>
        </w:rPr>
        <w:t xml:space="preserve">Department of Global Health, Faculty of Medicine and Health Sciences, Stellenbosch University, </w:t>
      </w:r>
      <w:r w:rsidRPr="009178A2">
        <w:rPr>
          <w:rFonts w:asciiTheme="majorHAnsi" w:hAnsiTheme="majorHAnsi" w:cstheme="majorHAnsi"/>
          <w:lang w:val="en-US"/>
        </w:rPr>
        <w:t>Cape Town, South Africa</w:t>
      </w:r>
      <w:r w:rsidRPr="009178A2" w:rsidDel="00710922">
        <w:rPr>
          <w:rFonts w:asciiTheme="majorHAnsi" w:hAnsiTheme="majorHAnsi" w:cstheme="majorHAnsi"/>
          <w:bCs/>
          <w:lang w:val="en-US"/>
        </w:rPr>
        <w:t xml:space="preserve"> </w:t>
      </w:r>
    </w:p>
    <w:p w14:paraId="0AAA425F" w14:textId="77777777" w:rsidR="0001490B" w:rsidRPr="009178A2" w:rsidRDefault="0001490B" w:rsidP="0001490B">
      <w:pPr>
        <w:rPr>
          <w:rFonts w:asciiTheme="majorHAnsi" w:hAnsiTheme="majorHAnsi" w:cstheme="majorHAnsi"/>
          <w:b/>
          <w:bCs/>
          <w:sz w:val="20"/>
          <w:szCs w:val="20"/>
          <w:lang w:val="en-US"/>
        </w:rPr>
      </w:pPr>
      <w:r w:rsidRPr="009178A2">
        <w:rPr>
          <w:rFonts w:asciiTheme="majorHAnsi" w:hAnsiTheme="majorHAnsi" w:cstheme="majorHAnsi"/>
          <w:bCs/>
          <w:vertAlign w:val="superscript"/>
          <w:lang w:val="en-US"/>
        </w:rPr>
        <w:t>3</w:t>
      </w:r>
      <w:r w:rsidRPr="009178A2">
        <w:rPr>
          <w:rFonts w:asciiTheme="majorHAnsi" w:hAnsiTheme="majorHAnsi" w:cstheme="majorHAnsi"/>
          <w:bCs/>
          <w:lang w:val="en-US"/>
        </w:rPr>
        <w:t xml:space="preserve">Global Health and Tropical Medicine (GHTM) &amp; WHO Collaborating Centre for Health Workforce Policy and Planning, Institute of Hygiene and Tropical Medicine - NOVA University of Lisbon (IHMT-UNL), </w:t>
      </w:r>
      <w:proofErr w:type="spellStart"/>
      <w:r w:rsidRPr="009178A2">
        <w:rPr>
          <w:rFonts w:asciiTheme="majorHAnsi" w:hAnsiTheme="majorHAnsi" w:cstheme="majorHAnsi"/>
          <w:bCs/>
          <w:lang w:val="en-US"/>
        </w:rPr>
        <w:t>Rua</w:t>
      </w:r>
      <w:proofErr w:type="spellEnd"/>
      <w:r w:rsidRPr="009178A2">
        <w:rPr>
          <w:rFonts w:asciiTheme="majorHAnsi" w:hAnsiTheme="majorHAnsi" w:cstheme="majorHAnsi"/>
          <w:bCs/>
          <w:lang w:val="en-US"/>
        </w:rPr>
        <w:t xml:space="preserve"> da </w:t>
      </w:r>
      <w:proofErr w:type="spellStart"/>
      <w:r w:rsidRPr="009178A2">
        <w:rPr>
          <w:rFonts w:asciiTheme="majorHAnsi" w:hAnsiTheme="majorHAnsi" w:cstheme="majorHAnsi"/>
          <w:bCs/>
          <w:lang w:val="en-US"/>
        </w:rPr>
        <w:t>Junqueira</w:t>
      </w:r>
      <w:proofErr w:type="spellEnd"/>
      <w:r w:rsidRPr="009178A2">
        <w:rPr>
          <w:rFonts w:asciiTheme="majorHAnsi" w:hAnsiTheme="majorHAnsi" w:cstheme="majorHAnsi"/>
          <w:bCs/>
          <w:lang w:val="en-US"/>
        </w:rPr>
        <w:t xml:space="preserve"> 100, Lisbon 1349-008, </w:t>
      </w:r>
      <w:proofErr w:type="gramStart"/>
      <w:r w:rsidRPr="009178A2">
        <w:rPr>
          <w:rFonts w:asciiTheme="majorHAnsi" w:hAnsiTheme="majorHAnsi" w:cstheme="majorHAnsi"/>
          <w:bCs/>
          <w:lang w:val="en-US"/>
        </w:rPr>
        <w:t>Portugal</w:t>
      </w:r>
      <w:proofErr w:type="gramEnd"/>
    </w:p>
    <w:p w14:paraId="6C72A71A" w14:textId="40C0FE12" w:rsidR="00F77E25" w:rsidRPr="00135BDB" w:rsidRDefault="00F77E25" w:rsidP="00F77E25">
      <w:pPr>
        <w:spacing w:before="120"/>
        <w:contextualSpacing/>
        <w:rPr>
          <w:rFonts w:asciiTheme="majorHAnsi" w:hAnsiTheme="majorHAnsi" w:cstheme="majorHAnsi"/>
          <w:lang w:val="en-GB"/>
        </w:rPr>
      </w:pPr>
    </w:p>
    <w:p w14:paraId="1794EEDC" w14:textId="77777777" w:rsidR="00EE0C99" w:rsidRPr="007E3CB3" w:rsidRDefault="00F77E25" w:rsidP="00EE0C99">
      <w:pPr>
        <w:rPr>
          <w:rFonts w:asciiTheme="majorHAnsi" w:hAnsiTheme="majorHAnsi" w:cstheme="majorHAnsi"/>
          <w:b/>
        </w:rPr>
      </w:pPr>
      <w:r>
        <w:rPr>
          <w:rFonts w:asciiTheme="majorHAnsi" w:hAnsiTheme="majorHAnsi" w:cstheme="majorHAnsi"/>
          <w:b/>
        </w:rPr>
        <w:br w:type="page"/>
      </w:r>
      <w:r w:rsidR="00EE0C99" w:rsidRPr="007E3CB3">
        <w:rPr>
          <w:rFonts w:asciiTheme="majorHAnsi" w:hAnsiTheme="majorHAnsi" w:cstheme="majorHAnsi"/>
          <w:b/>
        </w:rPr>
        <w:lastRenderedPageBreak/>
        <w:t xml:space="preserve">Additional File </w:t>
      </w:r>
      <w:r w:rsidR="00EE0C99">
        <w:rPr>
          <w:rFonts w:asciiTheme="majorHAnsi" w:hAnsiTheme="majorHAnsi" w:cstheme="majorHAnsi"/>
          <w:b/>
        </w:rPr>
        <w:t>1</w:t>
      </w:r>
    </w:p>
    <w:p w14:paraId="479C381A" w14:textId="77777777" w:rsidR="00EE0C99" w:rsidRPr="007E3CB3" w:rsidRDefault="00EE0C99" w:rsidP="00EE0C99">
      <w:pPr>
        <w:rPr>
          <w:rFonts w:asciiTheme="majorHAnsi" w:hAnsiTheme="majorHAnsi" w:cstheme="majorHAnsi"/>
          <w:b/>
        </w:rPr>
      </w:pPr>
      <w:r w:rsidRPr="007E3CB3">
        <w:rPr>
          <w:rFonts w:asciiTheme="majorHAnsi" w:hAnsiTheme="majorHAnsi" w:cstheme="majorHAnsi"/>
          <w:b/>
        </w:rPr>
        <w:t>Methods of extrapolation</w:t>
      </w:r>
    </w:p>
    <w:p w14:paraId="4F21108A" w14:textId="77777777" w:rsidR="00EE0C99" w:rsidRPr="007E3CB3" w:rsidRDefault="00EE0C99" w:rsidP="00EE0C99">
      <w:pPr>
        <w:pStyle w:val="ListParagraph"/>
        <w:numPr>
          <w:ilvl w:val="0"/>
          <w:numId w:val="1"/>
        </w:numPr>
        <w:spacing w:after="160" w:line="259" w:lineRule="auto"/>
        <w:contextualSpacing/>
        <w:rPr>
          <w:rFonts w:asciiTheme="majorHAnsi" w:hAnsiTheme="majorHAnsi" w:cstheme="majorHAnsi"/>
        </w:rPr>
      </w:pPr>
      <w:r w:rsidRPr="007E3CB3">
        <w:rPr>
          <w:rFonts w:asciiTheme="majorHAnsi" w:hAnsiTheme="majorHAnsi" w:cstheme="majorHAnsi"/>
        </w:rPr>
        <w:t xml:space="preserve">The overall shape of the known </w:t>
      </w:r>
      <w:r w:rsidRPr="0001490B">
        <w:rPr>
          <w:rFonts w:asciiTheme="majorHAnsi" w:hAnsiTheme="majorHAnsi" w:cstheme="majorHAnsi"/>
        </w:rPr>
        <w:t>estimates</w:t>
      </w:r>
      <w:r>
        <w:rPr>
          <w:rFonts w:asciiTheme="majorHAnsi" w:hAnsiTheme="majorHAnsi" w:cstheme="majorHAnsi"/>
        </w:rPr>
        <w:t xml:space="preserve"> </w:t>
      </w:r>
      <w:r w:rsidRPr="007E3CB3">
        <w:rPr>
          <w:rFonts w:asciiTheme="majorHAnsi" w:hAnsiTheme="majorHAnsi" w:cstheme="majorHAnsi"/>
        </w:rPr>
        <w:t>from 1990</w:t>
      </w:r>
      <w:r w:rsidRPr="007E3CB3">
        <w:rPr>
          <w:rFonts w:asciiTheme="majorHAnsi" w:hAnsiTheme="majorHAnsi" w:cstheme="majorHAnsi"/>
          <w:color w:val="000000" w:themeColor="text1"/>
          <w:bdr w:val="none" w:sz="0" w:space="0" w:color="auto" w:frame="1"/>
        </w:rPr>
        <w:t>–</w:t>
      </w:r>
      <w:r w:rsidRPr="007E3CB3">
        <w:rPr>
          <w:rFonts w:asciiTheme="majorHAnsi" w:hAnsiTheme="majorHAnsi" w:cstheme="majorHAnsi"/>
        </w:rPr>
        <w:t xml:space="preserve">2017 was described graphically.  </w:t>
      </w:r>
    </w:p>
    <w:p w14:paraId="428468D5" w14:textId="77777777" w:rsidR="00EE0C99" w:rsidRPr="007E3CB3" w:rsidRDefault="00EE0C99" w:rsidP="00EE0C99">
      <w:pPr>
        <w:pStyle w:val="ListParagraph"/>
        <w:numPr>
          <w:ilvl w:val="0"/>
          <w:numId w:val="1"/>
        </w:numPr>
        <w:spacing w:after="160" w:line="259" w:lineRule="auto"/>
        <w:contextualSpacing/>
        <w:rPr>
          <w:rFonts w:asciiTheme="majorHAnsi" w:hAnsiTheme="majorHAnsi" w:cstheme="majorHAnsi"/>
        </w:rPr>
      </w:pPr>
      <w:r w:rsidRPr="007E3CB3">
        <w:rPr>
          <w:rFonts w:asciiTheme="majorHAnsi" w:hAnsiTheme="majorHAnsi" w:cstheme="majorHAnsi"/>
        </w:rPr>
        <w:t xml:space="preserve">The % change in </w:t>
      </w:r>
      <w:r w:rsidRPr="0001490B">
        <w:rPr>
          <w:rFonts w:asciiTheme="majorHAnsi" w:hAnsiTheme="majorHAnsi" w:cstheme="majorHAnsi"/>
        </w:rPr>
        <w:t>estimates</w:t>
      </w:r>
      <w:r w:rsidRPr="007E3CB3">
        <w:rPr>
          <w:rFonts w:asciiTheme="majorHAnsi" w:hAnsiTheme="majorHAnsi" w:cstheme="majorHAnsi"/>
        </w:rPr>
        <w:t xml:space="preserve"> each year since 2012 was calculated to indicate recent change over time.  </w:t>
      </w:r>
    </w:p>
    <w:p w14:paraId="6CB68007" w14:textId="77777777" w:rsidR="00EE0C99" w:rsidRPr="007E3CB3" w:rsidRDefault="00EE0C99" w:rsidP="00EE0C99">
      <w:pPr>
        <w:pStyle w:val="ListParagraph"/>
        <w:numPr>
          <w:ilvl w:val="0"/>
          <w:numId w:val="1"/>
        </w:numPr>
        <w:spacing w:after="160" w:line="259" w:lineRule="auto"/>
        <w:contextualSpacing/>
        <w:rPr>
          <w:rFonts w:asciiTheme="majorHAnsi" w:hAnsiTheme="majorHAnsi" w:cstheme="majorHAnsi"/>
        </w:rPr>
      </w:pPr>
      <w:r w:rsidRPr="007E3CB3">
        <w:rPr>
          <w:rFonts w:asciiTheme="majorHAnsi" w:hAnsiTheme="majorHAnsi" w:cstheme="majorHAnsi"/>
        </w:rPr>
        <w:t>The % change was graphed for 2012</w:t>
      </w:r>
      <w:r w:rsidRPr="007E3CB3">
        <w:rPr>
          <w:rFonts w:asciiTheme="majorHAnsi" w:hAnsiTheme="majorHAnsi" w:cstheme="majorHAnsi"/>
          <w:color w:val="000000" w:themeColor="text1"/>
          <w:bdr w:val="none" w:sz="0" w:space="0" w:color="auto" w:frame="1"/>
        </w:rPr>
        <w:t>–</w:t>
      </w:r>
      <w:r w:rsidRPr="007E3CB3">
        <w:rPr>
          <w:rFonts w:asciiTheme="majorHAnsi" w:hAnsiTheme="majorHAnsi" w:cstheme="majorHAnsi"/>
        </w:rPr>
        <w:t xml:space="preserve">2017 and the type of line of best fit for this subset of </w:t>
      </w:r>
      <w:r w:rsidRPr="0001490B">
        <w:rPr>
          <w:rFonts w:asciiTheme="majorHAnsi" w:hAnsiTheme="majorHAnsi" w:cstheme="majorHAnsi"/>
        </w:rPr>
        <w:t>estimates</w:t>
      </w:r>
      <w:r>
        <w:rPr>
          <w:rFonts w:asciiTheme="majorHAnsi" w:hAnsiTheme="majorHAnsi" w:cstheme="majorHAnsi"/>
        </w:rPr>
        <w:t xml:space="preserve"> </w:t>
      </w:r>
      <w:r w:rsidRPr="007E3CB3">
        <w:rPr>
          <w:rFonts w:asciiTheme="majorHAnsi" w:hAnsiTheme="majorHAnsi" w:cstheme="majorHAnsi"/>
        </w:rPr>
        <w:t xml:space="preserve">was identified.  The appropriate equation for the line of best fit was determined.  </w:t>
      </w:r>
    </w:p>
    <w:p w14:paraId="305A85C7" w14:textId="77777777" w:rsidR="00EE0C99" w:rsidRPr="007E3CB3" w:rsidRDefault="00EE0C99" w:rsidP="00EE0C99">
      <w:pPr>
        <w:pStyle w:val="ListParagraph"/>
        <w:numPr>
          <w:ilvl w:val="0"/>
          <w:numId w:val="1"/>
        </w:numPr>
        <w:spacing w:after="160" w:line="259" w:lineRule="auto"/>
        <w:contextualSpacing/>
        <w:rPr>
          <w:rFonts w:asciiTheme="majorHAnsi" w:hAnsiTheme="majorHAnsi" w:cstheme="majorHAnsi"/>
        </w:rPr>
      </w:pPr>
      <w:r w:rsidRPr="007E3CB3">
        <w:rPr>
          <w:rFonts w:asciiTheme="majorHAnsi" w:hAnsiTheme="majorHAnsi" w:cstheme="majorHAnsi"/>
        </w:rPr>
        <w:t>The slope element of the relevant equation was then applied to the known % change from 2017 to estimate % change for each subsequent year (2018</w:t>
      </w:r>
      <w:r w:rsidRPr="007E3CB3">
        <w:rPr>
          <w:rFonts w:asciiTheme="majorHAnsi" w:hAnsiTheme="majorHAnsi" w:cstheme="majorHAnsi"/>
          <w:color w:val="000000" w:themeColor="text1"/>
          <w:bdr w:val="none" w:sz="0" w:space="0" w:color="auto" w:frame="1"/>
        </w:rPr>
        <w:t>–</w:t>
      </w:r>
      <w:r w:rsidRPr="007E3CB3">
        <w:rPr>
          <w:rFonts w:asciiTheme="majorHAnsi" w:hAnsiTheme="majorHAnsi" w:cstheme="majorHAnsi"/>
        </w:rPr>
        <w:t xml:space="preserve">2022).  </w:t>
      </w:r>
    </w:p>
    <w:p w14:paraId="1BCAF93D" w14:textId="77777777" w:rsidR="00EE0C99" w:rsidRDefault="00EE0C99" w:rsidP="00EE0C99">
      <w:pPr>
        <w:pStyle w:val="ListParagraph"/>
        <w:numPr>
          <w:ilvl w:val="0"/>
          <w:numId w:val="1"/>
        </w:numPr>
        <w:spacing w:after="160" w:line="259" w:lineRule="auto"/>
        <w:contextualSpacing/>
        <w:rPr>
          <w:rFonts w:asciiTheme="majorHAnsi" w:hAnsiTheme="majorHAnsi" w:cstheme="majorHAnsi"/>
        </w:rPr>
      </w:pPr>
      <w:r w:rsidRPr="007E3CB3">
        <w:rPr>
          <w:rFonts w:asciiTheme="majorHAnsi" w:hAnsiTheme="majorHAnsi" w:cstheme="majorHAnsi"/>
        </w:rPr>
        <w:t>The estimated rate for 2018</w:t>
      </w:r>
      <w:r w:rsidRPr="007E3CB3">
        <w:rPr>
          <w:rFonts w:asciiTheme="majorHAnsi" w:hAnsiTheme="majorHAnsi" w:cstheme="majorHAnsi"/>
          <w:color w:val="000000" w:themeColor="text1"/>
          <w:bdr w:val="none" w:sz="0" w:space="0" w:color="auto" w:frame="1"/>
        </w:rPr>
        <w:t>–</w:t>
      </w:r>
      <w:r w:rsidRPr="007E3CB3">
        <w:rPr>
          <w:rFonts w:asciiTheme="majorHAnsi" w:hAnsiTheme="majorHAnsi" w:cstheme="majorHAnsi"/>
        </w:rPr>
        <w:t>2022 was then calculated by adjusting the rate from the preceding year by the extrapolated incremental rate change between the preceding year and the next.  For instance, the known rate in 2017 was adjusted by the extrapolated incremental rate change between 2017</w:t>
      </w:r>
      <w:r w:rsidRPr="007E3CB3">
        <w:rPr>
          <w:rFonts w:asciiTheme="majorHAnsi" w:hAnsiTheme="majorHAnsi" w:cstheme="majorHAnsi"/>
          <w:color w:val="000000" w:themeColor="text1"/>
          <w:bdr w:val="none" w:sz="0" w:space="0" w:color="auto" w:frame="1"/>
        </w:rPr>
        <w:t>–</w:t>
      </w:r>
      <w:r w:rsidRPr="007E3CB3">
        <w:rPr>
          <w:rFonts w:asciiTheme="majorHAnsi" w:hAnsiTheme="majorHAnsi" w:cstheme="majorHAnsi"/>
        </w:rPr>
        <w:t>2018 to estimate the 2018 rate.  Then the extrapolated rate in 2018 was further adjusted by the extrapolated incremental rate change between 2018</w:t>
      </w:r>
      <w:r w:rsidRPr="007E3CB3">
        <w:rPr>
          <w:rFonts w:asciiTheme="majorHAnsi" w:hAnsiTheme="majorHAnsi" w:cstheme="majorHAnsi"/>
          <w:color w:val="000000" w:themeColor="text1"/>
          <w:bdr w:val="none" w:sz="0" w:space="0" w:color="auto" w:frame="1"/>
        </w:rPr>
        <w:t>–</w:t>
      </w:r>
      <w:r w:rsidRPr="007E3CB3">
        <w:rPr>
          <w:rFonts w:asciiTheme="majorHAnsi" w:hAnsiTheme="majorHAnsi" w:cstheme="majorHAnsi"/>
        </w:rPr>
        <w:t>2019 to estimate the 2019 rate, and so on.</w:t>
      </w:r>
    </w:p>
    <w:p w14:paraId="54C859BF" w14:textId="77777777" w:rsidR="00EE0C99" w:rsidRPr="007E3CB3" w:rsidRDefault="00EE0C99" w:rsidP="00EE0C99">
      <w:pPr>
        <w:pStyle w:val="ListParagraph"/>
        <w:spacing w:after="160" w:line="259" w:lineRule="auto"/>
        <w:contextualSpacing/>
        <w:rPr>
          <w:rFonts w:asciiTheme="majorHAnsi" w:hAnsiTheme="majorHAnsi" w:cstheme="majorHAnsi"/>
        </w:rPr>
      </w:pPr>
    </w:p>
    <w:tbl>
      <w:tblPr>
        <w:tblStyle w:val="TableGrid"/>
        <w:tblW w:w="0" w:type="auto"/>
        <w:tblLook w:val="04A0" w:firstRow="1" w:lastRow="0" w:firstColumn="1" w:lastColumn="0" w:noHBand="0" w:noVBand="1"/>
      </w:tblPr>
      <w:tblGrid>
        <w:gridCol w:w="3681"/>
        <w:gridCol w:w="2329"/>
        <w:gridCol w:w="3006"/>
      </w:tblGrid>
      <w:tr w:rsidR="00EE0C99" w:rsidRPr="007E3CB3" w14:paraId="2483AE59" w14:textId="77777777" w:rsidTr="00FE52C4">
        <w:tc>
          <w:tcPr>
            <w:tcW w:w="3681" w:type="dxa"/>
            <w:tcBorders>
              <w:bottom w:val="single" w:sz="4" w:space="0" w:color="auto"/>
            </w:tcBorders>
          </w:tcPr>
          <w:p w14:paraId="2527E442" w14:textId="77777777" w:rsidR="00EE0C99" w:rsidRPr="007E3CB3" w:rsidRDefault="00EE0C99" w:rsidP="00FE52C4">
            <w:pPr>
              <w:spacing w:line="240" w:lineRule="auto"/>
              <w:rPr>
                <w:rFonts w:asciiTheme="majorHAnsi" w:hAnsiTheme="majorHAnsi" w:cstheme="majorHAnsi"/>
                <w:b/>
                <w:bCs/>
              </w:rPr>
            </w:pPr>
            <w:r w:rsidRPr="007E3CB3">
              <w:rPr>
                <w:rFonts w:asciiTheme="majorHAnsi" w:hAnsiTheme="majorHAnsi" w:cstheme="majorHAnsi"/>
                <w:b/>
                <w:bCs/>
              </w:rPr>
              <w:t xml:space="preserve">Condition </w:t>
            </w:r>
          </w:p>
        </w:tc>
        <w:tc>
          <w:tcPr>
            <w:tcW w:w="2329" w:type="dxa"/>
            <w:tcBorders>
              <w:bottom w:val="single" w:sz="4" w:space="0" w:color="auto"/>
            </w:tcBorders>
          </w:tcPr>
          <w:p w14:paraId="066C72B9" w14:textId="77777777" w:rsidR="00EE0C99" w:rsidRPr="007E3CB3" w:rsidRDefault="00EE0C99" w:rsidP="00FE52C4">
            <w:pPr>
              <w:spacing w:line="240" w:lineRule="auto"/>
              <w:rPr>
                <w:rFonts w:asciiTheme="majorHAnsi" w:hAnsiTheme="majorHAnsi" w:cstheme="majorHAnsi"/>
                <w:b/>
                <w:bCs/>
              </w:rPr>
            </w:pPr>
            <w:r w:rsidRPr="007E3CB3">
              <w:rPr>
                <w:rFonts w:asciiTheme="majorHAnsi" w:hAnsiTheme="majorHAnsi" w:cstheme="majorHAnsi"/>
                <w:b/>
                <w:bCs/>
              </w:rPr>
              <w:t>Line of best fit for yearly % change 2012-2017</w:t>
            </w:r>
          </w:p>
        </w:tc>
        <w:tc>
          <w:tcPr>
            <w:tcW w:w="3006" w:type="dxa"/>
            <w:tcBorders>
              <w:bottom w:val="single" w:sz="4" w:space="0" w:color="auto"/>
            </w:tcBorders>
          </w:tcPr>
          <w:p w14:paraId="0979E646" w14:textId="77777777" w:rsidR="00EE0C99" w:rsidRPr="007E3CB3" w:rsidRDefault="00EE0C99" w:rsidP="00FE52C4">
            <w:pPr>
              <w:spacing w:line="240" w:lineRule="auto"/>
              <w:rPr>
                <w:rFonts w:asciiTheme="majorHAnsi" w:hAnsiTheme="majorHAnsi" w:cstheme="majorHAnsi"/>
                <w:b/>
                <w:bCs/>
              </w:rPr>
            </w:pPr>
            <w:r w:rsidRPr="007E3CB3">
              <w:rPr>
                <w:rFonts w:asciiTheme="majorHAnsi" w:hAnsiTheme="majorHAnsi" w:cstheme="majorHAnsi"/>
                <w:b/>
                <w:bCs/>
              </w:rPr>
              <w:t>Equation used for calculation (did not include the intercept)</w:t>
            </w:r>
          </w:p>
        </w:tc>
      </w:tr>
      <w:tr w:rsidR="00EE0C99" w:rsidRPr="007E3CB3" w14:paraId="49D8958E" w14:textId="77777777" w:rsidTr="00FE52C4">
        <w:tc>
          <w:tcPr>
            <w:tcW w:w="3681" w:type="dxa"/>
            <w:tcBorders>
              <w:top w:val="single" w:sz="4" w:space="0" w:color="auto"/>
              <w:left w:val="single" w:sz="4" w:space="0" w:color="auto"/>
              <w:bottom w:val="single" w:sz="4" w:space="0" w:color="auto"/>
              <w:right w:val="nil"/>
            </w:tcBorders>
            <w:shd w:val="clear" w:color="auto" w:fill="auto"/>
            <w:vAlign w:val="bottom"/>
          </w:tcPr>
          <w:p w14:paraId="6AC45888"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color w:val="000000"/>
              </w:rPr>
              <w:t>Stroke (CVA)</w:t>
            </w:r>
          </w:p>
        </w:tc>
        <w:tc>
          <w:tcPr>
            <w:tcW w:w="2329" w:type="dxa"/>
            <w:tcBorders>
              <w:top w:val="single" w:sz="4" w:space="0" w:color="auto"/>
              <w:bottom w:val="single" w:sz="4" w:space="0" w:color="auto"/>
            </w:tcBorders>
          </w:tcPr>
          <w:p w14:paraId="09854F32"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rPr>
              <w:t xml:space="preserve">Linear, decreasing </w:t>
            </w:r>
          </w:p>
        </w:tc>
        <w:tc>
          <w:tcPr>
            <w:tcW w:w="3006" w:type="dxa"/>
            <w:tcBorders>
              <w:top w:val="single" w:sz="4" w:space="0" w:color="auto"/>
              <w:bottom w:val="single" w:sz="4" w:space="0" w:color="auto"/>
            </w:tcBorders>
          </w:tcPr>
          <w:p w14:paraId="5A3BF952"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rPr>
              <w:t>Y=-0.25x</w:t>
            </w:r>
          </w:p>
        </w:tc>
      </w:tr>
      <w:tr w:rsidR="00EE0C99" w:rsidRPr="007E3CB3" w14:paraId="7C6F3302" w14:textId="77777777" w:rsidTr="00FE52C4">
        <w:tc>
          <w:tcPr>
            <w:tcW w:w="3681" w:type="dxa"/>
            <w:tcBorders>
              <w:top w:val="single" w:sz="4" w:space="0" w:color="auto"/>
              <w:left w:val="single" w:sz="4" w:space="0" w:color="auto"/>
              <w:bottom w:val="single" w:sz="4" w:space="0" w:color="auto"/>
              <w:right w:val="nil"/>
            </w:tcBorders>
            <w:shd w:val="clear" w:color="auto" w:fill="auto"/>
            <w:vAlign w:val="bottom"/>
          </w:tcPr>
          <w:p w14:paraId="14EE4F77"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color w:val="000000"/>
              </w:rPr>
              <w:t>HIV</w:t>
            </w:r>
          </w:p>
        </w:tc>
        <w:tc>
          <w:tcPr>
            <w:tcW w:w="2329" w:type="dxa"/>
            <w:tcBorders>
              <w:top w:val="single" w:sz="4" w:space="0" w:color="auto"/>
              <w:bottom w:val="single" w:sz="4" w:space="0" w:color="auto"/>
            </w:tcBorders>
          </w:tcPr>
          <w:p w14:paraId="156B4AC5"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rPr>
              <w:t>Linear, decreasing</w:t>
            </w:r>
          </w:p>
        </w:tc>
        <w:tc>
          <w:tcPr>
            <w:tcW w:w="3006" w:type="dxa"/>
            <w:tcBorders>
              <w:top w:val="single" w:sz="4" w:space="0" w:color="auto"/>
              <w:bottom w:val="single" w:sz="4" w:space="0" w:color="auto"/>
            </w:tcBorders>
          </w:tcPr>
          <w:p w14:paraId="5020266E"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color w:val="000000"/>
              </w:rPr>
              <w:t>Y= -1.34x</w:t>
            </w:r>
          </w:p>
        </w:tc>
      </w:tr>
      <w:tr w:rsidR="00EE0C99" w:rsidRPr="007E3CB3" w14:paraId="366935DC" w14:textId="77777777" w:rsidTr="00FE52C4">
        <w:tc>
          <w:tcPr>
            <w:tcW w:w="3681" w:type="dxa"/>
            <w:tcBorders>
              <w:top w:val="single" w:sz="4" w:space="0" w:color="auto"/>
              <w:left w:val="single" w:sz="4" w:space="0" w:color="auto"/>
              <w:bottom w:val="single" w:sz="4" w:space="0" w:color="auto"/>
              <w:right w:val="nil"/>
            </w:tcBorders>
            <w:shd w:val="clear" w:color="auto" w:fill="auto"/>
            <w:vAlign w:val="bottom"/>
          </w:tcPr>
          <w:p w14:paraId="5104C6E4"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color w:val="000000"/>
              </w:rPr>
              <w:t>Type 2 Diabetes</w:t>
            </w:r>
          </w:p>
        </w:tc>
        <w:tc>
          <w:tcPr>
            <w:tcW w:w="2329" w:type="dxa"/>
            <w:tcBorders>
              <w:top w:val="single" w:sz="4" w:space="0" w:color="auto"/>
              <w:bottom w:val="single" w:sz="4" w:space="0" w:color="auto"/>
            </w:tcBorders>
          </w:tcPr>
          <w:p w14:paraId="3F4EF9B6"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rPr>
              <w:t>Linear, decreasing</w:t>
            </w:r>
          </w:p>
        </w:tc>
        <w:tc>
          <w:tcPr>
            <w:tcW w:w="3006" w:type="dxa"/>
            <w:tcBorders>
              <w:top w:val="single" w:sz="4" w:space="0" w:color="auto"/>
              <w:bottom w:val="single" w:sz="4" w:space="0" w:color="auto"/>
            </w:tcBorders>
          </w:tcPr>
          <w:p w14:paraId="53CE8FA3" w14:textId="77777777" w:rsidR="00EE0C99" w:rsidRPr="007E3CB3" w:rsidRDefault="00EE0C99" w:rsidP="00FE52C4">
            <w:pPr>
              <w:spacing w:after="120" w:line="240" w:lineRule="auto"/>
              <w:rPr>
                <w:rFonts w:asciiTheme="majorHAnsi" w:hAnsiTheme="majorHAnsi" w:cstheme="majorHAnsi"/>
                <w:color w:val="000000"/>
              </w:rPr>
            </w:pPr>
            <w:r w:rsidRPr="007E3CB3">
              <w:rPr>
                <w:rFonts w:asciiTheme="majorHAnsi" w:hAnsiTheme="majorHAnsi" w:cstheme="majorHAnsi"/>
              </w:rPr>
              <w:t xml:space="preserve">Y = </w:t>
            </w:r>
            <w:r w:rsidRPr="007E3CB3">
              <w:rPr>
                <w:rFonts w:asciiTheme="majorHAnsi" w:hAnsiTheme="majorHAnsi" w:cstheme="majorHAnsi"/>
                <w:color w:val="000000"/>
              </w:rPr>
              <w:t>-0.21x</w:t>
            </w:r>
          </w:p>
        </w:tc>
      </w:tr>
      <w:tr w:rsidR="00EE0C99" w:rsidRPr="007E3CB3" w14:paraId="082C1957" w14:textId="77777777" w:rsidTr="00FE52C4">
        <w:tc>
          <w:tcPr>
            <w:tcW w:w="3681" w:type="dxa"/>
            <w:tcBorders>
              <w:top w:val="single" w:sz="4" w:space="0" w:color="auto"/>
              <w:left w:val="single" w:sz="4" w:space="0" w:color="auto"/>
              <w:bottom w:val="single" w:sz="4" w:space="0" w:color="auto"/>
              <w:right w:val="nil"/>
            </w:tcBorders>
            <w:shd w:val="clear" w:color="auto" w:fill="auto"/>
            <w:vAlign w:val="bottom"/>
          </w:tcPr>
          <w:p w14:paraId="7D4403FF"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color w:val="000000"/>
              </w:rPr>
              <w:t>Neonatal disorders</w:t>
            </w:r>
          </w:p>
        </w:tc>
        <w:tc>
          <w:tcPr>
            <w:tcW w:w="2329" w:type="dxa"/>
            <w:tcBorders>
              <w:top w:val="single" w:sz="4" w:space="0" w:color="auto"/>
              <w:bottom w:val="single" w:sz="4" w:space="0" w:color="auto"/>
            </w:tcBorders>
          </w:tcPr>
          <w:p w14:paraId="355A4DFD"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rPr>
              <w:t xml:space="preserve">Logarithmic </w:t>
            </w:r>
          </w:p>
        </w:tc>
        <w:tc>
          <w:tcPr>
            <w:tcW w:w="3006" w:type="dxa"/>
            <w:tcBorders>
              <w:top w:val="single" w:sz="4" w:space="0" w:color="auto"/>
              <w:bottom w:val="single" w:sz="4" w:space="0" w:color="auto"/>
            </w:tcBorders>
          </w:tcPr>
          <w:p w14:paraId="646EC297"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rPr>
              <w:t>Y = 1.38*(log x)</w:t>
            </w:r>
          </w:p>
        </w:tc>
      </w:tr>
      <w:tr w:rsidR="00EE0C99" w:rsidRPr="007E3CB3" w14:paraId="44261575" w14:textId="77777777" w:rsidTr="00FE52C4">
        <w:tc>
          <w:tcPr>
            <w:tcW w:w="3681" w:type="dxa"/>
            <w:tcBorders>
              <w:top w:val="single" w:sz="4" w:space="0" w:color="auto"/>
              <w:left w:val="single" w:sz="4" w:space="0" w:color="auto"/>
              <w:bottom w:val="single" w:sz="4" w:space="0" w:color="auto"/>
              <w:right w:val="nil"/>
            </w:tcBorders>
            <w:shd w:val="clear" w:color="auto" w:fill="auto"/>
            <w:vAlign w:val="bottom"/>
          </w:tcPr>
          <w:p w14:paraId="1ED4C319"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color w:val="000000"/>
              </w:rPr>
              <w:t>Burns</w:t>
            </w:r>
          </w:p>
        </w:tc>
        <w:tc>
          <w:tcPr>
            <w:tcW w:w="2329" w:type="dxa"/>
            <w:tcBorders>
              <w:top w:val="single" w:sz="4" w:space="0" w:color="auto"/>
              <w:bottom w:val="single" w:sz="4" w:space="0" w:color="auto"/>
            </w:tcBorders>
          </w:tcPr>
          <w:p w14:paraId="634D5B2A"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rPr>
              <w:t xml:space="preserve">Linear, decreasing </w:t>
            </w:r>
          </w:p>
        </w:tc>
        <w:tc>
          <w:tcPr>
            <w:tcW w:w="3006" w:type="dxa"/>
            <w:tcBorders>
              <w:top w:val="single" w:sz="4" w:space="0" w:color="auto"/>
              <w:bottom w:val="single" w:sz="4" w:space="0" w:color="auto"/>
            </w:tcBorders>
          </w:tcPr>
          <w:p w14:paraId="29AF463B"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rPr>
              <w:t>Y = -0.98x</w:t>
            </w:r>
          </w:p>
        </w:tc>
      </w:tr>
      <w:tr w:rsidR="00EE0C99" w:rsidRPr="007E3CB3" w14:paraId="517ACB82" w14:textId="77777777" w:rsidTr="00FE52C4">
        <w:tc>
          <w:tcPr>
            <w:tcW w:w="3681" w:type="dxa"/>
            <w:tcBorders>
              <w:top w:val="single" w:sz="4" w:space="0" w:color="auto"/>
              <w:left w:val="single" w:sz="4" w:space="0" w:color="auto"/>
              <w:bottom w:val="single" w:sz="4" w:space="0" w:color="auto"/>
              <w:right w:val="nil"/>
            </w:tcBorders>
            <w:shd w:val="clear" w:color="auto" w:fill="auto"/>
            <w:vAlign w:val="bottom"/>
          </w:tcPr>
          <w:p w14:paraId="0412030C"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color w:val="000000"/>
              </w:rPr>
              <w:t>Chronic respiratory diseases</w:t>
            </w:r>
          </w:p>
        </w:tc>
        <w:tc>
          <w:tcPr>
            <w:tcW w:w="2329" w:type="dxa"/>
            <w:tcBorders>
              <w:top w:val="single" w:sz="4" w:space="0" w:color="auto"/>
              <w:bottom w:val="single" w:sz="4" w:space="0" w:color="auto"/>
            </w:tcBorders>
          </w:tcPr>
          <w:p w14:paraId="420B9928"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rPr>
              <w:t xml:space="preserve">Linear, decreasing </w:t>
            </w:r>
          </w:p>
        </w:tc>
        <w:tc>
          <w:tcPr>
            <w:tcW w:w="3006" w:type="dxa"/>
            <w:tcBorders>
              <w:top w:val="single" w:sz="4" w:space="0" w:color="auto"/>
              <w:bottom w:val="single" w:sz="4" w:space="0" w:color="auto"/>
            </w:tcBorders>
          </w:tcPr>
          <w:p w14:paraId="51FF7D67"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rPr>
              <w:t>Y= -0.26x</w:t>
            </w:r>
          </w:p>
        </w:tc>
      </w:tr>
      <w:tr w:rsidR="00EE0C99" w:rsidRPr="007E3CB3" w14:paraId="5639A7AC" w14:textId="77777777" w:rsidTr="00FE52C4">
        <w:tc>
          <w:tcPr>
            <w:tcW w:w="3681" w:type="dxa"/>
            <w:tcBorders>
              <w:top w:val="single" w:sz="4" w:space="0" w:color="auto"/>
              <w:left w:val="single" w:sz="4" w:space="0" w:color="auto"/>
              <w:bottom w:val="single" w:sz="4" w:space="0" w:color="auto"/>
              <w:right w:val="nil"/>
            </w:tcBorders>
            <w:shd w:val="clear" w:color="auto" w:fill="auto"/>
            <w:vAlign w:val="bottom"/>
          </w:tcPr>
          <w:p w14:paraId="6EDE1410"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color w:val="000000"/>
              </w:rPr>
              <w:t>Congenital birth defects</w:t>
            </w:r>
          </w:p>
        </w:tc>
        <w:tc>
          <w:tcPr>
            <w:tcW w:w="2329" w:type="dxa"/>
            <w:tcBorders>
              <w:top w:val="single" w:sz="4" w:space="0" w:color="auto"/>
              <w:bottom w:val="single" w:sz="4" w:space="0" w:color="auto"/>
            </w:tcBorders>
          </w:tcPr>
          <w:p w14:paraId="58B4A1D9"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rPr>
              <w:t xml:space="preserve">Linear, decreasing </w:t>
            </w:r>
          </w:p>
        </w:tc>
        <w:tc>
          <w:tcPr>
            <w:tcW w:w="3006" w:type="dxa"/>
            <w:tcBorders>
              <w:top w:val="single" w:sz="4" w:space="0" w:color="auto"/>
              <w:bottom w:val="single" w:sz="4" w:space="0" w:color="auto"/>
            </w:tcBorders>
          </w:tcPr>
          <w:p w14:paraId="24B1DB60"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color w:val="000000"/>
              </w:rPr>
              <w:t>Y = -0.08x</w:t>
            </w:r>
          </w:p>
        </w:tc>
      </w:tr>
      <w:tr w:rsidR="00EE0C99" w:rsidRPr="007E3CB3" w14:paraId="4CA5979D" w14:textId="77777777" w:rsidTr="00FE52C4">
        <w:tc>
          <w:tcPr>
            <w:tcW w:w="3681" w:type="dxa"/>
            <w:tcBorders>
              <w:top w:val="single" w:sz="4" w:space="0" w:color="auto"/>
              <w:left w:val="single" w:sz="4" w:space="0" w:color="auto"/>
              <w:bottom w:val="single" w:sz="4" w:space="0" w:color="auto"/>
              <w:right w:val="nil"/>
            </w:tcBorders>
            <w:shd w:val="clear" w:color="auto" w:fill="auto"/>
            <w:vAlign w:val="bottom"/>
          </w:tcPr>
          <w:p w14:paraId="7CE25B5B"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color w:val="000000"/>
              </w:rPr>
              <w:t>Hearing loss</w:t>
            </w:r>
          </w:p>
        </w:tc>
        <w:tc>
          <w:tcPr>
            <w:tcW w:w="2329" w:type="dxa"/>
            <w:tcBorders>
              <w:top w:val="single" w:sz="4" w:space="0" w:color="auto"/>
              <w:bottom w:val="single" w:sz="4" w:space="0" w:color="auto"/>
            </w:tcBorders>
          </w:tcPr>
          <w:p w14:paraId="12D7A527"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rPr>
              <w:t xml:space="preserve">Linear, decreasing </w:t>
            </w:r>
          </w:p>
        </w:tc>
        <w:tc>
          <w:tcPr>
            <w:tcW w:w="3006" w:type="dxa"/>
            <w:tcBorders>
              <w:top w:val="single" w:sz="4" w:space="0" w:color="auto"/>
              <w:bottom w:val="single" w:sz="4" w:space="0" w:color="auto"/>
            </w:tcBorders>
          </w:tcPr>
          <w:p w14:paraId="75E77CA4"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rPr>
              <w:t>Y = -0.03x</w:t>
            </w:r>
          </w:p>
        </w:tc>
      </w:tr>
      <w:tr w:rsidR="00EE0C99" w:rsidRPr="007E3CB3" w14:paraId="27F2263E" w14:textId="77777777" w:rsidTr="00FE52C4">
        <w:tc>
          <w:tcPr>
            <w:tcW w:w="3681" w:type="dxa"/>
            <w:tcBorders>
              <w:top w:val="single" w:sz="4" w:space="0" w:color="auto"/>
              <w:left w:val="single" w:sz="4" w:space="0" w:color="auto"/>
              <w:bottom w:val="single" w:sz="4" w:space="0" w:color="auto"/>
              <w:right w:val="nil"/>
            </w:tcBorders>
            <w:shd w:val="clear" w:color="auto" w:fill="auto"/>
            <w:vAlign w:val="bottom"/>
          </w:tcPr>
          <w:p w14:paraId="07B63B94"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color w:val="000000"/>
              </w:rPr>
              <w:t>Cardiovascular disease &amp; heart failure</w:t>
            </w:r>
          </w:p>
        </w:tc>
        <w:tc>
          <w:tcPr>
            <w:tcW w:w="2329" w:type="dxa"/>
            <w:tcBorders>
              <w:top w:val="single" w:sz="4" w:space="0" w:color="auto"/>
              <w:bottom w:val="single" w:sz="4" w:space="0" w:color="auto"/>
            </w:tcBorders>
          </w:tcPr>
          <w:p w14:paraId="75185290"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rPr>
              <w:t xml:space="preserve">Linear, increasing </w:t>
            </w:r>
          </w:p>
        </w:tc>
        <w:tc>
          <w:tcPr>
            <w:tcW w:w="3006" w:type="dxa"/>
            <w:tcBorders>
              <w:top w:val="single" w:sz="4" w:space="0" w:color="auto"/>
              <w:bottom w:val="single" w:sz="4" w:space="0" w:color="auto"/>
            </w:tcBorders>
          </w:tcPr>
          <w:p w14:paraId="41244830"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rPr>
              <w:t>Y = 0.008x</w:t>
            </w:r>
          </w:p>
        </w:tc>
      </w:tr>
      <w:tr w:rsidR="00EE0C99" w:rsidRPr="007E3CB3" w14:paraId="62BF5A75" w14:textId="77777777" w:rsidTr="00FE52C4">
        <w:tc>
          <w:tcPr>
            <w:tcW w:w="3681" w:type="dxa"/>
            <w:tcBorders>
              <w:top w:val="single" w:sz="4" w:space="0" w:color="auto"/>
              <w:left w:val="single" w:sz="4" w:space="0" w:color="auto"/>
              <w:bottom w:val="single" w:sz="4" w:space="0" w:color="auto"/>
              <w:right w:val="nil"/>
            </w:tcBorders>
            <w:shd w:val="clear" w:color="auto" w:fill="auto"/>
            <w:vAlign w:val="bottom"/>
          </w:tcPr>
          <w:p w14:paraId="0FB1D2F9"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color w:val="000000"/>
              </w:rPr>
              <w:t>Musculoskeletal conditions</w:t>
            </w:r>
          </w:p>
        </w:tc>
        <w:tc>
          <w:tcPr>
            <w:tcW w:w="2329" w:type="dxa"/>
            <w:tcBorders>
              <w:top w:val="single" w:sz="4" w:space="0" w:color="auto"/>
              <w:bottom w:val="single" w:sz="4" w:space="0" w:color="auto"/>
            </w:tcBorders>
          </w:tcPr>
          <w:p w14:paraId="33F741A5"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rPr>
              <w:t xml:space="preserve">Linear, decreasing </w:t>
            </w:r>
          </w:p>
        </w:tc>
        <w:tc>
          <w:tcPr>
            <w:tcW w:w="3006" w:type="dxa"/>
            <w:tcBorders>
              <w:top w:val="single" w:sz="4" w:space="0" w:color="auto"/>
              <w:bottom w:val="single" w:sz="4" w:space="0" w:color="auto"/>
            </w:tcBorders>
          </w:tcPr>
          <w:p w14:paraId="2F9E30B5"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color w:val="000000"/>
              </w:rPr>
              <w:t>Y = -0.0004x</w:t>
            </w:r>
          </w:p>
        </w:tc>
      </w:tr>
      <w:tr w:rsidR="00EE0C99" w:rsidRPr="007E3CB3" w14:paraId="462BBB67" w14:textId="77777777" w:rsidTr="00FE52C4">
        <w:tc>
          <w:tcPr>
            <w:tcW w:w="3681" w:type="dxa"/>
            <w:tcBorders>
              <w:top w:val="single" w:sz="4" w:space="0" w:color="auto"/>
              <w:left w:val="single" w:sz="4" w:space="0" w:color="auto"/>
              <w:bottom w:val="single" w:sz="4" w:space="0" w:color="auto"/>
              <w:right w:val="nil"/>
            </w:tcBorders>
            <w:shd w:val="clear" w:color="auto" w:fill="auto"/>
            <w:vAlign w:val="bottom"/>
          </w:tcPr>
          <w:p w14:paraId="61FE1803"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color w:val="000000"/>
              </w:rPr>
              <w:t>Fractures &amp; dislocations</w:t>
            </w:r>
          </w:p>
        </w:tc>
        <w:tc>
          <w:tcPr>
            <w:tcW w:w="2329" w:type="dxa"/>
            <w:tcBorders>
              <w:top w:val="single" w:sz="4" w:space="0" w:color="auto"/>
              <w:bottom w:val="single" w:sz="4" w:space="0" w:color="auto"/>
            </w:tcBorders>
          </w:tcPr>
          <w:p w14:paraId="6BEC1F4D"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rPr>
              <w:t xml:space="preserve">Linear, decreasing </w:t>
            </w:r>
          </w:p>
        </w:tc>
        <w:tc>
          <w:tcPr>
            <w:tcW w:w="3006" w:type="dxa"/>
            <w:tcBorders>
              <w:top w:val="single" w:sz="4" w:space="0" w:color="auto"/>
              <w:bottom w:val="single" w:sz="4" w:space="0" w:color="auto"/>
            </w:tcBorders>
          </w:tcPr>
          <w:p w14:paraId="5C79C29C" w14:textId="77777777" w:rsidR="00EE0C99" w:rsidRPr="007E3CB3" w:rsidRDefault="00EE0C99" w:rsidP="00FE52C4">
            <w:pPr>
              <w:spacing w:after="120" w:line="240" w:lineRule="auto"/>
              <w:rPr>
                <w:rFonts w:asciiTheme="majorHAnsi" w:hAnsiTheme="majorHAnsi" w:cstheme="majorHAnsi"/>
              </w:rPr>
            </w:pPr>
            <w:r w:rsidRPr="007E3CB3">
              <w:rPr>
                <w:rFonts w:asciiTheme="majorHAnsi" w:hAnsiTheme="majorHAnsi" w:cstheme="majorHAnsi"/>
                <w:color w:val="000000"/>
              </w:rPr>
              <w:t>Y=-0.798x</w:t>
            </w:r>
          </w:p>
        </w:tc>
      </w:tr>
    </w:tbl>
    <w:p w14:paraId="16C14B5E" w14:textId="77777777" w:rsidR="00EE0C99" w:rsidRPr="007E3CB3" w:rsidRDefault="00EE0C99" w:rsidP="00EE0C99">
      <w:pPr>
        <w:rPr>
          <w:rFonts w:asciiTheme="majorHAnsi" w:hAnsiTheme="majorHAnsi" w:cstheme="majorHAnsi"/>
        </w:rPr>
      </w:pPr>
    </w:p>
    <w:p w14:paraId="5D4A1561" w14:textId="71B0BF9B" w:rsidR="00817E74" w:rsidRPr="00EE0C99" w:rsidRDefault="00817E74" w:rsidP="00EE0C99">
      <w:pPr>
        <w:spacing w:line="259" w:lineRule="auto"/>
        <w:rPr>
          <w:rFonts w:asciiTheme="majorHAnsi" w:hAnsiTheme="majorHAnsi" w:cstheme="majorHAnsi"/>
          <w:b/>
        </w:rPr>
      </w:pPr>
    </w:p>
    <w:sectPr w:rsidR="00817E74" w:rsidRPr="00EE0C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075E0"/>
    <w:multiLevelType w:val="hybridMultilevel"/>
    <w:tmpl w:val="45DED7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44"/>
    <w:rsid w:val="0001490B"/>
    <w:rsid w:val="001A06EF"/>
    <w:rsid w:val="0047233C"/>
    <w:rsid w:val="00727A93"/>
    <w:rsid w:val="00817E74"/>
    <w:rsid w:val="00DA7944"/>
    <w:rsid w:val="00EE0C99"/>
    <w:rsid w:val="00F77E2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AD611"/>
  <w15:chartTrackingRefBased/>
  <w15:docId w15:val="{E6CB1CD8-B86D-4B33-ABEF-4ED5D7A2B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944"/>
    <w:pPr>
      <w:spacing w:line="48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7944"/>
    <w:pPr>
      <w:spacing w:after="0" w:line="240" w:lineRule="auto"/>
      <w:ind w:left="720"/>
    </w:pPr>
    <w:rPr>
      <w:rFonts w:ascii="Times New Roman" w:eastAsiaTheme="minorHAnsi" w:hAnsi="Times New Roman" w:cs="Times New Roman"/>
      <w:sz w:val="24"/>
      <w:szCs w:val="24"/>
      <w:lang w:eastAsia="en-ZA"/>
    </w:rPr>
  </w:style>
  <w:style w:type="table" w:styleId="TableGrid">
    <w:name w:val="Table Grid"/>
    <w:basedOn w:val="TableNormal"/>
    <w:uiPriority w:val="39"/>
    <w:rsid w:val="00DA7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1text">
    <w:name w:val="MDPI_3.1_text"/>
    <w:qFormat/>
    <w:rsid w:val="00F77E25"/>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391</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Conradie, T, Ms [thandic@sun.ac.za]</dc:creator>
  <cp:keywords/>
  <dc:description/>
  <cp:lastModifiedBy>Thandi Conradie</cp:lastModifiedBy>
  <cp:revision>2</cp:revision>
  <dcterms:created xsi:type="dcterms:W3CDTF">2021-03-26T09:52:00Z</dcterms:created>
  <dcterms:modified xsi:type="dcterms:W3CDTF">2021-03-26T09:52:00Z</dcterms:modified>
</cp:coreProperties>
</file>