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768E3" w14:textId="3B683625" w:rsidR="00A069C4" w:rsidRPr="00A069C4" w:rsidRDefault="00F029A0" w:rsidP="00A069C4">
      <w:pPr>
        <w:pStyle w:val="Heading1"/>
        <w:spacing w:line="360" w:lineRule="auto"/>
        <w:jc w:val="both"/>
        <w:rPr>
          <w:rFonts w:ascii="Calibri" w:hAnsi="Calibri"/>
          <w:sz w:val="24"/>
          <w:szCs w:val="24"/>
          <w:u w:color="000000"/>
          <w:lang w:val="en-US"/>
        </w:rPr>
      </w:pPr>
      <w:bookmarkStart w:id="0" w:name="_Toc461297466"/>
      <w:r>
        <w:rPr>
          <w:rFonts w:ascii="Calibri" w:hAnsi="Calibri"/>
          <w:sz w:val="24"/>
          <w:szCs w:val="24"/>
          <w:u w:color="000000"/>
          <w:lang w:val="en-US"/>
        </w:rPr>
        <w:t>Feasibility pilot of an adapted parenting program embedded within the Thai public health system</w:t>
      </w:r>
    </w:p>
    <w:p w14:paraId="167F899C" w14:textId="77777777" w:rsidR="00A069C4" w:rsidRPr="00A069C4" w:rsidRDefault="00A069C4" w:rsidP="00A069C4">
      <w:pPr>
        <w:spacing w:line="360" w:lineRule="auto"/>
        <w:jc w:val="both"/>
        <w:rPr>
          <w:sz w:val="24"/>
          <w:lang w:val="en-US"/>
        </w:rPr>
      </w:pPr>
      <w:bookmarkStart w:id="1" w:name="_GoBack"/>
      <w:bookmarkEnd w:id="1"/>
    </w:p>
    <w:p w14:paraId="35CEE18A" w14:textId="77777777" w:rsidR="00A069C4" w:rsidRDefault="00A069C4" w:rsidP="00A069C4">
      <w:pPr>
        <w:spacing w:line="480" w:lineRule="auto"/>
        <w:jc w:val="both"/>
        <w:rPr>
          <w:vertAlign w:val="superscript"/>
        </w:rPr>
      </w:pPr>
      <w:r w:rsidRPr="00D801B0">
        <w:rPr>
          <w:szCs w:val="22"/>
        </w:rPr>
        <w:t xml:space="preserve">Authors: </w:t>
      </w:r>
      <w:proofErr w:type="spellStart"/>
      <w:r w:rsidRPr="00D801B0">
        <w:rPr>
          <w:szCs w:val="22"/>
        </w:rPr>
        <w:t>Amalee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McCoy,</w:t>
      </w:r>
      <w:r w:rsidRPr="00D801B0">
        <w:rPr>
          <w:vertAlign w:val="superscript"/>
        </w:rPr>
        <w:t>ab</w:t>
      </w:r>
      <w:proofErr w:type="spellEnd"/>
      <w:r w:rsidRPr="00D801B0">
        <w:rPr>
          <w:szCs w:val="22"/>
        </w:rPr>
        <w:t xml:space="preserve"> Jamie M. </w:t>
      </w:r>
      <w:proofErr w:type="spellStart"/>
      <w:r w:rsidRPr="00D801B0">
        <w:rPr>
          <w:szCs w:val="22"/>
        </w:rPr>
        <w:t>Lachman,</w:t>
      </w:r>
      <w:r w:rsidRPr="00D801B0">
        <w:rPr>
          <w:vertAlign w:val="superscript"/>
        </w:rPr>
        <w:t>ac</w:t>
      </w:r>
      <w:proofErr w:type="spellEnd"/>
      <w:r w:rsidRPr="00D801B0">
        <w:rPr>
          <w:szCs w:val="22"/>
        </w:rPr>
        <w:t xml:space="preserve"> Catherine L. </w:t>
      </w:r>
      <w:proofErr w:type="spellStart"/>
      <w:r w:rsidRPr="00D801B0">
        <w:rPr>
          <w:szCs w:val="22"/>
        </w:rPr>
        <w:t>Ward,</w:t>
      </w:r>
      <w:r w:rsidRPr="00D801B0">
        <w:rPr>
          <w:vertAlign w:val="superscript"/>
        </w:rPr>
        <w:t>d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Sombat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Tapanya,</w:t>
      </w:r>
      <w:r w:rsidRPr="00D801B0">
        <w:rPr>
          <w:vertAlign w:val="superscript"/>
        </w:rPr>
        <w:t>b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Tassawan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Poomchaichote,</w:t>
      </w:r>
      <w:r w:rsidRPr="00D801B0">
        <w:rPr>
          <w:vertAlign w:val="superscript"/>
        </w:rPr>
        <w:t>b</w:t>
      </w:r>
      <w:proofErr w:type="spellEnd"/>
      <w:r w:rsidRPr="00D801B0">
        <w:rPr>
          <w:szCs w:val="22"/>
        </w:rPr>
        <w:t xml:space="preserve"> Jane </w:t>
      </w:r>
      <w:proofErr w:type="spellStart"/>
      <w:r w:rsidRPr="00D801B0">
        <w:rPr>
          <w:szCs w:val="22"/>
        </w:rPr>
        <w:t>Kelly,</w:t>
      </w:r>
      <w:r w:rsidRPr="00D801B0">
        <w:rPr>
          <w:vertAlign w:val="superscript"/>
        </w:rPr>
        <w:t>e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Mavuto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Mukaka,</w:t>
      </w:r>
      <w:r w:rsidRPr="00D801B0">
        <w:rPr>
          <w:vertAlign w:val="superscript"/>
        </w:rPr>
        <w:t>bf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Phaik</w:t>
      </w:r>
      <w:proofErr w:type="spellEnd"/>
      <w:r w:rsidRPr="00D801B0">
        <w:rPr>
          <w:szCs w:val="22"/>
        </w:rPr>
        <w:t xml:space="preserve"> Yeong </w:t>
      </w:r>
      <w:proofErr w:type="spellStart"/>
      <w:r w:rsidRPr="00D801B0">
        <w:rPr>
          <w:szCs w:val="22"/>
        </w:rPr>
        <w:t>Cheah,</w:t>
      </w:r>
      <w:r w:rsidRPr="00D801B0">
        <w:rPr>
          <w:vertAlign w:val="superscript"/>
        </w:rPr>
        <w:t>bf</w:t>
      </w:r>
      <w:proofErr w:type="spellEnd"/>
      <w:r w:rsidRPr="00D801B0">
        <w:rPr>
          <w:szCs w:val="22"/>
        </w:rPr>
        <w:t xml:space="preserve"> and Frances </w:t>
      </w:r>
      <w:proofErr w:type="spellStart"/>
      <w:r w:rsidRPr="00D801B0">
        <w:rPr>
          <w:szCs w:val="22"/>
        </w:rPr>
        <w:t>Gardner</w:t>
      </w:r>
      <w:r w:rsidRPr="00D801B0">
        <w:rPr>
          <w:vertAlign w:val="superscript"/>
        </w:rPr>
        <w:t>a</w:t>
      </w:r>
      <w:proofErr w:type="spellEnd"/>
    </w:p>
    <w:p w14:paraId="5CAF49FE" w14:textId="77777777" w:rsidR="00A069C4" w:rsidRPr="00A069C4" w:rsidRDefault="00A069C4" w:rsidP="00F0200F">
      <w:pPr>
        <w:pStyle w:val="Heading4"/>
        <w:spacing w:before="0" w:after="0" w:line="276" w:lineRule="auto"/>
      </w:pPr>
    </w:p>
    <w:p w14:paraId="4BB66D77" w14:textId="77777777" w:rsidR="00A069C4" w:rsidRPr="0083058E" w:rsidRDefault="00A069C4" w:rsidP="00A069C4">
      <w:pPr>
        <w:spacing w:line="480" w:lineRule="auto"/>
        <w:jc w:val="both"/>
        <w:rPr>
          <w:rFonts w:eastAsia="Calibri" w:cs="Calibri"/>
          <w:lang w:val="en-US"/>
        </w:rPr>
      </w:pPr>
    </w:p>
    <w:p w14:paraId="3092400E" w14:textId="77777777" w:rsidR="00A069C4" w:rsidRDefault="00A069C4" w:rsidP="00A069C4">
      <w:pPr>
        <w:spacing w:line="480" w:lineRule="auto"/>
        <w:jc w:val="both"/>
        <w:rPr>
          <w:szCs w:val="22"/>
          <w:lang w:val="en-US"/>
        </w:rPr>
      </w:pPr>
      <w:r w:rsidRPr="0083058E">
        <w:rPr>
          <w:rFonts w:eastAsia="Calibri" w:cs="Calibri"/>
          <w:lang w:val="en-US"/>
        </w:rPr>
        <w:t xml:space="preserve">Corresponding author: Amalee McCoy, </w:t>
      </w:r>
      <w:r w:rsidRPr="0083058E">
        <w:rPr>
          <w:szCs w:val="22"/>
          <w:lang w:val="en-US"/>
        </w:rPr>
        <w:t xml:space="preserve">Centre for Evidence-Based Intervention, Department of Social Policy and Intervention, University of Oxford, Barnett House, 32 Wellington Square, Oxford OX1 2ER, United Kingdom; Email: </w:t>
      </w:r>
      <w:r>
        <w:rPr>
          <w:szCs w:val="22"/>
          <w:lang w:val="en-US"/>
        </w:rPr>
        <w:t>amalee.mccoy@gmail.com</w:t>
      </w:r>
    </w:p>
    <w:p w14:paraId="75B01A0C" w14:textId="77777777" w:rsidR="00A069C4" w:rsidRPr="0083058E" w:rsidRDefault="00A069C4" w:rsidP="00A069C4">
      <w:pPr>
        <w:spacing w:line="480" w:lineRule="auto"/>
        <w:jc w:val="both"/>
        <w:rPr>
          <w:szCs w:val="22"/>
          <w:lang w:val="en-US"/>
        </w:rPr>
      </w:pPr>
    </w:p>
    <w:p w14:paraId="7FE42AB4" w14:textId="77777777" w:rsidR="00A069C4" w:rsidRPr="002B7A4C" w:rsidRDefault="00A069C4" w:rsidP="00A069C4">
      <w:pPr>
        <w:spacing w:line="480" w:lineRule="auto"/>
        <w:jc w:val="both"/>
        <w:rPr>
          <w:szCs w:val="22"/>
        </w:rPr>
      </w:pPr>
      <w:proofErr w:type="spellStart"/>
      <w:r w:rsidRPr="00EC299F">
        <w:rPr>
          <w:szCs w:val="22"/>
          <w:vertAlign w:val="superscript"/>
        </w:rPr>
        <w:t>a</w:t>
      </w:r>
      <w:r w:rsidRPr="00EC299F">
        <w:rPr>
          <w:szCs w:val="22"/>
        </w:rPr>
        <w:t>Centre</w:t>
      </w:r>
      <w:proofErr w:type="spellEnd"/>
      <w:r w:rsidRPr="00EC299F">
        <w:rPr>
          <w:szCs w:val="22"/>
        </w:rPr>
        <w:t xml:space="preserve"> for Evidence-Based Intervention, Department of Social Policy and Intervention, University of Oxford, Oxford, United Kingdom; </w:t>
      </w:r>
      <w:proofErr w:type="spellStart"/>
      <w:r w:rsidRPr="00EC299F">
        <w:rPr>
          <w:szCs w:val="22"/>
          <w:vertAlign w:val="superscript"/>
        </w:rPr>
        <w:t>b</w:t>
      </w:r>
      <w:r w:rsidRPr="00EC299F">
        <w:rPr>
          <w:szCs w:val="22"/>
        </w:rPr>
        <w:t>Mahidol</w:t>
      </w:r>
      <w:proofErr w:type="spellEnd"/>
      <w:r w:rsidRPr="00EC299F">
        <w:rPr>
          <w:szCs w:val="22"/>
        </w:rPr>
        <w:t xml:space="preserve"> Oxford Tropical Medicine Research Unit, Faculty of Tropical Medicine, Mahidol University, Bangkok, Thailand; </w:t>
      </w:r>
      <w:proofErr w:type="spellStart"/>
      <w:r w:rsidRPr="00EC299F">
        <w:rPr>
          <w:szCs w:val="22"/>
          <w:vertAlign w:val="superscript"/>
        </w:rPr>
        <w:t>c</w:t>
      </w:r>
      <w:r w:rsidRPr="00EC299F">
        <w:rPr>
          <w:szCs w:val="22"/>
        </w:rPr>
        <w:t>MRC</w:t>
      </w:r>
      <w:proofErr w:type="spellEnd"/>
      <w:r w:rsidRPr="00EC299F">
        <w:rPr>
          <w:szCs w:val="22"/>
        </w:rPr>
        <w:t xml:space="preserve">/CSO Social and Public Health Sciences Unit, University of Glasgow; </w:t>
      </w:r>
      <w:proofErr w:type="spellStart"/>
      <w:r w:rsidRPr="00EC299F">
        <w:rPr>
          <w:szCs w:val="22"/>
          <w:vertAlign w:val="superscript"/>
        </w:rPr>
        <w:t>d</w:t>
      </w:r>
      <w:r w:rsidRPr="00EC299F">
        <w:rPr>
          <w:szCs w:val="22"/>
        </w:rPr>
        <w:t>Department</w:t>
      </w:r>
      <w:proofErr w:type="spellEnd"/>
      <w:r w:rsidRPr="00EC299F">
        <w:rPr>
          <w:szCs w:val="22"/>
        </w:rPr>
        <w:t xml:space="preserve"> of Psychology, University of Cape Town, Cape Town, South Africa</w:t>
      </w:r>
      <w:r>
        <w:rPr>
          <w:szCs w:val="22"/>
        </w:rPr>
        <w:t xml:space="preserve">; </w:t>
      </w:r>
      <w:proofErr w:type="spellStart"/>
      <w:r>
        <w:rPr>
          <w:szCs w:val="22"/>
          <w:vertAlign w:val="superscript"/>
        </w:rPr>
        <w:t>e</w:t>
      </w:r>
      <w:r>
        <w:t>Centre</w:t>
      </w:r>
      <w:proofErr w:type="spellEnd"/>
      <w:r>
        <w:t xml:space="preserve"> for Social Science Research, University of Cape Town, Cape Town, South Africa; </w:t>
      </w:r>
      <w:proofErr w:type="spellStart"/>
      <w:r>
        <w:rPr>
          <w:szCs w:val="22"/>
          <w:vertAlign w:val="superscript"/>
        </w:rPr>
        <w:t>f</w:t>
      </w:r>
      <w:r>
        <w:rPr>
          <w:szCs w:val="22"/>
        </w:rPr>
        <w:t>Nuffield</w:t>
      </w:r>
      <w:proofErr w:type="spellEnd"/>
      <w:r>
        <w:rPr>
          <w:szCs w:val="22"/>
        </w:rPr>
        <w:t xml:space="preserve"> Department of Clinical Medicine, University of Oxford, Oxford, United Kingdom</w:t>
      </w:r>
      <w:r w:rsidRPr="00EC299F">
        <w:rPr>
          <w:szCs w:val="22"/>
        </w:rPr>
        <w:t>.</w:t>
      </w:r>
    </w:p>
    <w:p w14:paraId="6F472E67" w14:textId="77777777" w:rsidR="00A069C4" w:rsidRPr="00A069C4" w:rsidRDefault="00A069C4" w:rsidP="00F0200F">
      <w:pPr>
        <w:pStyle w:val="Heading4"/>
        <w:spacing w:before="0" w:after="0" w:line="276" w:lineRule="auto"/>
      </w:pPr>
    </w:p>
    <w:p w14:paraId="18CC1EBB" w14:textId="77777777" w:rsidR="00F0200F" w:rsidRPr="00BF64AC" w:rsidRDefault="00A069C4" w:rsidP="00F0200F">
      <w:pPr>
        <w:pStyle w:val="Heading4"/>
        <w:spacing w:before="0" w:after="0" w:line="276" w:lineRule="auto"/>
        <w:rPr>
          <w:rFonts w:eastAsia="Calibri" w:cs="Calibri"/>
          <w:lang w:val="en-US"/>
        </w:rPr>
      </w:pPr>
      <w:r>
        <w:rPr>
          <w:lang w:val="en-US"/>
        </w:rPr>
        <w:br w:type="page"/>
      </w:r>
      <w:r w:rsidR="00F0200F">
        <w:rPr>
          <w:lang w:val="en-US"/>
        </w:rPr>
        <w:lastRenderedPageBreak/>
        <w:t>Additional File</w:t>
      </w:r>
      <w:r w:rsidR="00F0200F" w:rsidRPr="00BF64AC">
        <w:rPr>
          <w:lang w:val="en-US"/>
        </w:rPr>
        <w:t xml:space="preserve"> 1. Overview of Parenting for Lifelong Health – Young Children adapted session content for Thailand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425"/>
        <w:gridCol w:w="969"/>
        <w:gridCol w:w="3559"/>
      </w:tblGrid>
      <w:tr w:rsidR="00F0200F" w:rsidRPr="00300297" w14:paraId="30EE592E" w14:textId="77777777" w:rsidTr="001A3ED2">
        <w:trPr>
          <w:trHeight w:val="521"/>
        </w:trPr>
        <w:tc>
          <w:tcPr>
            <w:tcW w:w="1101" w:type="dxa"/>
            <w:shd w:val="clear" w:color="auto" w:fill="D9D9D9"/>
          </w:tcPr>
          <w:p w14:paraId="69C3A267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Session</w:t>
            </w:r>
          </w:p>
        </w:tc>
        <w:tc>
          <w:tcPr>
            <w:tcW w:w="3425" w:type="dxa"/>
            <w:shd w:val="clear" w:color="auto" w:fill="D9D9D9"/>
          </w:tcPr>
          <w:p w14:paraId="113A4BA6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Original 12-session version</w:t>
            </w:r>
          </w:p>
        </w:tc>
        <w:tc>
          <w:tcPr>
            <w:tcW w:w="969" w:type="dxa"/>
            <w:shd w:val="clear" w:color="auto" w:fill="D9D9D9"/>
          </w:tcPr>
          <w:p w14:paraId="0474C6F2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Session</w:t>
            </w:r>
          </w:p>
        </w:tc>
        <w:tc>
          <w:tcPr>
            <w:tcW w:w="3559" w:type="dxa"/>
            <w:shd w:val="clear" w:color="auto" w:fill="D9D9D9"/>
          </w:tcPr>
          <w:p w14:paraId="0F00E8C4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Adapted 8-session version</w:t>
            </w:r>
          </w:p>
        </w:tc>
      </w:tr>
      <w:tr w:rsidR="00F0200F" w:rsidRPr="00300297" w14:paraId="5CE475F6" w14:textId="77777777" w:rsidTr="001A3ED2">
        <w:tc>
          <w:tcPr>
            <w:tcW w:w="1101" w:type="dxa"/>
            <w:shd w:val="clear" w:color="auto" w:fill="F2F2F2"/>
            <w:vAlign w:val="center"/>
          </w:tcPr>
          <w:p w14:paraId="42E01978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1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2A3DEFAE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Program introduction and spending one-on-one time with your child</w:t>
            </w:r>
          </w:p>
        </w:tc>
        <w:tc>
          <w:tcPr>
            <w:tcW w:w="969" w:type="dxa"/>
            <w:vMerge w:val="restart"/>
            <w:shd w:val="clear" w:color="auto" w:fill="F2F2F2"/>
            <w:vAlign w:val="center"/>
          </w:tcPr>
          <w:p w14:paraId="2520ACF2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1</w:t>
            </w:r>
          </w:p>
        </w:tc>
        <w:tc>
          <w:tcPr>
            <w:tcW w:w="3559" w:type="dxa"/>
            <w:vMerge w:val="restart"/>
            <w:shd w:val="clear" w:color="auto" w:fill="auto"/>
            <w:vAlign w:val="center"/>
          </w:tcPr>
          <w:p w14:paraId="7197855F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Program introduction and spending one-on-one time with your child (inclusion of some content on child-directed speech)</w:t>
            </w:r>
          </w:p>
        </w:tc>
      </w:tr>
      <w:tr w:rsidR="00F0200F" w:rsidRPr="00300297" w14:paraId="650860D1" w14:textId="77777777" w:rsidTr="001A3ED2">
        <w:trPr>
          <w:trHeight w:val="543"/>
        </w:trPr>
        <w:tc>
          <w:tcPr>
            <w:tcW w:w="1101" w:type="dxa"/>
            <w:shd w:val="clear" w:color="auto" w:fill="F2F2F2"/>
            <w:vAlign w:val="center"/>
          </w:tcPr>
          <w:p w14:paraId="438E404C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2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43458CF5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Child-directed speech during one-on-one time</w:t>
            </w:r>
          </w:p>
        </w:tc>
        <w:tc>
          <w:tcPr>
            <w:tcW w:w="969" w:type="dxa"/>
            <w:vMerge/>
            <w:shd w:val="clear" w:color="auto" w:fill="F2F2F2"/>
          </w:tcPr>
          <w:p w14:paraId="5E3D7BAD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59" w:type="dxa"/>
            <w:vMerge/>
            <w:shd w:val="clear" w:color="auto" w:fill="auto"/>
          </w:tcPr>
          <w:p w14:paraId="77BE9288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F0200F" w:rsidRPr="00300297" w14:paraId="22515945" w14:textId="77777777" w:rsidTr="001A3ED2">
        <w:tc>
          <w:tcPr>
            <w:tcW w:w="1101" w:type="dxa"/>
            <w:shd w:val="clear" w:color="auto" w:fill="F2F2F2"/>
            <w:vAlign w:val="center"/>
          </w:tcPr>
          <w:p w14:paraId="0D77240C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2EAE85FA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Talking about feelings</w:t>
            </w:r>
          </w:p>
        </w:tc>
        <w:tc>
          <w:tcPr>
            <w:tcW w:w="969" w:type="dxa"/>
            <w:shd w:val="clear" w:color="auto" w:fill="F2F2F2"/>
            <w:vAlign w:val="center"/>
          </w:tcPr>
          <w:p w14:paraId="78568256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2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29D31820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Talking about feelings</w:t>
            </w:r>
          </w:p>
        </w:tc>
      </w:tr>
      <w:tr w:rsidR="00F0200F" w:rsidRPr="00300297" w14:paraId="4AD63D7D" w14:textId="77777777" w:rsidTr="001A3ED2">
        <w:tc>
          <w:tcPr>
            <w:tcW w:w="1101" w:type="dxa"/>
            <w:shd w:val="clear" w:color="auto" w:fill="F2F2F2"/>
            <w:vAlign w:val="center"/>
          </w:tcPr>
          <w:p w14:paraId="25DA7725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4919A06E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Praising and rewarding</w:t>
            </w:r>
          </w:p>
        </w:tc>
        <w:tc>
          <w:tcPr>
            <w:tcW w:w="969" w:type="dxa"/>
            <w:shd w:val="clear" w:color="auto" w:fill="F2F2F2"/>
            <w:vAlign w:val="center"/>
          </w:tcPr>
          <w:p w14:paraId="772C7B91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008D6131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Praising and rewarding</w:t>
            </w:r>
          </w:p>
        </w:tc>
      </w:tr>
      <w:tr w:rsidR="00F0200F" w:rsidRPr="00300297" w14:paraId="69294F3B" w14:textId="77777777" w:rsidTr="001A3ED2">
        <w:tc>
          <w:tcPr>
            <w:tcW w:w="1101" w:type="dxa"/>
            <w:shd w:val="clear" w:color="auto" w:fill="F2F2F2"/>
            <w:vAlign w:val="center"/>
          </w:tcPr>
          <w:p w14:paraId="1801B017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5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13CD32D5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Instruction-giving</w:t>
            </w:r>
          </w:p>
        </w:tc>
        <w:tc>
          <w:tcPr>
            <w:tcW w:w="969" w:type="dxa"/>
            <w:shd w:val="clear" w:color="auto" w:fill="F2F2F2"/>
            <w:vAlign w:val="center"/>
          </w:tcPr>
          <w:p w14:paraId="4223CC00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725605CC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Instruction-giving</w:t>
            </w:r>
          </w:p>
        </w:tc>
      </w:tr>
      <w:tr w:rsidR="00F0200F" w:rsidRPr="00300297" w14:paraId="061B464C" w14:textId="77777777" w:rsidTr="001A3ED2">
        <w:tc>
          <w:tcPr>
            <w:tcW w:w="1101" w:type="dxa"/>
            <w:shd w:val="clear" w:color="auto" w:fill="F2F2F2"/>
            <w:vAlign w:val="center"/>
          </w:tcPr>
          <w:p w14:paraId="70D16877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6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2CA19BDC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Household rules and daily routines</w:t>
            </w:r>
          </w:p>
        </w:tc>
        <w:tc>
          <w:tcPr>
            <w:tcW w:w="969" w:type="dxa"/>
            <w:shd w:val="clear" w:color="auto" w:fill="F2F2F2"/>
            <w:vAlign w:val="center"/>
          </w:tcPr>
          <w:p w14:paraId="4EE51FDC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5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47042C10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Household rules and daily routines</w:t>
            </w:r>
          </w:p>
        </w:tc>
      </w:tr>
      <w:tr w:rsidR="00F0200F" w:rsidRPr="00300297" w14:paraId="1F9BEF54" w14:textId="77777777" w:rsidTr="001A3ED2">
        <w:tc>
          <w:tcPr>
            <w:tcW w:w="1101" w:type="dxa"/>
            <w:shd w:val="clear" w:color="auto" w:fill="F2F2F2"/>
            <w:vAlign w:val="center"/>
          </w:tcPr>
          <w:p w14:paraId="5F6474F9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7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2BE86A78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Redirecting negative behaviors</w:t>
            </w:r>
          </w:p>
        </w:tc>
        <w:tc>
          <w:tcPr>
            <w:tcW w:w="969" w:type="dxa"/>
            <w:vMerge w:val="restart"/>
            <w:shd w:val="clear" w:color="auto" w:fill="F2F2F2"/>
            <w:vAlign w:val="center"/>
          </w:tcPr>
          <w:p w14:paraId="0E495AA8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6</w:t>
            </w:r>
          </w:p>
        </w:tc>
        <w:tc>
          <w:tcPr>
            <w:tcW w:w="3559" w:type="dxa"/>
            <w:vMerge w:val="restart"/>
            <w:shd w:val="clear" w:color="auto" w:fill="auto"/>
            <w:vAlign w:val="center"/>
          </w:tcPr>
          <w:p w14:paraId="2F27A970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Ignoring negative attention seeking and demanding behaviors (inclusion of some content on ignoring)</w:t>
            </w:r>
          </w:p>
        </w:tc>
      </w:tr>
      <w:tr w:rsidR="00F0200F" w:rsidRPr="00300297" w14:paraId="42148613" w14:textId="77777777" w:rsidTr="001A3ED2">
        <w:tc>
          <w:tcPr>
            <w:tcW w:w="1101" w:type="dxa"/>
            <w:shd w:val="clear" w:color="auto" w:fill="F2F2F2"/>
            <w:vAlign w:val="center"/>
          </w:tcPr>
          <w:p w14:paraId="3C39217D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8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76C6862F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Ignoring negative attention seeking and demanding behaviors</w:t>
            </w:r>
          </w:p>
        </w:tc>
        <w:tc>
          <w:tcPr>
            <w:tcW w:w="969" w:type="dxa"/>
            <w:vMerge/>
            <w:shd w:val="clear" w:color="auto" w:fill="F2F2F2"/>
          </w:tcPr>
          <w:p w14:paraId="3916A7BE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59" w:type="dxa"/>
            <w:vMerge/>
            <w:shd w:val="clear" w:color="auto" w:fill="auto"/>
          </w:tcPr>
          <w:p w14:paraId="352E08CE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F0200F" w:rsidRPr="00300297" w14:paraId="6D3AF960" w14:textId="77777777" w:rsidTr="001A3ED2">
        <w:trPr>
          <w:trHeight w:val="694"/>
        </w:trPr>
        <w:tc>
          <w:tcPr>
            <w:tcW w:w="1101" w:type="dxa"/>
            <w:shd w:val="clear" w:color="auto" w:fill="F2F2F2"/>
            <w:vAlign w:val="center"/>
          </w:tcPr>
          <w:p w14:paraId="28686C6F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9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49149685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Using consequences to support compliance</w:t>
            </w:r>
          </w:p>
        </w:tc>
        <w:tc>
          <w:tcPr>
            <w:tcW w:w="969" w:type="dxa"/>
            <w:shd w:val="clear" w:color="auto" w:fill="F2F2F2"/>
            <w:vAlign w:val="center"/>
          </w:tcPr>
          <w:p w14:paraId="35DF4EFF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7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52E66EF1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Using consequences to support compliance</w:t>
            </w:r>
          </w:p>
        </w:tc>
      </w:tr>
      <w:tr w:rsidR="00F0200F" w:rsidRPr="00300297" w14:paraId="47B99C18" w14:textId="77777777" w:rsidTr="001A3ED2">
        <w:tc>
          <w:tcPr>
            <w:tcW w:w="1101" w:type="dxa"/>
            <w:shd w:val="clear" w:color="auto" w:fill="F2F2F2"/>
            <w:vAlign w:val="center"/>
          </w:tcPr>
          <w:p w14:paraId="0A7DD250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10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17F9F30C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 xml:space="preserve">Time-out for aggressive and destructive behaviors </w:t>
            </w:r>
          </w:p>
        </w:tc>
        <w:tc>
          <w:tcPr>
            <w:tcW w:w="969" w:type="dxa"/>
            <w:vMerge w:val="restart"/>
            <w:shd w:val="clear" w:color="auto" w:fill="F2F2F2"/>
            <w:vAlign w:val="center"/>
          </w:tcPr>
          <w:p w14:paraId="6AEDDEBC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8</w:t>
            </w:r>
          </w:p>
        </w:tc>
        <w:tc>
          <w:tcPr>
            <w:tcW w:w="3559" w:type="dxa"/>
            <w:vMerge w:val="restart"/>
            <w:shd w:val="clear" w:color="auto" w:fill="auto"/>
            <w:vAlign w:val="center"/>
          </w:tcPr>
          <w:p w14:paraId="4286C829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 xml:space="preserve">Problem solving, talking about difficult issues, and reflecting and moving on, followed by community celebration (exclusion of </w:t>
            </w:r>
            <w:r>
              <w:rPr>
                <w:rFonts w:ascii="Calibri" w:hAnsi="Calibri"/>
              </w:rPr>
              <w:t xml:space="preserve">time-out </w:t>
            </w:r>
            <w:r w:rsidRPr="00BF64AC">
              <w:rPr>
                <w:rFonts w:ascii="Calibri" w:hAnsi="Calibri"/>
              </w:rPr>
              <w:t>content)</w:t>
            </w:r>
          </w:p>
        </w:tc>
      </w:tr>
      <w:tr w:rsidR="00F0200F" w:rsidRPr="00300297" w14:paraId="01BC4457" w14:textId="77777777" w:rsidTr="001A3ED2">
        <w:tc>
          <w:tcPr>
            <w:tcW w:w="1101" w:type="dxa"/>
            <w:shd w:val="clear" w:color="auto" w:fill="F2F2F2"/>
            <w:vAlign w:val="center"/>
          </w:tcPr>
          <w:p w14:paraId="36A61E55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11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1DE68603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F64AC">
              <w:rPr>
                <w:rFonts w:ascii="Calibri" w:hAnsi="Calibri"/>
              </w:rPr>
              <w:t>Problem solving and talking about difficult issues</w:t>
            </w:r>
          </w:p>
        </w:tc>
        <w:tc>
          <w:tcPr>
            <w:tcW w:w="969" w:type="dxa"/>
            <w:vMerge/>
            <w:shd w:val="clear" w:color="auto" w:fill="F2F2F2"/>
          </w:tcPr>
          <w:p w14:paraId="2FAFE07B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59" w:type="dxa"/>
            <w:vMerge/>
            <w:shd w:val="clear" w:color="auto" w:fill="auto"/>
          </w:tcPr>
          <w:p w14:paraId="09439BCA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F0200F" w:rsidRPr="00300297" w14:paraId="64A2BF81" w14:textId="77777777" w:rsidTr="001A3ED2">
        <w:tc>
          <w:tcPr>
            <w:tcW w:w="1101" w:type="dxa"/>
            <w:shd w:val="clear" w:color="auto" w:fill="F2F2F2"/>
            <w:vAlign w:val="center"/>
          </w:tcPr>
          <w:p w14:paraId="2E967AAC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hAnsi="Calibri"/>
                <w:b/>
                <w:bCs/>
              </w:rPr>
            </w:pPr>
            <w:r w:rsidRPr="00BF64AC">
              <w:rPr>
                <w:rFonts w:ascii="Calibri" w:hAnsi="Calibri"/>
                <w:b/>
                <w:bCs/>
              </w:rPr>
              <w:t>12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5DECF3BF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hAnsi="Calibri"/>
              </w:rPr>
            </w:pPr>
            <w:r w:rsidRPr="00BF64AC">
              <w:rPr>
                <w:rFonts w:ascii="Calibri" w:hAnsi="Calibri"/>
              </w:rPr>
              <w:t>Reflecting and moving on, followed by community celebration</w:t>
            </w:r>
          </w:p>
        </w:tc>
        <w:tc>
          <w:tcPr>
            <w:tcW w:w="969" w:type="dxa"/>
            <w:vMerge/>
            <w:shd w:val="clear" w:color="auto" w:fill="F2F2F2"/>
          </w:tcPr>
          <w:p w14:paraId="664FE05E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59" w:type="dxa"/>
            <w:vMerge/>
            <w:shd w:val="clear" w:color="auto" w:fill="auto"/>
          </w:tcPr>
          <w:p w14:paraId="215F6B43" w14:textId="77777777" w:rsidR="00F0200F" w:rsidRPr="00BF64AC" w:rsidRDefault="00F0200F" w:rsidP="001A3ED2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5299B3B8" w14:textId="77777777" w:rsidR="00D7404C" w:rsidRDefault="00D7404C"/>
    <w:sectPr w:rsidR="00D7404C" w:rsidSect="00F0200F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malee McCoy">
    <w15:presenceInfo w15:providerId="Windows Live" w15:userId="3b8f694702e3e6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oNotTrackMoves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Total_Editing_Time" w:val="0"/>
  </w:docVars>
  <w:rsids>
    <w:rsidRoot w:val="00F0200F"/>
    <w:rsid w:val="001A3ED2"/>
    <w:rsid w:val="0026236E"/>
    <w:rsid w:val="00571448"/>
    <w:rsid w:val="0087620E"/>
    <w:rsid w:val="00A069C4"/>
    <w:rsid w:val="00D7404C"/>
    <w:rsid w:val="00EF62B7"/>
    <w:rsid w:val="00F0200F"/>
    <w:rsid w:val="00F0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25A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7620E"/>
    <w:rPr>
      <w:rFonts w:ascii="Calibri" w:hAnsi="Calibri"/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69C4"/>
    <w:pPr>
      <w:keepNext/>
      <w:spacing w:before="240" w:after="60"/>
      <w:outlineLvl w:val="0"/>
    </w:pPr>
    <w:rPr>
      <w:rFonts w:ascii="Calibri Light" w:eastAsia="Times New Roman" w:hAnsi="Calibri Light" w:cs="Angsana New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1"/>
    <w:qFormat/>
    <w:rsid w:val="0087620E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1"/>
    <w:rsid w:val="0087620E"/>
    <w:rPr>
      <w:rFonts w:ascii="Calibri" w:hAnsi="Calibri"/>
      <w:b/>
      <w:bCs/>
      <w:sz w:val="22"/>
      <w:szCs w:val="28"/>
      <w:lang w:val="en-GB"/>
    </w:rPr>
  </w:style>
  <w:style w:type="paragraph" w:customStyle="1" w:styleId="Body">
    <w:name w:val="Body"/>
    <w:rsid w:val="00F0200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/>
    </w:pPr>
    <w:rPr>
      <w:rFonts w:ascii="Palatino" w:eastAsia="Arial Unicode MS" w:hAnsi="Palatino" w:cs="Palatino"/>
      <w:color w:val="000000"/>
      <w:sz w:val="22"/>
      <w:szCs w:val="22"/>
      <w:u w:color="000000"/>
      <w:lang w:val="en-US" w:eastAsia="en-US"/>
    </w:rPr>
  </w:style>
  <w:style w:type="character" w:customStyle="1" w:styleId="Heading1Char">
    <w:name w:val="Heading 1 Char"/>
    <w:link w:val="Heading1"/>
    <w:uiPriority w:val="9"/>
    <w:rsid w:val="00A069C4"/>
    <w:rPr>
      <w:rFonts w:ascii="Calibri Light" w:eastAsia="Times New Roman" w:hAnsi="Calibri Light" w:cs="Angsana New"/>
      <w:b/>
      <w:bCs/>
      <w:kern w:val="32"/>
      <w:sz w:val="32"/>
      <w:szCs w:val="32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3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236E"/>
    <w:rPr>
      <w:rFonts w:ascii="Tahoma" w:hAnsi="Tahoma" w:cs="Tahoma"/>
      <w:sz w:val="16"/>
      <w:szCs w:val="16"/>
      <w:lang w:val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2044</Characters>
  <Application>Microsoft Office Word</Application>
  <DocSecurity>0</DocSecurity>
  <Lines>92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amalee</dc:creator>
  <cp:keywords/>
  <dc:description/>
  <cp:lastModifiedBy>S3G_Reference_Citation_Sequence</cp:lastModifiedBy>
  <cp:revision>3</cp:revision>
  <dcterms:created xsi:type="dcterms:W3CDTF">2021-05-06T09:38:00Z</dcterms:created>
  <dcterms:modified xsi:type="dcterms:W3CDTF">2021-05-26T18:36:00Z</dcterms:modified>
</cp:coreProperties>
</file>