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0FD70" w14:textId="77777777" w:rsidR="00A14220" w:rsidRPr="00A14220" w:rsidRDefault="00A14220" w:rsidP="00A14220">
      <w:pPr>
        <w:pStyle w:val="EndNoteBibliography"/>
        <w:spacing w:after="0"/>
        <w:ind w:left="720" w:hanging="720"/>
        <w:rPr>
          <w:rFonts w:eastAsia="Times New Roman"/>
          <w:b/>
          <w:bCs/>
          <w:lang w:eastAsia="en-GB"/>
        </w:rPr>
      </w:pPr>
      <w:r w:rsidRPr="00A14220">
        <w:rPr>
          <w:rFonts w:eastAsia="Times New Roman"/>
          <w:b/>
          <w:bCs/>
          <w:sz w:val="28"/>
          <w:lang w:eastAsia="en-GB"/>
        </w:rPr>
        <w:t>Additional File 1 – Literature Review Methodology</w:t>
      </w:r>
    </w:p>
    <w:p w14:paraId="0C976983" w14:textId="77777777" w:rsidR="00A14220" w:rsidRPr="00BF7ABC" w:rsidRDefault="00A14220" w:rsidP="00A14220">
      <w:pPr>
        <w:spacing w:line="240" w:lineRule="auto"/>
        <w:rPr>
          <w:highlight w:val="yellow"/>
          <w:lang w:eastAsia="en-GB"/>
        </w:rPr>
      </w:pPr>
    </w:p>
    <w:p w14:paraId="27B7866E" w14:textId="77777777" w:rsidR="00A14220" w:rsidRPr="008F10BB" w:rsidRDefault="00A14220" w:rsidP="00A14220">
      <w:pPr>
        <w:pStyle w:val="Heading3"/>
        <w:numPr>
          <w:ilvl w:val="0"/>
          <w:numId w:val="0"/>
        </w:numPr>
        <w:spacing w:line="240" w:lineRule="auto"/>
        <w:rPr>
          <w:rFonts w:asciiTheme="minorHAnsi" w:eastAsia="Times New Roman" w:hAnsiTheme="minorHAnsi" w:cstheme="minorHAnsi"/>
          <w:b/>
          <w:color w:val="auto"/>
          <w:lang w:eastAsia="en-GB"/>
        </w:rPr>
      </w:pPr>
      <w:r>
        <w:rPr>
          <w:rFonts w:asciiTheme="minorHAnsi" w:eastAsia="Times New Roman" w:hAnsiTheme="minorHAnsi" w:cstheme="minorHAnsi"/>
          <w:b/>
          <w:color w:val="auto"/>
          <w:lang w:eastAsia="en-GB"/>
        </w:rPr>
        <w:t>Methodology of d</w:t>
      </w:r>
      <w:r w:rsidRPr="008F10BB">
        <w:rPr>
          <w:rFonts w:asciiTheme="minorHAnsi" w:eastAsia="Times New Roman" w:hAnsiTheme="minorHAnsi" w:cstheme="minorHAnsi"/>
          <w:b/>
          <w:color w:val="auto"/>
          <w:lang w:eastAsia="en-GB"/>
        </w:rPr>
        <w:t>ocument review</w:t>
      </w:r>
    </w:p>
    <w:p w14:paraId="46ACFA82" w14:textId="77777777" w:rsidR="00A14220" w:rsidRPr="008F10BB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7513312E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A review of academic literature, grey literature and Nepal-specific policy documents was undertaken to inform and supplement interviews. 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Preliminary EMBASE and MEDLINE database searches to optimise search terms and determine scope revealed a dearth of literature specific to </w:t>
      </w:r>
      <w:r>
        <w:rPr>
          <w:rFonts w:eastAsia="Times New Roman" w:cstheme="minorHAnsi"/>
          <w:sz w:val="24"/>
          <w:szCs w:val="21"/>
          <w:lang w:eastAsia="en-GB"/>
        </w:rPr>
        <w:t>Nepal implementing WHO Marketing Recommendations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. The review was thus broadened to include </w:t>
      </w:r>
      <w:r>
        <w:rPr>
          <w:rFonts w:eastAsia="Times New Roman" w:cstheme="minorHAnsi"/>
          <w:sz w:val="24"/>
          <w:szCs w:val="24"/>
          <w:lang w:eastAsia="en-GB"/>
        </w:rPr>
        <w:t>literature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 covering: marketing of unhealthy foods in Nepal and </w:t>
      </w:r>
      <w:r>
        <w:rPr>
          <w:rFonts w:eastAsia="Times New Roman" w:cstheme="minorHAnsi"/>
          <w:sz w:val="24"/>
          <w:szCs w:val="24"/>
          <w:lang w:eastAsia="en-GB"/>
        </w:rPr>
        <w:t xml:space="preserve">other </w:t>
      </w:r>
      <w:r w:rsidRPr="008F10BB">
        <w:rPr>
          <w:rFonts w:eastAsia="Times New Roman" w:cstheme="minorHAnsi"/>
          <w:sz w:val="24"/>
          <w:szCs w:val="24"/>
          <w:lang w:eastAsia="en-GB"/>
        </w:rPr>
        <w:t>LMICs</w:t>
      </w:r>
      <w:r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begin"/>
      </w:r>
      <w:r>
        <w:rPr>
          <w:rFonts w:eastAsia="Times New Roman" w:cstheme="minorHAnsi"/>
          <w:sz w:val="24"/>
          <w:szCs w:val="24"/>
          <w:lang w:eastAsia="en-GB"/>
        </w:rPr>
        <w:instrText xml:space="preserve"> ADDIN EN.CITE &lt;EndNote&gt;&lt;Cite&gt;&lt;Author&gt;WCRF&lt;/Author&gt;&lt;Year&gt;2018&lt;/Year&gt;&lt;RecNum&gt;161&lt;/RecNum&gt;&lt;DisplayText&gt;[86]&lt;/DisplayText&gt;&lt;record&gt;&lt;rec-number&gt;161&lt;/rec-number&gt;&lt;foreign-keys&gt;&lt;key app="EN" db-id="aravpvpwf05teaesv5bvas0qp2d2as5f2s95" timestamp="1528719416"&gt;161&lt;/key&gt;&lt;/foreign-keys&gt;&lt;ref-type name="Web Page"&gt;12&lt;/ref-type&gt;&lt;contributors&gt;&lt;authors&gt;&lt;author&gt;WCRF&lt;/author&gt;&lt;/authors&gt;&lt;/contributors&gt;&lt;titles&gt;&lt;title&gt;NOURISHING database: Restrict food advertising and other forms of commercial promotion&lt;/title&gt;&lt;/titles&gt;&lt;volume&gt;2018&lt;/volume&gt;&lt;number&gt;22 March&lt;/number&gt;&lt;dates&gt;&lt;year&gt;2018&lt;/year&gt;&lt;/dates&gt;&lt;pub-location&gt;London, UK&lt;/pub-location&gt;&lt;publisher&gt;World Cancer Research Fund International (WCRF)&lt;/publisher&gt;&lt;urls&gt;&lt;related-urls&gt;&lt;url&gt;https://www.wcrf.org/int/policy/nourishing-database&lt;/url&gt;&lt;/related-urls&gt;&lt;/urls&gt;&lt;/record&gt;&lt;/Cite&gt;&lt;/EndNote&gt;</w:instrTex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en-GB"/>
        </w:rPr>
        <w:t>[86]</w: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end"/>
      </w:r>
      <w:r w:rsidRPr="008F10BB">
        <w:rPr>
          <w:rFonts w:eastAsia="Times New Roman" w:cstheme="minorHAnsi"/>
          <w:sz w:val="24"/>
          <w:szCs w:val="24"/>
          <w:lang w:eastAsia="en-GB"/>
        </w:rPr>
        <w:t>; marketing of tobacco, alcohol and BMS in Nepal (acknowledging similar challenges and opportunities, but differences</w:t>
      </w:r>
      <w:r>
        <w:rPr>
          <w:rFonts w:eastAsia="Times New Roman" w:cstheme="minorHAnsi"/>
          <w:sz w:val="24"/>
          <w:szCs w:val="24"/>
          <w:lang w:eastAsia="en-GB"/>
        </w:rPr>
        <w:t xml:space="preserve"> such as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 how these risk factors are governed globally </w: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begin"/>
      </w:r>
      <w:r>
        <w:rPr>
          <w:rFonts w:eastAsia="Times New Roman" w:cstheme="minorHAnsi"/>
          <w:sz w:val="24"/>
          <w:szCs w:val="24"/>
          <w:lang w:eastAsia="en-GB"/>
        </w:rPr>
        <w:instrText xml:space="preserve"> ADDIN EN.CITE &lt;EndNote&gt;&lt;Cite&gt;&lt;Author&gt;Liberman&lt;/Author&gt;&lt;Year&gt;2014&lt;/Year&gt;&lt;RecNum&gt;20&lt;/RecNum&gt;&lt;DisplayText&gt;[87]&lt;/DisplayText&gt;&lt;record&gt;&lt;rec-number&gt;20&lt;/rec-number&gt;&lt;foreign-keys&gt;&lt;key app="EN" db-id="aravpvpwf05teaesv5bvas0qp2d2as5f2s95" timestamp="1528719128"&gt;20&lt;/key&gt;&lt;/foreign-keys&gt;&lt;ref-type name="Book Section"&gt;5&lt;/ref-type&gt;&lt;contributors&gt;&lt;authors&gt;&lt;author&gt;Liberman, J&lt;/author&gt;&lt;/authors&gt;&lt;secondary-authors&gt;&lt;author&gt;Voon, T&lt;/author&gt;&lt;author&gt;Mitchell, AD&lt;/author&gt;&lt;author&gt;Liberman, J&lt;/author&gt;&lt;/secondary-authors&gt;&lt;/contributors&gt;&lt;titles&gt;&lt;title&gt;Making Effective Use of Law in the Global Governance of NCD Prevention&lt;/title&gt;&lt;secondary-title&gt;Regulating Tobacco, Alcohol and Unhealthy Foods: The Legal Issues&lt;/secondary-title&gt;&lt;/titles&gt;&lt;section&gt;2&lt;/section&gt;&lt;dates&gt;&lt;year&gt;2014&lt;/year&gt;&lt;/dates&gt;&lt;pub-location&gt;Beaverton, USA&lt;/pub-location&gt;&lt;publisher&gt;Routledge&lt;/publisher&gt;&lt;urls&gt;&lt;/urls&gt;&lt;/record&gt;&lt;/Cite&gt;&lt;/EndNote&gt;</w:instrTex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en-GB"/>
        </w:rPr>
        <w:t>[87]</w:t>
      </w:r>
      <w:r w:rsidRPr="008F10BB">
        <w:rPr>
          <w:rFonts w:eastAsia="Times New Roman" w:cstheme="minorHAnsi"/>
          <w:sz w:val="24"/>
          <w:szCs w:val="24"/>
          <w:lang w:eastAsia="en-GB"/>
        </w:rPr>
        <w:fldChar w:fldCharType="end"/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); and </w:t>
      </w:r>
      <w:r>
        <w:rPr>
          <w:rFonts w:eastAsia="Times New Roman" w:cstheme="minorHAnsi"/>
          <w:sz w:val="24"/>
          <w:szCs w:val="24"/>
          <w:lang w:eastAsia="en-GB"/>
        </w:rPr>
        <w:t xml:space="preserve">generally </w:t>
      </w:r>
      <w:r w:rsidRPr="008F10BB">
        <w:rPr>
          <w:rFonts w:eastAsia="Times New Roman" w:cstheme="minorHAnsi"/>
          <w:sz w:val="24"/>
          <w:szCs w:val="24"/>
          <w:lang w:eastAsia="en-GB"/>
        </w:rPr>
        <w:t>opportunities and barriers</w:t>
      </w:r>
      <w:r>
        <w:rPr>
          <w:rFonts w:eastAsia="Times New Roman" w:cstheme="minorHAnsi"/>
          <w:sz w:val="24"/>
          <w:szCs w:val="24"/>
          <w:lang w:eastAsia="en-GB"/>
        </w:rPr>
        <w:t xml:space="preserve"> to addressing NCDs in Nepal</w:t>
      </w:r>
      <w:r w:rsidRPr="008F10BB">
        <w:rPr>
          <w:rFonts w:eastAsia="Times New Roman" w:cstheme="minorHAnsi"/>
          <w:sz w:val="24"/>
          <w:szCs w:val="24"/>
          <w:lang w:eastAsia="en-GB"/>
        </w:rPr>
        <w:t>. Search terms were applied consistently alongside related subject headings across social sciences, public policy and global health databases (</w:t>
      </w:r>
      <w:r w:rsidRPr="008F10BB">
        <w:rPr>
          <w:rFonts w:eastAsia="Times New Roman" w:cstheme="minorHAnsi"/>
          <w:b/>
          <w:sz w:val="24"/>
          <w:szCs w:val="24"/>
          <w:lang w:eastAsia="en-GB"/>
        </w:rPr>
        <w:t xml:space="preserve">Table </w:t>
      </w:r>
      <w:r>
        <w:rPr>
          <w:rFonts w:eastAsia="Times New Roman" w:cstheme="minorHAnsi"/>
          <w:b/>
          <w:sz w:val="24"/>
          <w:szCs w:val="24"/>
          <w:lang w:eastAsia="en-GB"/>
        </w:rPr>
        <w:t>1</w:t>
      </w:r>
      <w:r w:rsidRPr="008F10BB">
        <w:rPr>
          <w:rFonts w:eastAsia="Times New Roman" w:cstheme="minorHAnsi"/>
          <w:sz w:val="24"/>
          <w:szCs w:val="24"/>
          <w:lang w:eastAsia="en-GB"/>
        </w:rPr>
        <w:t>), with grey literature source websites searched using Key Terms</w:t>
      </w:r>
      <w:r>
        <w:rPr>
          <w:rFonts w:eastAsia="Times New Roman" w:cstheme="minorHAnsi"/>
          <w:sz w:val="24"/>
          <w:szCs w:val="24"/>
          <w:lang w:eastAsia="en-GB"/>
        </w:rPr>
        <w:t xml:space="preserve"> in June 2018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. </w:t>
      </w:r>
      <w:r>
        <w:rPr>
          <w:rFonts w:eastAsia="Times New Roman" w:cstheme="minorHAnsi"/>
          <w:sz w:val="24"/>
          <w:szCs w:val="24"/>
          <w:lang w:eastAsia="en-GB"/>
        </w:rPr>
        <w:t>R</w:t>
      </w:r>
      <w:r w:rsidRPr="008F10BB">
        <w:rPr>
          <w:rFonts w:eastAsia="Times New Roman" w:cstheme="minorHAnsi"/>
          <w:sz w:val="24"/>
          <w:szCs w:val="24"/>
          <w:lang w:eastAsia="en-GB"/>
        </w:rPr>
        <w:t>eference list scanning and academics were contacted to identify literature not retrieved.</w:t>
      </w:r>
    </w:p>
    <w:p w14:paraId="7C529763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07869D8A" w14:textId="0DB5CBD3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</w:t>
      </w:r>
      <w:r w:rsidRPr="00762D95">
        <w:rPr>
          <w:rFonts w:eastAsia="Times New Roman" w:cstheme="minorHAnsi"/>
          <w:sz w:val="24"/>
          <w:szCs w:val="24"/>
          <w:lang w:eastAsia="en-GB"/>
        </w:rPr>
        <w:t>he search strategy and application of eligibility criteria (</w:t>
      </w:r>
      <w:r w:rsidRPr="00762D95">
        <w:rPr>
          <w:rFonts w:eastAsia="Times New Roman" w:cstheme="minorHAnsi"/>
          <w:b/>
          <w:sz w:val="24"/>
          <w:szCs w:val="24"/>
          <w:lang w:eastAsia="en-GB"/>
        </w:rPr>
        <w:t xml:space="preserve">Table </w:t>
      </w:r>
      <w:r>
        <w:rPr>
          <w:rFonts w:eastAsia="Times New Roman" w:cstheme="minorHAnsi"/>
          <w:b/>
          <w:sz w:val="24"/>
          <w:szCs w:val="24"/>
          <w:lang w:eastAsia="en-GB"/>
        </w:rPr>
        <w:t>1</w:t>
      </w:r>
      <w:r w:rsidRPr="00762D95">
        <w:rPr>
          <w:rFonts w:eastAsia="Times New Roman" w:cstheme="minorHAnsi"/>
          <w:sz w:val="24"/>
          <w:szCs w:val="24"/>
          <w:lang w:eastAsia="en-GB"/>
        </w:rPr>
        <w:t>), identified 1226 documents for screening</w:t>
      </w:r>
      <w:r>
        <w:rPr>
          <w:rFonts w:eastAsia="Times New Roman" w:cstheme="minorHAnsi"/>
          <w:sz w:val="24"/>
          <w:szCs w:val="24"/>
          <w:lang w:eastAsia="en-GB"/>
        </w:rPr>
        <w:t xml:space="preserve"> (</w:t>
      </w:r>
      <w:r w:rsidRPr="00F02677">
        <w:rPr>
          <w:rFonts w:eastAsia="Times New Roman" w:cstheme="minorHAnsi"/>
          <w:b/>
          <w:sz w:val="24"/>
          <w:szCs w:val="24"/>
          <w:lang w:eastAsia="en-GB"/>
        </w:rPr>
        <w:t xml:space="preserve">Figure </w:t>
      </w:r>
      <w:r>
        <w:rPr>
          <w:rFonts w:eastAsia="Times New Roman" w:cstheme="minorHAnsi"/>
          <w:b/>
          <w:sz w:val="24"/>
          <w:szCs w:val="24"/>
          <w:lang w:eastAsia="en-GB"/>
        </w:rPr>
        <w:t>1</w:t>
      </w:r>
      <w:r>
        <w:rPr>
          <w:rFonts w:eastAsia="Times New Roman" w:cstheme="minorHAnsi"/>
          <w:sz w:val="24"/>
          <w:szCs w:val="24"/>
          <w:lang w:eastAsia="en-GB"/>
        </w:rPr>
        <w:t>)</w:t>
      </w:r>
      <w:r w:rsidRPr="00762D95">
        <w:rPr>
          <w:rFonts w:eastAsia="Times New Roman" w:cstheme="minorHAnsi"/>
          <w:sz w:val="24"/>
          <w:szCs w:val="24"/>
          <w:lang w:eastAsia="en-GB"/>
        </w:rPr>
        <w:t xml:space="preserve">. This led to in-depth review of 166 documents, with 37 included in the final analysis. </w:t>
      </w:r>
      <w:r>
        <w:rPr>
          <w:rFonts w:eastAsia="Times New Roman" w:cstheme="minorHAnsi"/>
          <w:sz w:val="24"/>
          <w:szCs w:val="24"/>
          <w:lang w:eastAsia="en-GB"/>
        </w:rPr>
        <w:t>A list of studies is included</w:t>
      </w:r>
      <w:r w:rsidRPr="00C1131D">
        <w:rPr>
          <w:rFonts w:eastAsia="Times New Roman" w:cstheme="minorHAnsi"/>
          <w:sz w:val="24"/>
          <w:szCs w:val="24"/>
          <w:lang w:eastAsia="en-GB"/>
        </w:rPr>
        <w:t xml:space="preserve"> (</w:t>
      </w:r>
      <w:r>
        <w:rPr>
          <w:rFonts w:eastAsia="Times New Roman" w:cstheme="minorHAnsi"/>
          <w:b/>
          <w:sz w:val="24"/>
          <w:szCs w:val="24"/>
          <w:lang w:eastAsia="en-GB"/>
        </w:rPr>
        <w:t>Table 2</w:t>
      </w:r>
      <w:r w:rsidRPr="00C1131D">
        <w:rPr>
          <w:rFonts w:eastAsia="Times New Roman" w:cstheme="minorHAnsi"/>
          <w:sz w:val="24"/>
          <w:szCs w:val="24"/>
          <w:lang w:eastAsia="en-GB"/>
        </w:rPr>
        <w:t xml:space="preserve">) for reliability </w:t>
      </w:r>
      <w:r w:rsidRPr="00C1131D">
        <w:rPr>
          <w:rFonts w:eastAsia="Times New Roman" w:cstheme="minorHAnsi"/>
          <w:sz w:val="24"/>
          <w:szCs w:val="24"/>
          <w:lang w:eastAsia="en-GB"/>
        </w:rPr>
        <w:fldChar w:fldCharType="begin"/>
      </w:r>
      <w:r>
        <w:rPr>
          <w:rFonts w:eastAsia="Times New Roman" w:cstheme="minorHAnsi"/>
          <w:sz w:val="24"/>
          <w:szCs w:val="24"/>
          <w:lang w:eastAsia="en-GB"/>
        </w:rPr>
        <w:instrText xml:space="preserve"> ADDIN EN.CITE &lt;EndNote&gt;&lt;Cite&gt;&lt;Author&gt;Yin&lt;/Author&gt;&lt;Year&gt;2014&lt;/Year&gt;&lt;RecNum&gt;38&lt;/RecNum&gt;&lt;DisplayText&gt;[37]&lt;/DisplayText&gt;&lt;record&gt;&lt;rec-number&gt;38&lt;/rec-number&gt;&lt;foreign-keys&gt;&lt;key app="EN" db-id="aravpvpwf05teaesv5bvas0qp2d2as5f2s95" timestamp="1528719129"&gt;38&lt;/key&gt;&lt;/foreign-keys&gt;&lt;ref-type name="Book"&gt;6&lt;/ref-type&gt;&lt;contributors&gt;&lt;authors&gt;&lt;author&gt;Yin, RK&lt;/author&gt;&lt;/authors&gt;&lt;/contributors&gt;&lt;titles&gt;&lt;title&gt;Case Study Research : Design and Methods - Fifth Edition&lt;/title&gt;&lt;/titles&gt;&lt;edition&gt;5th&lt;/edition&gt;&lt;dates&gt;&lt;year&gt;2014&lt;/year&gt;&lt;/dates&gt;&lt;pub-location&gt;London&lt;/pub-location&gt;&lt;publisher&gt;SAGE&lt;/publisher&gt;&lt;isbn&gt;1-4522-4256-9&lt;/isbn&gt;&lt;urls&gt;&lt;related-urls&gt;&lt;url&gt;http://sfx.ucl.ac.uk/sfx_local?ctx_ver=Z39.88-2004&amp;amp;ctx_enc=info%3Aofi%2Fenc%3AUTF-8&amp;amp;ctx_tim=2018-06-07T10%3A40%3A31IST&amp;amp;url_ver=Z39.88-2004&amp;amp;url_ctx_fmt=infofi%2Ffmt%3Akev%3Amtx%3Actx&amp;amp;rfr_id=info%3Asid%2Fprimo.exlibrisgroup.com%3Aprimo3-Journal-UCL_LMS_DS&amp;amp;rft_val_fmt=info%3Aofi%2Ffmt%3Akev%3Amtx%3Abook&amp;amp;rft.genre=book&amp;amp;rft.atitle=&amp;amp;rft.jtitle=&amp;amp;rft.btitle=Case%20study%20research%20%3A%20design%20and%20methods&amp;amp;rft.aulast=Yin&amp;amp;rft.auinit=&amp;amp;rft.auinit1=&amp;amp;rft.auinitm=&amp;amp;rft.ausuffix=&amp;amp;rft.au=Yin%2C%20Robert%20K&amp;amp;rft.aucorp=&amp;amp;rft.volume=&amp;amp;rft.issue=&amp;amp;rft.part=&amp;amp;rft.quarter=&amp;amp;rft.ssn=&amp;amp;rft.spage=&amp;amp;rft.epage=&amp;amp;rft.pages=&amp;amp;rft.artnum=&amp;amp;rft.issn=&amp;amp;rft.eissn=&amp;amp;rft.isbn=9781452242569&amp;amp;rft.sici=&amp;amp;rft.coden=&amp;amp;rft_id=info%3Adoi%2F&amp;amp;rft_id=info%3Aoai%2F&amp;amp;rft_id=info%3Apmid%2F&amp;amp;rft.object_id=&amp;amp;rft.856_url=&amp;amp;rft_dat=%3CUCL_LMS_DS%3E001835312%3C%2FUCL_LMS_DS%3E%3Curl%3E%3C%2Furl%3E&amp;amp;rft.eisbn=&amp;amp;req.language=eng&amp;amp;rft_pqid=&lt;/url&gt;&lt;/related-urls&gt;&lt;/urls&gt;&lt;/record&gt;&lt;/Cite&gt;&lt;/EndNote&gt;</w:instrText>
      </w:r>
      <w:r w:rsidRPr="00C1131D">
        <w:rPr>
          <w:rFonts w:eastAsia="Times New Roman" w:cstheme="minorHAnsi"/>
          <w:sz w:val="24"/>
          <w:szCs w:val="24"/>
          <w:lang w:eastAsia="en-GB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en-GB"/>
        </w:rPr>
        <w:t>[37]</w:t>
      </w:r>
      <w:r w:rsidRPr="00C1131D">
        <w:rPr>
          <w:rFonts w:eastAsia="Times New Roman" w:cstheme="minorHAnsi"/>
          <w:sz w:val="24"/>
          <w:szCs w:val="24"/>
          <w:lang w:eastAsia="en-GB"/>
        </w:rPr>
        <w:fldChar w:fldCharType="end"/>
      </w:r>
      <w:r w:rsidRPr="00C1131D">
        <w:rPr>
          <w:rFonts w:eastAsia="Times New Roman" w:cstheme="minorHAnsi"/>
          <w:sz w:val="24"/>
          <w:szCs w:val="24"/>
          <w:lang w:eastAsia="en-GB"/>
        </w:rPr>
        <w:t>.</w:t>
      </w:r>
    </w:p>
    <w:p w14:paraId="52567240" w14:textId="77777777" w:rsidR="00A14220" w:rsidRDefault="00A14220" w:rsidP="00A14220">
      <w:pPr>
        <w:rPr>
          <w:lang w:eastAsia="en-GB"/>
        </w:rPr>
      </w:pPr>
    </w:p>
    <w:p w14:paraId="5969E727" w14:textId="72558C92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 w:rsidRPr="0038689C">
        <w:rPr>
          <w:rFonts w:eastAsia="Times New Roman" w:cstheme="minorHAnsi"/>
          <w:b/>
          <w:sz w:val="24"/>
          <w:szCs w:val="24"/>
          <w:lang w:eastAsia="en-GB"/>
        </w:rPr>
        <w:t xml:space="preserve">Table </w:t>
      </w:r>
      <w:r>
        <w:rPr>
          <w:rFonts w:eastAsia="Times New Roman" w:cstheme="minorHAnsi"/>
          <w:b/>
          <w:sz w:val="24"/>
          <w:szCs w:val="24"/>
          <w:lang w:eastAsia="en-GB"/>
        </w:rPr>
        <w:t>1 – Search terms, Data sources, Inclusion criteria</w:t>
      </w:r>
    </w:p>
    <w:p w14:paraId="56FEB6DF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trike/>
          <w:szCs w:val="21"/>
          <w:lang w:eastAsia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18"/>
        <w:gridCol w:w="7208"/>
      </w:tblGrid>
      <w:tr w:rsidR="00A14220" w:rsidRPr="0038689C" w14:paraId="74232554" w14:textId="77777777" w:rsidTr="00C91A9F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2E74B5" w:themeFill="accent5" w:themeFillShade="BF"/>
          </w:tcPr>
          <w:p w14:paraId="4ED59E35" w14:textId="77777777" w:rsidR="00A14220" w:rsidRPr="0038689C" w:rsidRDefault="00A14220" w:rsidP="00C91A9F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4"/>
              </w:rPr>
              <w:t>Search terms</w:t>
            </w:r>
          </w:p>
        </w:tc>
      </w:tr>
      <w:tr w:rsidR="00A14220" w:rsidRPr="0038689C" w14:paraId="2A35A11B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035BEBB3" w14:textId="77777777" w:rsidR="00A14220" w:rsidRPr="0038689C" w:rsidRDefault="00A14220" w:rsidP="00C91A9F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t>Key terms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86DDFF5" w14:textId="77777777" w:rsidR="00A14220" w:rsidRPr="0038689C" w:rsidRDefault="00A14220" w:rsidP="00C91A9F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t>Search terms</w:t>
            </w:r>
          </w:p>
        </w:tc>
      </w:tr>
      <w:tr w:rsidR="00A14220" w:rsidRPr="0038689C" w14:paraId="478552B5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6672603F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Nepal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auto"/>
          </w:tcPr>
          <w:p w14:paraId="4CE3501D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Nepal*</w:t>
            </w:r>
          </w:p>
        </w:tc>
      </w:tr>
      <w:tr w:rsidR="00A14220" w:rsidRPr="0038689C" w14:paraId="5BBED3AD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60C2D25A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LMIC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D0CB66A" w14:textId="77777777" w:rsidR="00A14220" w:rsidRPr="0038689C" w:rsidRDefault="00A14220" w:rsidP="00C91A9F">
            <w:pPr>
              <w:rPr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low- and middle-income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countr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LMIC* OR LICs OR low-income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countr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MICs* OR middle-income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countr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developing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countr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Asia* OR </w:t>
            </w:r>
            <w:r w:rsidRPr="0038689C">
              <w:rPr>
                <w:sz w:val="20"/>
                <w:szCs w:val="24"/>
              </w:rPr>
              <w:t xml:space="preserve">Brazil* OR Mexico* OR India* OR Malaysia* OR South Africa* OR Iran* OR Fiji* OR Philippine* OR Thailand* OR Costa Rica* OR Peru* OR Turkey* </w:t>
            </w:r>
          </w:p>
        </w:tc>
      </w:tr>
      <w:tr w:rsidR="00A14220" w:rsidRPr="0038689C" w14:paraId="3950254B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2CB8584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Marketing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14CDE17D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market* OR advert*</w:t>
            </w:r>
          </w:p>
        </w:tc>
      </w:tr>
      <w:tr w:rsidR="00A14220" w:rsidRPr="0038689C" w14:paraId="44E4DD31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52B38084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Unhealthy foods or beverages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B5632BA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unhealth* OR junk OR HFSS OR high fat salt* sugar* OR high salt OR high sugar OR trans-fat* OR ultra-processed</w:t>
            </w:r>
          </w:p>
        </w:tc>
      </w:tr>
      <w:tr w:rsidR="00A14220" w:rsidRPr="0038689C" w14:paraId="4A1CB3D2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1B066F8E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Tobacco, alcohol, BMS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auto"/>
          </w:tcPr>
          <w:p w14:paraId="60F24A63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tobacco* OR alcohol* OR breast milk substitute* OR formula milk OR breast-feeding</w:t>
            </w:r>
          </w:p>
        </w:tc>
      </w:tr>
      <w:tr w:rsidR="00A14220" w:rsidRPr="0038689C" w14:paraId="48C540AE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4A2B62CB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NCDs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D79E7F9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NCD* OR non-communicable disease* OR noncommunicable disease* OR nutrition</w:t>
            </w:r>
          </w:p>
        </w:tc>
      </w:tr>
      <w:tr w:rsidR="00A14220" w:rsidRPr="0038689C" w14:paraId="2A743F45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24F2B8D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Opportunities and barriers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auto"/>
          </w:tcPr>
          <w:p w14:paraId="42469FFB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barrier* OR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opportunit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influenc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facilitat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* OR political commit* OR policy OR policies OR </w:t>
            </w:r>
            <w:proofErr w:type="spellStart"/>
            <w:r w:rsidRPr="0038689C">
              <w:rPr>
                <w:rFonts w:ascii="Calibri" w:eastAsia="Calibri" w:hAnsi="Calibri" w:cs="Calibri"/>
                <w:sz w:val="20"/>
                <w:szCs w:val="24"/>
              </w:rPr>
              <w:t>regulat</w:t>
            </w:r>
            <w:proofErr w:type="spellEnd"/>
            <w:r w:rsidRPr="0038689C">
              <w:rPr>
                <w:rFonts w:ascii="Calibri" w:eastAsia="Calibri" w:hAnsi="Calibri" w:cs="Calibri"/>
                <w:sz w:val="20"/>
                <w:szCs w:val="24"/>
              </w:rPr>
              <w:t>*</w:t>
            </w:r>
          </w:p>
        </w:tc>
      </w:tr>
      <w:tr w:rsidR="00A14220" w:rsidRPr="0038689C" w14:paraId="09A77DEF" w14:textId="77777777" w:rsidTr="00C91A9F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2E74B5" w:themeFill="accent5" w:themeFillShade="BF"/>
          </w:tcPr>
          <w:p w14:paraId="48AC00CC" w14:textId="77777777" w:rsidR="00A14220" w:rsidRPr="0038689C" w:rsidRDefault="00A14220" w:rsidP="00C91A9F">
            <w:pPr>
              <w:rPr>
                <w:rFonts w:ascii="Calibri" w:eastAsia="Calibri" w:hAnsi="Calibri" w:cs="Calibri"/>
                <w:color w:val="FFFFFF" w:themeColor="background1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4"/>
              </w:rPr>
              <w:t>Dat</w:t>
            </w:r>
            <w:r w:rsidRPr="0038689C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4"/>
                <w:shd w:val="clear" w:color="auto" w:fill="2E74B5" w:themeFill="accent5" w:themeFillShade="BF"/>
              </w:rPr>
              <w:t>a sources</w:t>
            </w:r>
          </w:p>
        </w:tc>
      </w:tr>
      <w:tr w:rsidR="00A14220" w:rsidRPr="0038689C" w14:paraId="479C6016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7996FBE8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t>Scholarly literature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04AFB6D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ProQuest Central; EMBASE; IBSS; MEDLINE; SCOPUS; Web of Science</w:t>
            </w:r>
          </w:p>
        </w:tc>
      </w:tr>
      <w:tr w:rsidR="00A14220" w:rsidRPr="0038689C" w14:paraId="44E17840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51EFD83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t>Grey literature, including laws and policies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auto"/>
          </w:tcPr>
          <w:p w14:paraId="20F07C68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DFID; Food and Agricultural Organisation of the UN; Institute for Development Studies; International Food Policy Research Institute; McCabe Centre for Law and Cancer; 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t xml:space="preserve">Nepal government websites, including the Nepal Law Commission 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begin"/>
            </w:r>
            <w:r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instrText xml:space="preserve"> ADDIN EN.CITE &lt;EndNote&gt;&lt;Cite&gt;&lt;Author&gt;NLC&lt;/Author&gt;&lt;Year&gt;2018&lt;/Year&gt;&lt;RecNum&gt;1675&lt;/RecNum&gt;&lt;DisplayText&gt;[88]&lt;/DisplayText&gt;&lt;record&gt;&lt;rec-number&gt;1675&lt;/rec-number&gt;&lt;foreign-keys&gt;&lt;key app="EN" db-id="aravpvpwf05teaesv5bvas0qp2d2as5f2s95" timestamp="1529922125"&gt;1675&lt;/key&gt;&lt;/foreign-keys&gt;&lt;ref-type name="Web Page"&gt;12&lt;/ref-type&gt;&lt;contributors&gt;&lt;authors&gt;&lt;author&gt;NLC&lt;/author&gt;&lt;/authors&gt;&lt;/contributors&gt;&lt;titles&gt;&lt;title&gt;Nepal Law Commission: Laws &amp;amp; Documents&lt;/title&gt;&lt;/titles&gt;&lt;volume&gt;24 June&lt;/volume&gt;&lt;number&gt;2018&lt;/number&gt;&lt;dates&gt;&lt;year&gt;2018&lt;/year&gt;&lt;/dates&gt;&lt;pub-location&gt;Kathmandu, Nepal&lt;/pub-location&gt;&lt;publisher&gt;Nepal Law Commission (NLC)&lt;/publisher&gt;&lt;urls&gt;&lt;related-urls&gt;&lt;url&gt;http://www.lawcommission.gov.np/en/&lt;/url&gt;&lt;/related-urls&gt;&lt;/urls&gt;&lt;/record&gt;&lt;/Cite&gt;&lt;/EndNote&gt;</w:instrTex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bCs/>
                <w:noProof/>
                <w:sz w:val="20"/>
                <w:szCs w:val="24"/>
                <w:lang w:eastAsia="en-GB"/>
              </w:rPr>
              <w:t>[88]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end"/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t xml:space="preserve"> and Nepal Nutrition and Food Security Portal 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begin"/>
            </w:r>
            <w:r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instrText xml:space="preserve"> ADDIN EN.CITE &lt;EndNote&gt;&lt;Cite&gt;&lt;Author&gt;NPC&lt;/Author&gt;&lt;Year&gt;2018&lt;/Year&gt;&lt;RecNum&gt;1671&lt;/RecNum&gt;&lt;DisplayText&gt;[89]&lt;/DisplayText&gt;&lt;record&gt;&lt;rec-number&gt;1671&lt;/rec-number&gt;&lt;foreign-keys&gt;&lt;key app="EN" db-id="aravpvpwf05teaesv5bvas0qp2d2as5f2s95" timestamp="1529852165"&gt;1671&lt;/key&gt;&lt;/foreign-keys&gt;&lt;ref-type name="Web Page"&gt;12&lt;/ref-type&gt;&lt;contributors&gt;&lt;authors&gt;&lt;author&gt;NPC&lt;/author&gt;&lt;/authors&gt;&lt;secondary-authors&gt;&lt;author&gt;National Nutrition and Food Security Secretariat, National Planning Commission (NPC)&lt;/author&gt;&lt;/secondary-authors&gt;&lt;/contributors&gt;&lt;titles&gt;&lt;title&gt;NEPAL NUTRITION AND FOOD SECURITY PORTAL: All Datasets&lt;/title&gt;&lt;/titles&gt;&lt;volume&gt;2018&lt;/volume&gt;&lt;number&gt;24 June&lt;/number&gt;&lt;dates&gt;&lt;year&gt;2018&lt;/year&gt;&lt;/dates&gt;&lt;pub-location&gt;Kathmandu, Nepal&lt;/pub-location&gt;&lt;publisher&gt;Central Bureau of Statistics, National Planning Commission (NPC), Government of Nepal&lt;/publisher&gt;&lt;urls&gt;&lt;related-urls&gt;&lt;url&gt;http://nnfsp.gov.np/Datasets.aspx&lt;/url&gt;&lt;/related-urls&gt;&lt;/urls&gt;&lt;/record&gt;&lt;/Cite&gt;&lt;/EndNote&gt;</w:instrTex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bCs/>
                <w:noProof/>
                <w:sz w:val="20"/>
                <w:szCs w:val="24"/>
                <w:lang w:eastAsia="en-GB"/>
              </w:rPr>
              <w:t>[89]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fldChar w:fldCharType="end"/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t xml:space="preserve">; </w:t>
            </w: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Overseas Development Institute; Save the Children; </w:t>
            </w:r>
            <w:r w:rsidRPr="0038689C">
              <w:rPr>
                <w:rFonts w:eastAsia="Times New Roman" w:cstheme="minorHAnsi"/>
                <w:bCs/>
                <w:sz w:val="20"/>
                <w:szCs w:val="24"/>
                <w:lang w:eastAsia="en-GB"/>
              </w:rPr>
              <w:t>Scaling-up Nutrition</w:t>
            </w: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 WHO, including the Global Database on the Implementation of Nutrition Action (GINA); UNICEF; UN System Standing Committee on Nutrition; USAID; World Bank; World Cancer Research Fund International; World Food Programme</w:t>
            </w:r>
          </w:p>
        </w:tc>
      </w:tr>
      <w:tr w:rsidR="00A14220" w:rsidRPr="0038689C" w14:paraId="576362A2" w14:textId="77777777" w:rsidTr="00C91A9F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2E74B5" w:themeFill="accent5" w:themeFillShade="BF"/>
          </w:tcPr>
          <w:p w14:paraId="18CEFA42" w14:textId="77777777" w:rsidR="00A14220" w:rsidRPr="0038689C" w:rsidRDefault="00A14220" w:rsidP="00C91A9F">
            <w:pPr>
              <w:rPr>
                <w:rFonts w:ascii="Calibri" w:eastAsia="Calibri" w:hAnsi="Calibri" w:cs="Calibri"/>
                <w:color w:val="FFFFFF" w:themeColor="background1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4"/>
              </w:rPr>
              <w:t>Inclusion criteria</w:t>
            </w:r>
          </w:p>
        </w:tc>
      </w:tr>
      <w:tr w:rsidR="00A14220" w:rsidRPr="0038689C" w14:paraId="521027EB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1ACBC495" w14:textId="77777777" w:rsidR="00A14220" w:rsidRPr="0038689C" w:rsidRDefault="00A14220" w:rsidP="00C91A9F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lastRenderedPageBreak/>
              <w:t>Inclusion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64158E8" w14:textId="77777777" w:rsidR="00A14220" w:rsidRPr="0038689C" w:rsidRDefault="00A14220" w:rsidP="00A1422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Published after 2000 in English, </w:t>
            </w:r>
            <w:r w:rsidRPr="0038689C">
              <w:rPr>
                <w:rFonts w:eastAsia="Times New Roman" w:cstheme="minorHAnsi"/>
                <w:sz w:val="20"/>
                <w:szCs w:val="24"/>
                <w:lang w:eastAsia="en-GB"/>
              </w:rPr>
              <w:t xml:space="preserve">before the Framework Convention on Tobacco Control (FCTC) was adopted </w:t>
            </w:r>
            <w:r w:rsidRPr="0038689C">
              <w:rPr>
                <w:rFonts w:eastAsia="Times New Roman" w:cstheme="minorHAnsi"/>
                <w:sz w:val="20"/>
                <w:szCs w:val="24"/>
                <w:lang w:eastAsia="en-GB"/>
              </w:rPr>
              <w:fldChar w:fldCharType="begin"/>
            </w:r>
            <w:r>
              <w:rPr>
                <w:rFonts w:eastAsia="Times New Roman" w:cstheme="minorHAnsi"/>
                <w:sz w:val="20"/>
                <w:szCs w:val="24"/>
                <w:lang w:eastAsia="en-GB"/>
              </w:rPr>
              <w:instrText xml:space="preserve"> ADDIN EN.CITE &lt;EndNote&gt;&lt;Cite&gt;&lt;Author&gt;WHO&lt;/Author&gt;&lt;Year&gt;2003&lt;/Year&gt;&lt;RecNum&gt;34&lt;/RecNum&gt;&lt;DisplayText&gt;[90]&lt;/DisplayText&gt;&lt;record&gt;&lt;rec-number&gt;34&lt;/rec-number&gt;&lt;foreign-keys&gt;&lt;key app="EN" db-id="aravpvpwf05teaesv5bvas0qp2d2as5f2s95" timestamp="1528719129"&gt;34&lt;/key&gt;&lt;/foreign-keys&gt;&lt;ref-type name="Report"&gt;27&lt;/ref-type&gt;&lt;contributors&gt;&lt;authors&gt;&lt;author&gt;WHO&lt;/author&gt;&lt;/authors&gt;&lt;tertiary-authors&gt;&lt;author&gt;WHO&lt;/author&gt;&lt;/tertiary-authors&gt;&lt;/contributors&gt;&lt;titles&gt;&lt;title&gt;WHO Framework Convention on Tobacco Control&lt;/title&gt;&lt;/titles&gt;&lt;dates&gt;&lt;year&gt;2003&lt;/year&gt;&lt;/dates&gt;&lt;pub-location&gt;Geneva, Switzerland&lt;/pub-location&gt;&lt;publisher&gt;World Health Organization (WHO)&lt;/publisher&gt;&lt;urls&gt;&lt;/urls&gt;&lt;/record&gt;&lt;/Cite&gt;&lt;/EndNote&gt;</w:instrText>
            </w:r>
            <w:r w:rsidRPr="0038689C">
              <w:rPr>
                <w:rFonts w:eastAsia="Times New Roman" w:cstheme="minorHAnsi"/>
                <w:sz w:val="20"/>
                <w:szCs w:val="24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4"/>
                <w:lang w:eastAsia="en-GB"/>
              </w:rPr>
              <w:t>[90]</w:t>
            </w:r>
            <w:r w:rsidRPr="0038689C">
              <w:rPr>
                <w:rFonts w:eastAsia="Times New Roman" w:cstheme="minorHAnsi"/>
                <w:sz w:val="20"/>
                <w:szCs w:val="24"/>
                <w:lang w:eastAsia="en-GB"/>
              </w:rPr>
              <w:fldChar w:fldCharType="end"/>
            </w:r>
          </w:p>
          <w:p w14:paraId="63FC686A" w14:textId="77777777" w:rsidR="00A14220" w:rsidRPr="0038689C" w:rsidRDefault="00A14220" w:rsidP="00A1422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Full article accessible</w:t>
            </w:r>
          </w:p>
          <w:p w14:paraId="653E83D2" w14:textId="77777777" w:rsidR="00A14220" w:rsidRPr="0038689C" w:rsidRDefault="00A14220" w:rsidP="00A1422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Considers policy change in the area, or implementation, of WHO Marketing Recommendations, NCD policies or restrictions on marketing of tobacco, alcohol or BMS (as relevant), or factors influencing these processes </w:t>
            </w:r>
          </w:p>
          <w:p w14:paraId="2A53FCE9" w14:textId="77777777" w:rsidR="00A14220" w:rsidRPr="0038689C" w:rsidRDefault="00A14220" w:rsidP="00A1422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 xml:space="preserve">Considers experiences in LMICs (including Upper Middle-Income Countries) that are relevant to the case under analysis </w:t>
            </w:r>
          </w:p>
          <w:p w14:paraId="731A4684" w14:textId="77777777" w:rsidR="00A14220" w:rsidRPr="0038689C" w:rsidRDefault="00A14220" w:rsidP="00A1422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Methodology largely acceptable, including published commentaries from reputable sources including global organisations, civil society and research institutes (noting the later are largely grey literature)</w:t>
            </w:r>
          </w:p>
        </w:tc>
      </w:tr>
      <w:tr w:rsidR="00A14220" w:rsidRPr="0038689C" w14:paraId="19686DC0" w14:textId="77777777" w:rsidTr="00C91A9F">
        <w:tc>
          <w:tcPr>
            <w:tcW w:w="10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0D846D9" w14:textId="77777777" w:rsidR="00A14220" w:rsidRPr="0038689C" w:rsidRDefault="00A14220" w:rsidP="00C91A9F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b/>
                <w:sz w:val="20"/>
                <w:szCs w:val="24"/>
              </w:rPr>
              <w:t>Exclusion</w:t>
            </w:r>
          </w:p>
        </w:tc>
        <w:tc>
          <w:tcPr>
            <w:tcW w:w="399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auto"/>
          </w:tcPr>
          <w:p w14:paraId="1422E2EE" w14:textId="77777777" w:rsidR="00A14220" w:rsidRPr="0038689C" w:rsidRDefault="00A14220" w:rsidP="00C91A9F">
            <w:pPr>
              <w:rPr>
                <w:rFonts w:ascii="Calibri" w:eastAsia="Calibri" w:hAnsi="Calibri" w:cs="Calibri"/>
                <w:sz w:val="20"/>
                <w:szCs w:val="24"/>
              </w:rPr>
            </w:pPr>
            <w:r w:rsidRPr="0038689C">
              <w:rPr>
                <w:rFonts w:ascii="Calibri" w:eastAsia="Calibri" w:hAnsi="Calibri" w:cs="Calibri"/>
                <w:sz w:val="20"/>
                <w:szCs w:val="24"/>
              </w:rPr>
              <w:t>Converse of above, including only focuses on HICs</w:t>
            </w:r>
          </w:p>
        </w:tc>
      </w:tr>
    </w:tbl>
    <w:p w14:paraId="56471572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trike/>
          <w:szCs w:val="21"/>
          <w:lang w:eastAsia="en-GB"/>
        </w:rPr>
      </w:pPr>
    </w:p>
    <w:p w14:paraId="000EA72F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trike/>
          <w:szCs w:val="21"/>
          <w:lang w:eastAsia="en-GB"/>
        </w:rPr>
      </w:pPr>
    </w:p>
    <w:p w14:paraId="4D3077B6" w14:textId="12A35DBC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F10BB">
        <w:rPr>
          <w:rFonts w:eastAsia="Times New Roman" w:cstheme="minorHAnsi"/>
          <w:b/>
          <w:sz w:val="24"/>
          <w:szCs w:val="24"/>
          <w:lang w:eastAsia="en-GB"/>
        </w:rPr>
        <w:t xml:space="preserve">Figure </w:t>
      </w:r>
      <w:r>
        <w:rPr>
          <w:rFonts w:eastAsia="Times New Roman" w:cstheme="minorHAnsi"/>
          <w:b/>
          <w:sz w:val="24"/>
          <w:szCs w:val="24"/>
          <w:lang w:eastAsia="en-GB"/>
        </w:rPr>
        <w:t>1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 – </w:t>
      </w:r>
      <w:r w:rsidRPr="008F10BB">
        <w:rPr>
          <w:rFonts w:eastAsia="Times New Roman" w:cstheme="minorHAnsi"/>
          <w:b/>
          <w:sz w:val="24"/>
          <w:szCs w:val="24"/>
          <w:lang w:eastAsia="en-GB"/>
        </w:rPr>
        <w:t>Search Flow Chart</w:t>
      </w:r>
      <w:r w:rsidRPr="008F10B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04FB67D" w14:textId="77777777" w:rsidR="00A14220" w:rsidRPr="008F10BB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576D5F74" w14:textId="77777777" w:rsidR="00A14220" w:rsidRPr="00065EBD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i/>
          <w:szCs w:val="21"/>
          <w:lang w:eastAsia="en-GB"/>
        </w:rPr>
      </w:pPr>
      <w:r>
        <w:rPr>
          <w:noProof/>
          <w:lang w:val="en-US"/>
        </w:rPr>
        <w:drawing>
          <wp:inline distT="0" distB="0" distL="0" distR="0" wp14:anchorId="5C68DC39" wp14:editId="3DD5709E">
            <wp:extent cx="5731510" cy="46653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3C08E" w14:textId="77777777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7"/>
          <w:lang w:eastAsia="en-GB"/>
        </w:rPr>
      </w:pPr>
    </w:p>
    <w:p w14:paraId="372ED224" w14:textId="77777777" w:rsidR="00A14220" w:rsidRPr="00810C0A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7"/>
          <w:lang w:eastAsia="en-GB"/>
        </w:rPr>
      </w:pPr>
    </w:p>
    <w:p w14:paraId="1A407EA8" w14:textId="2D188DF0" w:rsidR="00A14220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 w:rsidRPr="0038689C">
        <w:rPr>
          <w:rFonts w:eastAsia="Times New Roman" w:cstheme="minorHAnsi"/>
          <w:b/>
          <w:sz w:val="24"/>
          <w:szCs w:val="24"/>
          <w:lang w:eastAsia="en-GB"/>
        </w:rPr>
        <w:t xml:space="preserve">Table </w:t>
      </w:r>
      <w:r>
        <w:rPr>
          <w:rFonts w:eastAsia="Times New Roman" w:cstheme="minorHAnsi"/>
          <w:b/>
          <w:sz w:val="24"/>
          <w:szCs w:val="24"/>
          <w:lang w:eastAsia="en-GB"/>
        </w:rPr>
        <w:t>2 – Document search database</w:t>
      </w:r>
    </w:p>
    <w:p w14:paraId="2209F054" w14:textId="77777777" w:rsidR="00A14220" w:rsidRPr="00DF78E5" w:rsidRDefault="00A14220" w:rsidP="00A14220">
      <w:pPr>
        <w:shd w:val="clear" w:color="auto" w:fill="FFFFFF"/>
        <w:spacing w:after="0" w:line="240" w:lineRule="auto"/>
        <w:rPr>
          <w:rFonts w:eastAsia="Times New Roman" w:cstheme="minorHAnsi"/>
          <w:strike/>
          <w:szCs w:val="21"/>
          <w:lang w:eastAsia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554"/>
        <w:gridCol w:w="7031"/>
      </w:tblGrid>
      <w:tr w:rsidR="00A14220" w:rsidRPr="00011205" w14:paraId="14E76201" w14:textId="77777777" w:rsidTr="00A14220">
        <w:trPr>
          <w:tblHeader/>
        </w:trPr>
        <w:tc>
          <w:tcPr>
            <w:tcW w:w="79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47A2C3" w14:textId="77777777" w:rsidR="00A14220" w:rsidRPr="00DF78E5" w:rsidRDefault="00A14220" w:rsidP="00C91A9F">
            <w:pPr>
              <w:spacing w:after="60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color w:val="333333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3BE15D" w14:textId="77777777" w:rsidR="00A14220" w:rsidRPr="00DF78E5" w:rsidRDefault="00A14220" w:rsidP="00C91A9F">
            <w:pPr>
              <w:spacing w:after="60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color w:val="333333"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419469" w14:textId="77777777" w:rsidR="00A14220" w:rsidRPr="00DF78E5" w:rsidRDefault="00A14220" w:rsidP="00C91A9F">
            <w:pPr>
              <w:spacing w:after="60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color w:val="333333"/>
                <w:sz w:val="20"/>
                <w:szCs w:val="20"/>
                <w:lang w:eastAsia="en-GB"/>
              </w:rPr>
              <w:t xml:space="preserve">Document description </w:t>
            </w:r>
          </w:p>
        </w:tc>
      </w:tr>
      <w:tr w:rsidR="00A14220" w:rsidRPr="00011205" w14:paraId="69232DEA" w14:textId="77777777" w:rsidTr="00C91A9F">
        <w:tc>
          <w:tcPr>
            <w:tcW w:w="798" w:type="pct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BA77C6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Academic papers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35B8209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8986338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BARQUERA, S. 2017. What the world can learn from Mexico's battle against obesity: Vulnerable groups, international collaboration, evidence-based policies and management of conflicts of interest.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Annals of Nutrition and Metabolism,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71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14.</w:t>
            </w:r>
          </w:p>
        </w:tc>
      </w:tr>
      <w:tr w:rsidR="00A14220" w:rsidRPr="00011205" w14:paraId="42E70847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5A54A4B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11FE262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F3C99DA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BARQUERA, S., CAMPOS, I. &amp; RIVERA, J. A. 2013. 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Mexico attempts to tackle obesity: The process, results, push backs and future challenges.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Obesity Reviews,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14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69-78.</w:t>
            </w:r>
          </w:p>
        </w:tc>
      </w:tr>
      <w:tr w:rsidR="00A14220" w:rsidRPr="00011205" w14:paraId="3532CCAB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4355B9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7E079AD9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4CC85B9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DELOBELLE, P. M. D. P., SANDERS, D. M. D. C. H. M. D., PUOANE, T. M. P. H. D. &amp; FREUDENBERG, N. D. 2016. Reducing the Role of the Food, Tobacco, and Alcohol Industries in Noncommunicable Disease Risk in South Africa.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Health Education and Behavior,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43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70.</w:t>
            </w:r>
          </w:p>
        </w:tc>
      </w:tr>
      <w:tr w:rsidR="00A14220" w:rsidRPr="00011205" w14:paraId="1C1DB53E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8E29A61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28496869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33750A6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FRASER, B. 2013. Latin American countries crack down on junk food.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The Lancet,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382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385-6.</w:t>
            </w:r>
          </w:p>
        </w:tc>
      </w:tr>
      <w:tr w:rsidR="00A14220" w:rsidRPr="00011205" w14:paraId="26D081F5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ABEC33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43532D6E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902ADC0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GOMES, F. S. 2010. Regulation of marketing of food and non-alcoholic beverages in Brazil.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Obesity Reviews,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11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63.</w:t>
            </w:r>
          </w:p>
        </w:tc>
      </w:tr>
      <w:tr w:rsidR="00A14220" w:rsidRPr="00011205" w14:paraId="73F4AC2C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8165A5D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7C956AC3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B2DB7E6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HAWKES, C. &amp; LOBSTEIN, T. 2011. Regulating the commercial promotion of food to children: A survey of actions worldwide.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Int. J. Pediatr. Obes.,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6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83-94.</w:t>
            </w:r>
          </w:p>
        </w:tc>
      </w:tr>
      <w:tr w:rsidR="00A14220" w:rsidRPr="00011205" w14:paraId="5E620F7C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C7E07FA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5A04BC30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2B46A63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JAACKS, L. M., KAVLE, J., PERRY, A. &amp; NYAKU, A. 2017. Programming maternal and child overweight and obesity in the context of undernutrition: current evidence and key considerations for low- and middle-income countries.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Public Health Nutr,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20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1286-1296.</w:t>
            </w:r>
          </w:p>
        </w:tc>
      </w:tr>
      <w:tr w:rsidR="00A14220" w:rsidRPr="00011205" w14:paraId="03FE470E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2F8F8BD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546B62B2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6B6203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JAIME, P. C., DA SILVA, A. C., GENTIL, P. C., CLARO, R. M. &amp; MONTEIRO, C. A. 2013. Brazilian obesity prevention and control initiatives.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Obes Rev,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14 Suppl 2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88-95.</w:t>
            </w:r>
          </w:p>
        </w:tc>
      </w:tr>
      <w:tr w:rsidR="00A14220" w:rsidRPr="00011205" w14:paraId="7AEBBCE0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CF8A799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7A42654E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0356189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MOISE, N., CIFUENTES, E., OROZCO, E. &amp; WILLETT, W. 2011. Limiting the consumption of sugar sweetened beverages in Mexico's obesogenic environment: A qualitative policy review and stakeholder analysis.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Journal of Public Health Policy,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32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458-75.</w:t>
            </w:r>
          </w:p>
        </w:tc>
      </w:tr>
      <w:tr w:rsidR="00A14220" w:rsidRPr="00011205" w14:paraId="5B6244E9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0B9E419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6705D56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highlight w:val="yellow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FB9864F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NEUPANE, D. &amp; KALLESTRUP, P. 2013. Non-communicable Diseases in Nepal: Challenges and Opportunities.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J Nepal Health Res Counc,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11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225-8.</w:t>
            </w:r>
          </w:p>
        </w:tc>
      </w:tr>
      <w:tr w:rsidR="00A14220" w:rsidRPr="00011205" w14:paraId="7B0D4B29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3FA920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1EC1329F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4BFBEF2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PHULKERD, S., SACKS, G., VANDEVIJVERE, S., WORSLEY, A. &amp; LAWRENCE, M. 2017. Barriers and potential facilitators to the implementation of government policies on front-of-pack food labeling and restriction of unhealthy food advertising in Thailand.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Food Policy,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71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101-110.</w:t>
            </w:r>
          </w:p>
        </w:tc>
      </w:tr>
      <w:tr w:rsidR="00A14220" w:rsidRPr="00011205" w14:paraId="601E6473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80970D6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2D3A8ED8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A86CAC9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POPKIN, B., MONTEIRO, C. &amp; SWINBURN, B. 2013. Overview: Bellagio Conference on Program and Policy Options for Preventing Obesity in the Low- and Middle-Income Countries.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Obesity Reviews,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14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1-8.</w:t>
            </w:r>
          </w:p>
        </w:tc>
      </w:tr>
      <w:tr w:rsidR="00A14220" w:rsidRPr="00011205" w14:paraId="0996AF8B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9006B0B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7017419C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73CFBDA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PRIES, A. M., HUFFMAN, S. L., ADHIKARY, I., UPRETI, S. R., DHUNGEL, S., CHAMPENY, M. &amp; ZEHNER, E. 2016. High consumption of commercial food products among children less than 24 months of age and product promotion in Kathmandu Valley, Nepal.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Matern Child Nutr,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12 Suppl 2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22-37.</w:t>
            </w:r>
          </w:p>
        </w:tc>
      </w:tr>
      <w:tr w:rsidR="00A14220" w:rsidRPr="00011205" w14:paraId="66BD4EC6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4D916B3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4748BB80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C4DFBAF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REEVE, E., THOW, A. M., BELL, C., ENGELHARDT, K., GAMOLO-NALIPONGUIT, E. C., GO, J. J. &amp; SACKS, G. 2018. Implementation lessons for school food policies and marketing restrictions in the Philippines: A qualitative policy analysis.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Globalization and Health,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14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8.</w:t>
            </w:r>
          </w:p>
        </w:tc>
      </w:tr>
      <w:tr w:rsidR="00A14220" w:rsidRPr="00011205" w14:paraId="5E7AFD32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783F8D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6CEE340F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9500921" w14:textId="77777777" w:rsidR="00A14220" w:rsidRPr="00DF78E5" w:rsidRDefault="00A14220" w:rsidP="00C91A9F">
            <w:pPr>
              <w:pStyle w:val="EndNoteBibliography"/>
              <w:ind w:hanging="31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SHARMA, S. R., PAGE, R., MATHESON, A., LAMBRICK, D., FAULKNER, J. &amp; MISHRA, S. R. 2017. Non-communicable disease prevention in Nepal: systemic challenges and future directions.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Glob Health Promot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1757975917720800.</w:t>
            </w:r>
          </w:p>
        </w:tc>
      </w:tr>
      <w:tr w:rsidR="00A14220" w:rsidRPr="00011205" w14:paraId="6275ED19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F50489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5FCE7F9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25C1A9E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SMITH, R. &amp; IRWIN, R. 2016. Measuring success in global health diplomacy: lessons from marketing food to children in India.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Globalization and health,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12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28.</w:t>
            </w:r>
          </w:p>
        </w:tc>
      </w:tr>
      <w:tr w:rsidR="00A14220" w:rsidRPr="00011205" w14:paraId="46440AB9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115BFC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1A6B447C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02F00F2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SOMASUNDARAM, N. P. &amp; KALUPAHANA, N. S. 2016. Population-based dietary approaches for the prevention of noncommunicable diseases.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WHO South-East Asia journal of public health,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5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22-26.</w:t>
            </w:r>
          </w:p>
        </w:tc>
      </w:tr>
      <w:tr w:rsidR="00A14220" w:rsidRPr="00011205" w14:paraId="02F3908B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B5C27A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5969562E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91C04DE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STUCKLER, D., MCKEE, M., EBRAHIM, S. &amp; BASU, S. 2012. Manufacturing Epidemics: The Role of Global Producers in Increased Consumption of Unhealthy Commodities Including Processed Foods, Alcohol, and Tobacco.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PLoS Medicine,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9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e1001235.</w:t>
            </w:r>
          </w:p>
        </w:tc>
      </w:tr>
      <w:tr w:rsidR="00A14220" w:rsidRPr="00011205" w14:paraId="265BCA75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4FCDA7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035518DE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2A7B1C5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UPRETI, S. R., LOHANI, G. R., MAGTYMOVA, A. &amp; DIXIT, L. P. 2016. 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Strengthening policy and governance to address the growing burden of diabetes in Nepal.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WHO South-East Asia journal of public health,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5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40-43.</w:t>
            </w:r>
          </w:p>
        </w:tc>
      </w:tr>
      <w:tr w:rsidR="00A14220" w:rsidRPr="00011205" w14:paraId="2E4BC106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A72A6AC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0B70E8DB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5A1E145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VAIDYA, A., SHAKYA, S. &amp; KRETTEK, A. 2010. Obesity prevalence in Nepal: public health challenges in a low-income nation during an alarming worldwide trend.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Int J Environ Res Public Health,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7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2726-44.</w:t>
            </w:r>
          </w:p>
        </w:tc>
      </w:tr>
      <w:tr w:rsidR="00A14220" w:rsidRPr="00011205" w14:paraId="67B1F313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B38DC6C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F6CDB86" w14:textId="77777777" w:rsidR="00A14220" w:rsidRPr="00DF78E5" w:rsidRDefault="00A142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E2E77AC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WORSLEY, A., WANG, W. C., SARMUGAM, R., PHAM, Q., FEBRUHARTANTY, J. &amp; RIDLEY, S. 2018. Household food providers’ attitudes to the regulation of food marketing and government promotion of healthy foods in five countries in the Asia Pacific region. </w:t>
            </w:r>
            <w:r w:rsidRPr="00DF78E5">
              <w:rPr>
                <w:rFonts w:asciiTheme="minorHAnsi" w:hAnsiTheme="minorHAnsi" w:cstheme="minorHAnsi"/>
                <w:i/>
                <w:sz w:val="20"/>
                <w:szCs w:val="20"/>
              </w:rPr>
              <w:t>British Food Journal,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120</w:t>
            </w:r>
            <w:r w:rsidRPr="00DF78E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 xml:space="preserve"> 1236-1249.</w:t>
            </w:r>
          </w:p>
        </w:tc>
      </w:tr>
      <w:tr w:rsidR="00A14220" w:rsidRPr="00011205" w14:paraId="68D1726E" w14:textId="77777777" w:rsidTr="00C91A9F">
        <w:tc>
          <w:tcPr>
            <w:tcW w:w="798" w:type="pct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C707D4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Grey literature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5E842761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0EE7AC80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FAO/WHO (2018). Proceedings of the FAO/WHO international symposium on sustainable food systems for healthy diets and improved nutrition. Rome, Italy, FAO/WHO.</w:t>
            </w:r>
          </w:p>
        </w:tc>
      </w:tr>
      <w:tr w:rsidR="00A14220" w:rsidRPr="00011205" w14:paraId="2DD74989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1FCE30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4D35D450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51EE8D7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IFPRI (2015). Global Nutrition Report 2015: Actions and Accountability to Advance Nutrition &amp; Sustainable Development. Washington, D.C., USA, International Food Policy Research Institute (IFPRI).</w:t>
            </w:r>
          </w:p>
        </w:tc>
      </w:tr>
      <w:tr w:rsidR="00A14220" w:rsidRPr="00011205" w14:paraId="6DFCDD75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2CE6E9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50A33FD3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1D470EC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RECPHEC 2014. Rapid Assessment on Media Coverage of Junk Food and its Content Analysis on Selected Nepali and Indian Television Channels. Kathmandu, Nepal: Resource Centre for Primary Health Care (RECPHEC).</w:t>
            </w:r>
          </w:p>
        </w:tc>
      </w:tr>
      <w:tr w:rsidR="00A14220" w:rsidRPr="00011205" w14:paraId="204E59CA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C8B589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6E90F20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15F62DF9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WHO-EMRO (2016). Summary report on the expert meeting to finalize a regional roadmap to address unopposed marketing of unhealthy foods/beverages to children in the Eastern Mediterranean Region, Cairo, Egypt, 21–22 June 2016. Cairo, Egypt, World Health Organization (WHO), Regional Office for the Eastern Mediterranean (EMRO).</w:t>
            </w:r>
          </w:p>
        </w:tc>
      </w:tr>
      <w:tr w:rsidR="00A14220" w:rsidRPr="00011205" w14:paraId="6EB1E144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D753ED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7BB981E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72C79BD3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WHO-EURO (2014). Seminar on working across sectors For noncommunicable diseases (NCD): Policy responses to marketing of Alcohol and food marketing to children. Copenhagen, Denmark, WHO Regional Office for Europe.</w:t>
            </w:r>
          </w:p>
        </w:tc>
      </w:tr>
      <w:tr w:rsidR="00A14220" w:rsidRPr="00011205" w14:paraId="5F2FFFBE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1BD20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B555F22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152FA09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WHO-GCM/NCD (2016). Final report and recommendations from the Working Group on ways and means of encouraging Member States and non-State actors to realize the commitment included in paragraph 44 of the Political Declaration of the High-level Meeting of the United Nations General Assembly on the Prevention and Control of Noncommunicable Diseases. Geneva, Switzerland, WHO.</w:t>
            </w:r>
          </w:p>
        </w:tc>
      </w:tr>
      <w:tr w:rsidR="00A14220" w:rsidRPr="00011205" w14:paraId="393470F0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72FBC8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093206BE" w14:textId="77777777" w:rsidR="00A14220" w:rsidRPr="00DF78E5" w:rsidRDefault="00A14220" w:rsidP="00C91A9F">
            <w:pPr>
              <w:rPr>
                <w:rFonts w:cstheme="minorHAnsi"/>
                <w:noProof/>
                <w:sz w:val="20"/>
                <w:szCs w:val="20"/>
              </w:rPr>
            </w:pPr>
            <w:r w:rsidRPr="00DF78E5">
              <w:rPr>
                <w:rFonts w:cstheme="minorHAnsi"/>
                <w:noProof/>
                <w:sz w:val="20"/>
                <w:szCs w:val="20"/>
              </w:rPr>
              <w:t>7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F396DC1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cstheme="minorHAnsi"/>
                <w:noProof/>
                <w:sz w:val="20"/>
                <w:szCs w:val="20"/>
              </w:rPr>
              <w:t xml:space="preserve">WHO-Nepal (2018). "Non-Communicable Diseases." Retrieved 14 June, 2018, from </w:t>
            </w:r>
            <w:hyperlink r:id="rId6" w:history="1">
              <w:r w:rsidRPr="00DF78E5">
                <w:rPr>
                  <w:rStyle w:val="Hyperlink"/>
                  <w:rFonts w:cstheme="minorHAnsi"/>
                  <w:noProof/>
                  <w:sz w:val="20"/>
                  <w:szCs w:val="20"/>
                </w:rPr>
                <w:t>http://www.searo.who.int/nepal/documents/NEP_NCD/en/</w:t>
              </w:r>
            </w:hyperlink>
            <w:r w:rsidRPr="00DF78E5">
              <w:rPr>
                <w:rFonts w:cstheme="minorHAnsi"/>
                <w:noProof/>
                <w:sz w:val="20"/>
                <w:szCs w:val="20"/>
              </w:rPr>
              <w:t>.</w:t>
            </w:r>
          </w:p>
        </w:tc>
      </w:tr>
      <w:tr w:rsidR="00A14220" w:rsidRPr="00011205" w14:paraId="5593E875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DD6947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81C8436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908E708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WHO-SEARO (2009). Strengthening Partnerships for Integrated Prevention and Control of Noncommunicable Diseases: The SEANET-NCD Meeting Report of the Meeting, Chandigarh, India, 15–19 June 2009. India, World Health Organization (WHO) Regional Office for South-East Asia (SEARO).</w:t>
            </w:r>
          </w:p>
        </w:tc>
      </w:tr>
      <w:tr w:rsidR="00A14220" w:rsidRPr="00011205" w14:paraId="7E03CB5A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49C671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74EB32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13B60F8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WHO-SEARO (2011). Health and development challenges of noncommunicable diseases in the South-East Asia Region: Report of the regional meeting, Jakarta, Indonesia, 1-4 March 2011. India, World Health Organization (WHO) Regional Office for South-East Asia (SEARO).</w:t>
            </w:r>
          </w:p>
        </w:tc>
      </w:tr>
      <w:tr w:rsidR="00A14220" w:rsidRPr="00011205" w14:paraId="4E125071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9D43EA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16434A8B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E8F649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WHO-SEARO (2015). Approaches to establishing country-level, multisectoral coordination mechanisms for the prevention and control of noncommunicable diseases. India, World Health Organization (WHO) Regional Office for South-East Asia (SEARO).</w:t>
            </w:r>
          </w:p>
        </w:tc>
      </w:tr>
      <w:tr w:rsidR="00A14220" w:rsidRPr="00011205" w14:paraId="2D6F1B43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A4CE40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08946DD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0D706F6B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WHO-SEARO (2015). Strengthening NCD Civil Society Organizations: Report of the Regional Meeting, New Delhi, India, 9-10 July 2015. India, World Health Organization (WHO) Regional Office for South-East Asia (SEARO).</w:t>
            </w:r>
          </w:p>
        </w:tc>
      </w:tr>
      <w:tr w:rsidR="00A14220" w:rsidRPr="00011205" w14:paraId="74B26907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75A67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2E7F135F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C16E09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WHO-WPRO (2013). Informal Consultation on Reducing the Harmful Impact on Children of Marketing Foods, Beverages, Tobacco and Alcohol, Manila, Philippines, 25-26 September 2013: meeting report. Manila, World Health Organization (WHO), Regional Office for the Western Pacific (WPRO).</w:t>
            </w:r>
          </w:p>
        </w:tc>
      </w:tr>
      <w:tr w:rsidR="00A14220" w:rsidRPr="00011205" w14:paraId="62C38703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741485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2F443092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66082D6C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WHO-WPRO (2015). Biregional Workshop on Restricting the Marketing of Foods and Non-Alcoholic Beverages to Children in the Western Pacific and South-East Asia, Kuala Lumpur, Malaysia, 1 to 4 December 2015: meeting report. Manila, World Health Organization (WHO), Regional Office for the Western Pacific (WPRO).</w:t>
            </w:r>
          </w:p>
        </w:tc>
      </w:tr>
      <w:tr w:rsidR="00A14220" w:rsidRPr="00011205" w14:paraId="35EBDD1E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1F64D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096B80E4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7C3C71EF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 (2006). Marketing of food and non-alcoholic beverages to children: report of a WHO forum and technical meeting, Oslo, Norway, 2-5 May 2006. Geneva, Switzerland, WHO.</w:t>
            </w:r>
          </w:p>
        </w:tc>
      </w:tr>
      <w:tr w:rsidR="00A14220" w:rsidRPr="00011205" w14:paraId="5A4AE230" w14:textId="77777777" w:rsidTr="00C91A9F">
        <w:tc>
          <w:tcPr>
            <w:tcW w:w="798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8EA9D5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016135D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49F1BF76" w14:textId="77777777" w:rsidR="00A14220" w:rsidRPr="00DF78E5" w:rsidRDefault="00A14220" w:rsidP="00C91A9F">
            <w:pPr>
              <w:pStyle w:val="EndNoteBibliography"/>
              <w:rPr>
                <w:rFonts w:asciiTheme="minorHAnsi" w:hAnsiTheme="minorHAnsi" w:cstheme="minorHAnsi"/>
                <w:sz w:val="20"/>
                <w:szCs w:val="20"/>
              </w:rPr>
            </w:pPr>
            <w:r w:rsidRPr="00DF78E5">
              <w:rPr>
                <w:rFonts w:asciiTheme="minorHAnsi" w:hAnsiTheme="minorHAnsi" w:cstheme="minorHAnsi"/>
                <w:sz w:val="20"/>
                <w:szCs w:val="20"/>
              </w:rPr>
              <w:t>WHO (2008). Scaling up prevention and control of noncommunicable diseases: The SEANET-NCD meeting: Report of the Meeting, Phuket, Thailand, 22–26 October 2007. New Delhi, India, WHO Regional Office for South-East Asia.</w:t>
            </w:r>
          </w:p>
        </w:tc>
      </w:tr>
      <w:tr w:rsidR="00A14220" w:rsidRPr="00011205" w14:paraId="7BA9B89A" w14:textId="77777777" w:rsidTr="00C91A9F">
        <w:tc>
          <w:tcPr>
            <w:tcW w:w="79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5D440DB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Government documents &amp; laws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EEAF6" w:themeFill="accent5" w:themeFillTint="33"/>
          </w:tcPr>
          <w:p w14:paraId="3AC8B6E0" w14:textId="77777777" w:rsidR="00A14220" w:rsidRPr="00DF78E5" w:rsidRDefault="00A14220" w:rsidP="00C91A9F">
            <w:pPr>
              <w:rPr>
                <w:rFonts w:cstheme="minorHAnsi"/>
                <w:sz w:val="20"/>
                <w:szCs w:val="20"/>
              </w:rPr>
            </w:pPr>
            <w:r w:rsidRPr="00DF78E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89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11C7462" w14:textId="77777777" w:rsidR="00A14220" w:rsidRPr="00DF78E5" w:rsidRDefault="00A142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DF78E5">
              <w:rPr>
                <w:rFonts w:cstheme="minorHAnsi"/>
                <w:sz w:val="20"/>
                <w:szCs w:val="20"/>
              </w:rPr>
              <w:t>GoN</w:t>
            </w:r>
            <w:proofErr w:type="spellEnd"/>
            <w:r w:rsidRPr="00DF78E5">
              <w:rPr>
                <w:rFonts w:cstheme="minorHAnsi"/>
                <w:sz w:val="20"/>
                <w:szCs w:val="20"/>
              </w:rPr>
              <w:t xml:space="preserve"> &amp; WHO 2014. Multisectoral Action Plan for the Prevention and Control of Non-Communicable Diseases (2014-2020). Nepal: Government of Nepal.</w:t>
            </w:r>
          </w:p>
        </w:tc>
      </w:tr>
    </w:tbl>
    <w:p w14:paraId="0F1C426D" w14:textId="77777777" w:rsidR="00EF0E59" w:rsidRDefault="00A14220" w:rsidP="00A14220">
      <w:pPr>
        <w:pStyle w:val="Heading2"/>
        <w:numPr>
          <w:ilvl w:val="0"/>
          <w:numId w:val="0"/>
        </w:numPr>
        <w:spacing w:line="240" w:lineRule="auto"/>
      </w:pPr>
    </w:p>
    <w:sectPr w:rsidR="00EF0E5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2218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044FF" w14:textId="77777777" w:rsidR="00E33B05" w:rsidRDefault="00A14220">
        <w:pPr>
          <w:pStyle w:val="Footer"/>
          <w:jc w:val="right"/>
        </w:pPr>
        <w:r>
          <w:fldChar w:fldCharType="begin"/>
        </w:r>
        <w:r>
          <w:instrText xml:space="preserve"> PA</w:instrText>
        </w:r>
        <w:r>
          <w:instrText xml:space="preserve">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32D3957F" w14:textId="77777777" w:rsidR="00E33B05" w:rsidRDefault="00A142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5D7B8" w14:textId="77777777" w:rsidR="00E33B05" w:rsidRPr="008214A4" w:rsidRDefault="00A14220" w:rsidP="00821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A54D4"/>
    <w:multiLevelType w:val="hybridMultilevel"/>
    <w:tmpl w:val="32A409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312BDE"/>
    <w:multiLevelType w:val="multilevel"/>
    <w:tmpl w:val="7B4A35A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5966" w:hanging="720"/>
      </w:pPr>
      <w:rPr>
        <w:b w:val="0"/>
        <w:i w:val="0"/>
        <w:color w:val="2F5496" w:themeColor="accent1" w:themeShade="BF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20"/>
    <w:rsid w:val="0018290E"/>
    <w:rsid w:val="00963389"/>
    <w:rsid w:val="00A1160F"/>
    <w:rsid w:val="00A14220"/>
    <w:rsid w:val="00BE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5A00"/>
  <w15:chartTrackingRefBased/>
  <w15:docId w15:val="{56DE70A5-33F6-4951-A97A-7E32417C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20"/>
  </w:style>
  <w:style w:type="paragraph" w:styleId="Heading1">
    <w:name w:val="heading 1"/>
    <w:basedOn w:val="Normal"/>
    <w:next w:val="Normal"/>
    <w:link w:val="Heading1Char"/>
    <w:uiPriority w:val="9"/>
    <w:qFormat/>
    <w:rsid w:val="00A1422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22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220"/>
    <w:pPr>
      <w:keepNext/>
      <w:keepLines/>
      <w:numPr>
        <w:ilvl w:val="2"/>
        <w:numId w:val="1"/>
      </w:numPr>
      <w:spacing w:before="40" w:after="0"/>
      <w:ind w:left="2563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22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22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22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22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22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22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2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2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2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2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2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2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2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2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A14220"/>
    <w:pPr>
      <w:ind w:left="720"/>
      <w:contextualSpacing/>
    </w:pPr>
  </w:style>
  <w:style w:type="table" w:styleId="TableGrid">
    <w:name w:val="Table Grid"/>
    <w:basedOn w:val="TableNormal"/>
    <w:uiPriority w:val="39"/>
    <w:rsid w:val="00A1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220"/>
  </w:style>
  <w:style w:type="paragraph" w:styleId="Footer">
    <w:name w:val="footer"/>
    <w:basedOn w:val="Normal"/>
    <w:link w:val="FooterChar"/>
    <w:uiPriority w:val="99"/>
    <w:unhideWhenUsed/>
    <w:rsid w:val="00A1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220"/>
  </w:style>
  <w:style w:type="character" w:styleId="CommentReference">
    <w:name w:val="annotation reference"/>
    <w:basedOn w:val="DefaultParagraphFont"/>
    <w:uiPriority w:val="99"/>
    <w:semiHidden/>
    <w:unhideWhenUsed/>
    <w:rsid w:val="00A14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22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4220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4220"/>
  </w:style>
  <w:style w:type="paragraph" w:customStyle="1" w:styleId="EndNoteBibliography">
    <w:name w:val="EndNote Bibliography"/>
    <w:basedOn w:val="Normal"/>
    <w:link w:val="EndNoteBibliographyChar"/>
    <w:rsid w:val="00A1422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14220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aro.who.int/nepal/documents/NEP_NCD/en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2688</Words>
  <Characters>15322</Characters>
  <Application>Microsoft Office Word</Application>
  <DocSecurity>0</DocSecurity>
  <Lines>127</Lines>
  <Paragraphs>35</Paragraphs>
  <ScaleCrop>false</ScaleCrop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2020-04-26T03:12:00Z</dcterms:created>
  <dcterms:modified xsi:type="dcterms:W3CDTF">2020-04-26T03:24:00Z</dcterms:modified>
</cp:coreProperties>
</file>