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82157D" w14:textId="61ED8195" w:rsidR="00DB7E74" w:rsidRDefault="00DB7E74" w:rsidP="00DB7E74">
      <w:pPr>
        <w:pStyle w:val="EndNoteBibliography"/>
        <w:spacing w:after="0"/>
        <w:ind w:left="720" w:hanging="720"/>
        <w:rPr>
          <w:rFonts w:eastAsia="Times New Roman"/>
          <w:b/>
          <w:bCs/>
          <w:sz w:val="28"/>
          <w:lang w:eastAsia="en-GB"/>
        </w:rPr>
      </w:pPr>
      <w:r w:rsidRPr="00A14220">
        <w:rPr>
          <w:rFonts w:eastAsia="Times New Roman"/>
          <w:b/>
          <w:bCs/>
          <w:sz w:val="28"/>
          <w:lang w:eastAsia="en-GB"/>
        </w:rPr>
        <w:t xml:space="preserve">Additional File </w:t>
      </w:r>
      <w:r>
        <w:rPr>
          <w:rFonts w:eastAsia="Times New Roman"/>
          <w:b/>
          <w:bCs/>
          <w:sz w:val="28"/>
          <w:lang w:eastAsia="en-GB"/>
        </w:rPr>
        <w:t>3</w:t>
      </w:r>
      <w:r w:rsidRPr="00A14220">
        <w:rPr>
          <w:rFonts w:eastAsia="Times New Roman"/>
          <w:b/>
          <w:bCs/>
          <w:sz w:val="28"/>
          <w:lang w:eastAsia="en-GB"/>
        </w:rPr>
        <w:t xml:space="preserve"> – </w:t>
      </w:r>
      <w:r>
        <w:rPr>
          <w:rFonts w:eastAsia="Times New Roman"/>
          <w:b/>
          <w:bCs/>
          <w:sz w:val="28"/>
          <w:lang w:eastAsia="en-GB"/>
        </w:rPr>
        <w:t>Interview Guide</w:t>
      </w:r>
      <w:r w:rsidR="007C7CB8">
        <w:rPr>
          <w:rFonts w:eastAsia="Times New Roman"/>
          <w:b/>
          <w:bCs/>
          <w:sz w:val="28"/>
          <w:lang w:eastAsia="en-GB"/>
        </w:rPr>
        <w:t xml:space="preserve"> for Stakeholders</w:t>
      </w:r>
    </w:p>
    <w:p w14:paraId="35B2FD31" w14:textId="77777777" w:rsidR="00DB7E74" w:rsidRDefault="00DB7E74" w:rsidP="00DB7E74">
      <w:pPr>
        <w:pStyle w:val="EndNoteBibliography"/>
        <w:spacing w:after="0"/>
        <w:ind w:left="720" w:hanging="720"/>
        <w:rPr>
          <w:rFonts w:eastAsia="Times New Roman"/>
          <w:b/>
          <w:bCs/>
          <w:sz w:val="28"/>
          <w:lang w:eastAsia="en-GB"/>
        </w:rPr>
      </w:pPr>
    </w:p>
    <w:p w14:paraId="1C5A2226" w14:textId="77777777" w:rsidR="00DB7E74" w:rsidRPr="00A14220" w:rsidRDefault="00DB7E74" w:rsidP="00DB7E74">
      <w:pPr>
        <w:pStyle w:val="EndNoteBibliography"/>
        <w:spacing w:after="0"/>
        <w:ind w:left="720" w:hanging="720"/>
        <w:rPr>
          <w:rFonts w:eastAsia="Times New Roman"/>
          <w:b/>
          <w:bCs/>
          <w:lang w:eastAsia="en-GB"/>
        </w:rPr>
      </w:pPr>
    </w:p>
    <w:p w14:paraId="083C474A" w14:textId="60A0482D" w:rsidR="00DB7E74" w:rsidRPr="00DB7E74" w:rsidRDefault="00344CD1" w:rsidP="00DB7E74">
      <w:pPr>
        <w:pStyle w:val="Heading1"/>
        <w:pBdr>
          <w:top w:val="single" w:sz="4" w:space="1" w:color="auto"/>
          <w:left w:val="single" w:sz="4" w:space="4" w:color="auto"/>
          <w:bottom w:val="single" w:sz="4" w:space="1" w:color="auto"/>
          <w:right w:val="single" w:sz="4" w:space="4" w:color="auto"/>
        </w:pBdr>
        <w:spacing w:before="0" w:after="0"/>
        <w:jc w:val="center"/>
        <w:rPr>
          <w:rFonts w:asciiTheme="majorHAnsi" w:hAnsiTheme="majorHAnsi" w:cstheme="majorHAnsi"/>
          <w:sz w:val="24"/>
          <w:szCs w:val="24"/>
          <w:lang w:val="en-GB"/>
        </w:rPr>
      </w:pPr>
      <w:r>
        <w:rPr>
          <w:rFonts w:asciiTheme="majorHAnsi" w:hAnsiTheme="majorHAnsi" w:cstheme="majorHAnsi"/>
          <w:sz w:val="24"/>
          <w:szCs w:val="24"/>
          <w:lang w:val="en-GB"/>
        </w:rPr>
        <w:t xml:space="preserve">Basis of </w:t>
      </w:r>
      <w:r w:rsidR="00DB7E74" w:rsidRPr="00DB7E74">
        <w:rPr>
          <w:rFonts w:asciiTheme="majorHAnsi" w:hAnsiTheme="majorHAnsi" w:cstheme="majorHAnsi"/>
          <w:sz w:val="24"/>
          <w:szCs w:val="24"/>
          <w:lang w:val="en-GB"/>
        </w:rPr>
        <w:t xml:space="preserve">Interview Guideline for Stakeholders </w:t>
      </w:r>
    </w:p>
    <w:p w14:paraId="0B87A04D" w14:textId="24115DC0" w:rsidR="00DB7E74" w:rsidRPr="00DB7E74" w:rsidRDefault="00DB7E74" w:rsidP="00DB7E74">
      <w:pPr>
        <w:pStyle w:val="Heading1"/>
        <w:pBdr>
          <w:top w:val="single" w:sz="4" w:space="1" w:color="auto"/>
          <w:left w:val="single" w:sz="4" w:space="4" w:color="auto"/>
          <w:bottom w:val="single" w:sz="4" w:space="1" w:color="auto"/>
          <w:right w:val="single" w:sz="4" w:space="4" w:color="auto"/>
        </w:pBdr>
        <w:spacing w:before="0" w:after="0"/>
        <w:jc w:val="center"/>
        <w:rPr>
          <w:rFonts w:asciiTheme="majorHAnsi" w:hAnsiTheme="majorHAnsi" w:cstheme="majorHAnsi"/>
          <w:b w:val="0"/>
          <w:sz w:val="24"/>
          <w:szCs w:val="24"/>
          <w:lang w:val="en-GB"/>
        </w:rPr>
      </w:pPr>
      <w:r w:rsidRPr="00DB7E74">
        <w:rPr>
          <w:rFonts w:asciiTheme="majorHAnsi" w:hAnsiTheme="majorHAnsi" w:cstheme="majorHAnsi"/>
          <w:sz w:val="24"/>
          <w:szCs w:val="24"/>
          <w:lang w:val="en-GB"/>
        </w:rPr>
        <w:t>CREHPA/UCL, 2018</w:t>
      </w:r>
    </w:p>
    <w:p w14:paraId="12E1031D" w14:textId="7FFDDAA2" w:rsidR="0015025E" w:rsidRDefault="0015025E" w:rsidP="00751CD9">
      <w:pPr>
        <w:rPr>
          <w:b/>
        </w:rPr>
      </w:pPr>
    </w:p>
    <w:p w14:paraId="499E9B7A" w14:textId="77777777" w:rsidR="00344CD1" w:rsidRPr="00344CD1" w:rsidRDefault="00344CD1" w:rsidP="00344CD1">
      <w:pPr>
        <w:shd w:val="clear" w:color="auto" w:fill="FFFFFF"/>
        <w:rPr>
          <w:rFonts w:ascii="HelveticaNeue" w:eastAsia="Times New Roman" w:hAnsi="HelveticaNeue" w:cs="Times New Roman"/>
          <w:color w:val="333333"/>
          <w:lang w:val="en-BE"/>
        </w:rPr>
      </w:pPr>
      <w:r>
        <w:rPr>
          <w:b/>
        </w:rPr>
        <w:t xml:space="preserve">Interviews are based on Baker et </w:t>
      </w:r>
      <w:proofErr w:type="spellStart"/>
      <w:r>
        <w:rPr>
          <w:b/>
        </w:rPr>
        <w:t>al’s</w:t>
      </w:r>
      <w:proofErr w:type="spellEnd"/>
      <w:r>
        <w:rPr>
          <w:b/>
        </w:rPr>
        <w:t xml:space="preserve"> framework for driving political commitment for nutrition. Paper available here: </w:t>
      </w:r>
      <w:r w:rsidRPr="00344CD1">
        <w:rPr>
          <w:rFonts w:ascii="HelveticaNeue" w:eastAsia="Times New Roman" w:hAnsi="HelveticaNeue" w:cs="Times New Roman"/>
          <w:color w:val="333333"/>
          <w:lang w:val="en-BE"/>
        </w:rPr>
        <w:t>Baker P, Hawkes C, Wingrove K</w:t>
      </w:r>
      <w:r w:rsidRPr="00344CD1">
        <w:rPr>
          <w:rFonts w:ascii="HelveticaNeue" w:eastAsia="Times New Roman" w:hAnsi="HelveticaNeue" w:cs="Times New Roman"/>
          <w:i/>
          <w:iCs/>
          <w:color w:val="333333"/>
          <w:lang w:val="en-BE"/>
        </w:rPr>
        <w:t>, et al</w:t>
      </w:r>
    </w:p>
    <w:p w14:paraId="64BF80AB" w14:textId="77777777" w:rsidR="00344CD1" w:rsidRPr="00344CD1" w:rsidRDefault="00344CD1" w:rsidP="00344CD1">
      <w:pPr>
        <w:shd w:val="clear" w:color="auto" w:fill="FFFFFF"/>
        <w:spacing w:after="0" w:line="240" w:lineRule="auto"/>
        <w:rPr>
          <w:rFonts w:ascii="HelveticaNeue" w:eastAsia="Times New Roman" w:hAnsi="HelveticaNeue" w:cs="Times New Roman"/>
          <w:color w:val="333333"/>
          <w:lang w:val="en-BE"/>
        </w:rPr>
      </w:pPr>
      <w:r w:rsidRPr="00344CD1">
        <w:rPr>
          <w:rFonts w:ascii="HelveticaNeue" w:eastAsia="Times New Roman" w:hAnsi="HelveticaNeue" w:cs="Times New Roman"/>
          <w:color w:val="333333"/>
          <w:lang w:val="en-BE"/>
        </w:rPr>
        <w:t>What drives political commitment for nutrition? A review and framework synthesis to inform the United Nations Decade of Action on Nutrition</w:t>
      </w:r>
    </w:p>
    <w:p w14:paraId="21B808CC" w14:textId="77777777" w:rsidR="00344CD1" w:rsidRPr="00344CD1" w:rsidRDefault="00344CD1" w:rsidP="00344CD1">
      <w:pPr>
        <w:shd w:val="clear" w:color="auto" w:fill="FFFFFF"/>
        <w:spacing w:after="0" w:line="240" w:lineRule="auto"/>
        <w:rPr>
          <w:rFonts w:ascii="HelveticaNeue" w:eastAsia="Times New Roman" w:hAnsi="HelveticaNeue" w:cs="Times New Roman"/>
          <w:color w:val="333333"/>
          <w:lang w:val="en-BE"/>
        </w:rPr>
      </w:pPr>
      <w:r w:rsidRPr="00344CD1">
        <w:rPr>
          <w:rFonts w:ascii="HelveticaNeue" w:eastAsia="Times New Roman" w:hAnsi="HelveticaNeue" w:cs="Times New Roman"/>
          <w:i/>
          <w:iCs/>
          <w:color w:val="333333"/>
          <w:lang w:val="en-BE"/>
        </w:rPr>
        <w:t>BMJ Global Health </w:t>
      </w:r>
      <w:r w:rsidRPr="00344CD1">
        <w:rPr>
          <w:rFonts w:ascii="HelveticaNeue" w:eastAsia="Times New Roman" w:hAnsi="HelveticaNeue" w:cs="Times New Roman"/>
          <w:color w:val="333333"/>
          <w:lang w:val="en-BE"/>
        </w:rPr>
        <w:t>2018;</w:t>
      </w:r>
      <w:r w:rsidRPr="00344CD1">
        <w:rPr>
          <w:rFonts w:ascii="HelveticaNeue" w:eastAsia="Times New Roman" w:hAnsi="HelveticaNeue" w:cs="Times New Roman"/>
          <w:b/>
          <w:bCs/>
          <w:color w:val="333333"/>
          <w:lang w:val="en-BE"/>
        </w:rPr>
        <w:t>3:</w:t>
      </w:r>
      <w:r w:rsidRPr="00344CD1">
        <w:rPr>
          <w:rFonts w:ascii="HelveticaNeue" w:eastAsia="Times New Roman" w:hAnsi="HelveticaNeue" w:cs="Times New Roman"/>
          <w:color w:val="333333"/>
          <w:lang w:val="en-BE"/>
        </w:rPr>
        <w:t>e000485</w:t>
      </w:r>
    </w:p>
    <w:p w14:paraId="48B97575" w14:textId="39D25360" w:rsidR="00344CD1" w:rsidRDefault="00344CD1" w:rsidP="00751CD9">
      <w:pPr>
        <w:rPr>
          <w:b/>
        </w:rPr>
      </w:pPr>
      <w:r>
        <w:rPr>
          <w:b/>
        </w:rPr>
        <w:t xml:space="preserve"> </w:t>
      </w:r>
    </w:p>
    <w:p w14:paraId="3E0E0730" w14:textId="3B369215" w:rsidR="00344CD1" w:rsidRDefault="00344CD1" w:rsidP="00751CD9">
      <w:pPr>
        <w:rPr>
          <w: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0"/>
        <w:gridCol w:w="8020"/>
      </w:tblGrid>
      <w:tr w:rsidR="00344CD1" w:rsidRPr="00DB7E74" w14:paraId="59EA1410" w14:textId="77777777" w:rsidTr="00455C47">
        <w:tc>
          <w:tcPr>
            <w:tcW w:w="5000" w:type="pct"/>
            <w:gridSpan w:val="2"/>
            <w:tcBorders>
              <w:bottom w:val="single" w:sz="4" w:space="0" w:color="808080" w:themeColor="background1" w:themeShade="80"/>
            </w:tcBorders>
          </w:tcPr>
          <w:p w14:paraId="06A7440B" w14:textId="77777777" w:rsidR="00344CD1" w:rsidRPr="00DB7E74" w:rsidRDefault="00344CD1" w:rsidP="00455C47">
            <w:pPr>
              <w:shd w:val="clear" w:color="auto" w:fill="FFFFFF"/>
              <w:rPr>
                <w:rFonts w:eastAsia="Times New Roman" w:cstheme="minorHAnsi"/>
                <w:sz w:val="18"/>
                <w:szCs w:val="18"/>
              </w:rPr>
            </w:pPr>
            <w:r w:rsidRPr="00DB7E74">
              <w:rPr>
                <w:rFonts w:eastAsia="Times New Roman" w:cstheme="minorHAnsi"/>
                <w:b/>
                <w:sz w:val="18"/>
                <w:szCs w:val="18"/>
              </w:rPr>
              <w:t>Baker et al.’s Framework for driving political commitment for nutrition</w:t>
            </w:r>
          </w:p>
        </w:tc>
      </w:tr>
      <w:tr w:rsidR="00344CD1" w:rsidRPr="00DB7E74" w14:paraId="5B3C98CE" w14:textId="77777777" w:rsidTr="00455C47">
        <w:tc>
          <w:tcPr>
            <w:tcW w:w="716" w:type="pct"/>
            <w:tcBorders>
              <w:top w:val="single" w:sz="4" w:space="0" w:color="808080" w:themeColor="background1" w:themeShade="80"/>
              <w:bottom w:val="single" w:sz="4" w:space="0" w:color="808080" w:themeColor="background1" w:themeShade="80"/>
            </w:tcBorders>
          </w:tcPr>
          <w:p w14:paraId="0410A141" w14:textId="77777777" w:rsidR="00344CD1" w:rsidRPr="00DB7E74" w:rsidRDefault="00344CD1" w:rsidP="00455C47">
            <w:pPr>
              <w:rPr>
                <w:rFonts w:eastAsia="Times New Roman" w:cstheme="minorHAnsi"/>
                <w:b/>
                <w:bCs/>
                <w:color w:val="333333"/>
                <w:sz w:val="18"/>
                <w:szCs w:val="18"/>
              </w:rPr>
            </w:pPr>
            <w:r w:rsidRPr="00DB7E74">
              <w:rPr>
                <w:rFonts w:eastAsia="Times New Roman" w:cstheme="minorHAnsi"/>
                <w:b/>
                <w:color w:val="333333"/>
                <w:sz w:val="18"/>
                <w:szCs w:val="18"/>
              </w:rPr>
              <w:t>Category</w:t>
            </w:r>
          </w:p>
        </w:tc>
        <w:tc>
          <w:tcPr>
            <w:tcW w:w="4284" w:type="pct"/>
            <w:tcBorders>
              <w:top w:val="single" w:sz="4" w:space="0" w:color="808080" w:themeColor="background1" w:themeShade="80"/>
              <w:bottom w:val="single" w:sz="4" w:space="0" w:color="808080" w:themeColor="background1" w:themeShade="80"/>
            </w:tcBorders>
          </w:tcPr>
          <w:p w14:paraId="0D06DC42" w14:textId="77777777" w:rsidR="00344CD1" w:rsidRPr="00DB7E74" w:rsidRDefault="00344CD1" w:rsidP="00455C47">
            <w:pPr>
              <w:rPr>
                <w:rFonts w:eastAsia="Times New Roman" w:cstheme="minorHAnsi"/>
                <w:b/>
                <w:bCs/>
                <w:color w:val="333333"/>
                <w:sz w:val="18"/>
                <w:szCs w:val="18"/>
              </w:rPr>
            </w:pPr>
            <w:r w:rsidRPr="00DB7E74">
              <w:rPr>
                <w:rFonts w:eastAsia="Times New Roman" w:cstheme="minorHAnsi"/>
                <w:b/>
                <w:color w:val="333333"/>
                <w:sz w:val="18"/>
                <w:szCs w:val="18"/>
              </w:rPr>
              <w:t>Factor and description</w:t>
            </w:r>
          </w:p>
        </w:tc>
      </w:tr>
      <w:tr w:rsidR="00344CD1" w:rsidRPr="00DB7E74" w14:paraId="599FB6A7" w14:textId="77777777" w:rsidTr="00455C47">
        <w:tc>
          <w:tcPr>
            <w:tcW w:w="716" w:type="pct"/>
            <w:vMerge w:val="restart"/>
            <w:tcBorders>
              <w:top w:val="single" w:sz="4" w:space="0" w:color="808080" w:themeColor="background1" w:themeShade="80"/>
              <w:bottom w:val="single" w:sz="4" w:space="0" w:color="808080" w:themeColor="background1" w:themeShade="80"/>
            </w:tcBorders>
            <w:shd w:val="clear" w:color="auto" w:fill="DAEEF3" w:themeFill="accent5" w:themeFillTint="33"/>
          </w:tcPr>
          <w:p w14:paraId="3EBF05F4" w14:textId="77777777" w:rsidR="00344CD1" w:rsidRPr="00DB7E74" w:rsidRDefault="00344CD1" w:rsidP="00455C47">
            <w:pPr>
              <w:rPr>
                <w:rFonts w:eastAsia="Times New Roman" w:cstheme="minorHAnsi"/>
                <w:b/>
                <w:bCs/>
                <w:color w:val="333333"/>
                <w:sz w:val="18"/>
                <w:szCs w:val="18"/>
              </w:rPr>
            </w:pPr>
            <w:r w:rsidRPr="00DB7E74">
              <w:rPr>
                <w:rFonts w:eastAsia="Times New Roman" w:cstheme="minorHAnsi"/>
                <w:b/>
                <w:color w:val="333333"/>
                <w:sz w:val="18"/>
                <w:szCs w:val="18"/>
              </w:rPr>
              <w:t>Actors</w:t>
            </w:r>
          </w:p>
        </w:tc>
        <w:tc>
          <w:tcPr>
            <w:tcW w:w="4284" w:type="pct"/>
            <w:tcBorders>
              <w:top w:val="single" w:sz="4" w:space="0" w:color="808080" w:themeColor="background1" w:themeShade="80"/>
            </w:tcBorders>
            <w:shd w:val="clear" w:color="auto" w:fill="DAEEF3" w:themeFill="accent5" w:themeFillTint="33"/>
          </w:tcPr>
          <w:p w14:paraId="415449CB" w14:textId="77777777" w:rsidR="00344CD1" w:rsidRPr="00DB7E74" w:rsidRDefault="00344CD1" w:rsidP="00455C47">
            <w:pPr>
              <w:rPr>
                <w:rFonts w:eastAsia="Times New Roman" w:cstheme="minorHAnsi"/>
                <w:b/>
                <w:bCs/>
                <w:color w:val="333333"/>
                <w:sz w:val="18"/>
                <w:szCs w:val="18"/>
              </w:rPr>
            </w:pPr>
            <w:r w:rsidRPr="00DB7E74">
              <w:rPr>
                <w:rFonts w:eastAsia="Times New Roman" w:cstheme="minorHAnsi"/>
                <w:b/>
                <w:iCs/>
                <w:color w:val="333333"/>
                <w:sz w:val="18"/>
                <w:szCs w:val="18"/>
              </w:rPr>
              <w:t>(1) Nutrition actor network (NAN) effectiveness:</w:t>
            </w:r>
            <w:r w:rsidRPr="00DB7E74">
              <w:rPr>
                <w:rFonts w:eastAsia="Times New Roman" w:cstheme="minorHAnsi"/>
                <w:color w:val="333333"/>
                <w:sz w:val="18"/>
                <w:szCs w:val="18"/>
              </w:rPr>
              <w:t xml:space="preserve"> effectiveness of NANs, the individuals and </w:t>
            </w:r>
            <w:proofErr w:type="spellStart"/>
            <w:r w:rsidRPr="00DB7E74">
              <w:rPr>
                <w:rFonts w:eastAsia="Times New Roman" w:cstheme="minorHAnsi"/>
                <w:color w:val="333333"/>
                <w:sz w:val="18"/>
                <w:szCs w:val="18"/>
              </w:rPr>
              <w:t>organisations</w:t>
            </w:r>
            <w:proofErr w:type="spellEnd"/>
            <w:r w:rsidRPr="00DB7E74">
              <w:rPr>
                <w:rFonts w:eastAsia="Times New Roman" w:cstheme="minorHAnsi"/>
                <w:color w:val="333333"/>
                <w:sz w:val="18"/>
                <w:szCs w:val="18"/>
              </w:rPr>
              <w:t xml:space="preserve"> operating within a given jurisdiction who shared common principles, causal beliefs and/or interest in tackling malnutrition and who acted collectively to do so.</w:t>
            </w:r>
          </w:p>
        </w:tc>
      </w:tr>
      <w:tr w:rsidR="00344CD1" w:rsidRPr="00DB7E74" w14:paraId="00E80A99" w14:textId="77777777" w:rsidTr="00455C47">
        <w:tc>
          <w:tcPr>
            <w:tcW w:w="716" w:type="pct"/>
            <w:vMerge/>
            <w:tcBorders>
              <w:bottom w:val="single" w:sz="4" w:space="0" w:color="808080" w:themeColor="background1" w:themeShade="80"/>
            </w:tcBorders>
            <w:shd w:val="clear" w:color="auto" w:fill="DAEEF3" w:themeFill="accent5" w:themeFillTint="33"/>
          </w:tcPr>
          <w:p w14:paraId="5F2F1090" w14:textId="77777777" w:rsidR="00344CD1" w:rsidRPr="00DB7E74" w:rsidRDefault="00344CD1" w:rsidP="00455C47">
            <w:pPr>
              <w:rPr>
                <w:rFonts w:eastAsia="Times New Roman" w:cstheme="minorHAnsi"/>
                <w:b/>
                <w:bCs/>
                <w:color w:val="333333"/>
                <w:sz w:val="18"/>
                <w:szCs w:val="18"/>
              </w:rPr>
            </w:pPr>
          </w:p>
        </w:tc>
        <w:tc>
          <w:tcPr>
            <w:tcW w:w="4284" w:type="pct"/>
            <w:shd w:val="clear" w:color="auto" w:fill="DAEEF3" w:themeFill="accent5" w:themeFillTint="33"/>
          </w:tcPr>
          <w:p w14:paraId="2B9B53BC" w14:textId="77777777" w:rsidR="00344CD1" w:rsidRPr="00DB7E74" w:rsidRDefault="00344CD1" w:rsidP="00455C47">
            <w:pPr>
              <w:rPr>
                <w:rFonts w:eastAsia="Times New Roman" w:cstheme="minorHAnsi"/>
                <w:b/>
                <w:bCs/>
                <w:color w:val="333333"/>
                <w:sz w:val="18"/>
                <w:szCs w:val="18"/>
              </w:rPr>
            </w:pPr>
            <w:r w:rsidRPr="00DB7E74">
              <w:rPr>
                <w:rFonts w:eastAsia="Times New Roman" w:cstheme="minorHAnsi"/>
                <w:b/>
                <w:iCs/>
                <w:color w:val="333333"/>
                <w:sz w:val="18"/>
                <w:szCs w:val="18"/>
              </w:rPr>
              <w:t>(2) Strength of leadership:</w:t>
            </w:r>
            <w:r w:rsidRPr="00DB7E74">
              <w:rPr>
                <w:rFonts w:eastAsia="Times New Roman" w:cstheme="minorHAnsi"/>
                <w:color w:val="333333"/>
                <w:sz w:val="18"/>
                <w:szCs w:val="18"/>
              </w:rPr>
              <w:t xml:space="preserve"> presence of committed and politically savvy individuals, within or outside of government, </w:t>
            </w:r>
            <w:proofErr w:type="spellStart"/>
            <w:r w:rsidRPr="00DB7E74">
              <w:rPr>
                <w:rFonts w:eastAsia="Times New Roman" w:cstheme="minorHAnsi"/>
                <w:color w:val="333333"/>
                <w:sz w:val="18"/>
                <w:szCs w:val="18"/>
              </w:rPr>
              <w:t>recognised</w:t>
            </w:r>
            <w:proofErr w:type="spellEnd"/>
            <w:r w:rsidRPr="00DB7E74">
              <w:rPr>
                <w:rFonts w:eastAsia="Times New Roman" w:cstheme="minorHAnsi"/>
                <w:color w:val="333333"/>
                <w:sz w:val="18"/>
                <w:szCs w:val="18"/>
              </w:rPr>
              <w:t xml:space="preserve"> as strong champions for nutrition.</w:t>
            </w:r>
          </w:p>
        </w:tc>
      </w:tr>
      <w:tr w:rsidR="00344CD1" w:rsidRPr="00DB7E74" w14:paraId="25661346" w14:textId="77777777" w:rsidTr="00455C47">
        <w:tc>
          <w:tcPr>
            <w:tcW w:w="716" w:type="pct"/>
            <w:vMerge/>
            <w:tcBorders>
              <w:bottom w:val="single" w:sz="4" w:space="0" w:color="808080" w:themeColor="background1" w:themeShade="80"/>
            </w:tcBorders>
            <w:shd w:val="clear" w:color="auto" w:fill="DAEEF3" w:themeFill="accent5" w:themeFillTint="33"/>
          </w:tcPr>
          <w:p w14:paraId="60EB4501" w14:textId="77777777" w:rsidR="00344CD1" w:rsidRPr="00DB7E74" w:rsidRDefault="00344CD1" w:rsidP="00455C47">
            <w:pPr>
              <w:rPr>
                <w:rFonts w:eastAsia="Times New Roman" w:cstheme="minorHAnsi"/>
                <w:b/>
                <w:bCs/>
                <w:color w:val="333333"/>
                <w:sz w:val="18"/>
                <w:szCs w:val="18"/>
              </w:rPr>
            </w:pPr>
          </w:p>
        </w:tc>
        <w:tc>
          <w:tcPr>
            <w:tcW w:w="4284" w:type="pct"/>
            <w:shd w:val="clear" w:color="auto" w:fill="DAEEF3" w:themeFill="accent5" w:themeFillTint="33"/>
          </w:tcPr>
          <w:p w14:paraId="3CC324C3" w14:textId="77777777" w:rsidR="00344CD1" w:rsidRPr="00DB7E74" w:rsidRDefault="00344CD1" w:rsidP="00455C47">
            <w:pPr>
              <w:rPr>
                <w:rFonts w:eastAsia="Times New Roman" w:cstheme="minorHAnsi"/>
                <w:b/>
                <w:bCs/>
                <w:color w:val="333333"/>
                <w:sz w:val="18"/>
                <w:szCs w:val="18"/>
              </w:rPr>
            </w:pPr>
            <w:r w:rsidRPr="00DB7E74">
              <w:rPr>
                <w:rFonts w:eastAsia="Times New Roman" w:cstheme="minorHAnsi"/>
                <w:b/>
                <w:iCs/>
                <w:color w:val="333333"/>
                <w:sz w:val="18"/>
                <w:szCs w:val="18"/>
              </w:rPr>
              <w:t xml:space="preserve">(3) Civil society </w:t>
            </w:r>
            <w:proofErr w:type="spellStart"/>
            <w:r w:rsidRPr="00DB7E74">
              <w:rPr>
                <w:rFonts w:eastAsia="Times New Roman" w:cstheme="minorHAnsi"/>
                <w:b/>
                <w:iCs/>
                <w:color w:val="333333"/>
                <w:sz w:val="18"/>
                <w:szCs w:val="18"/>
              </w:rPr>
              <w:t>mobilisation</w:t>
            </w:r>
            <w:proofErr w:type="spellEnd"/>
            <w:r w:rsidRPr="00DB7E74">
              <w:rPr>
                <w:rFonts w:eastAsia="Times New Roman" w:cstheme="minorHAnsi"/>
                <w:iCs/>
                <w:color w:val="333333"/>
                <w:sz w:val="18"/>
                <w:szCs w:val="18"/>
              </w:rPr>
              <w:t>:</w:t>
            </w:r>
            <w:r w:rsidRPr="00DB7E74">
              <w:rPr>
                <w:rFonts w:eastAsia="Times New Roman" w:cstheme="minorHAnsi"/>
                <w:color w:val="333333"/>
                <w:sz w:val="18"/>
                <w:szCs w:val="18"/>
              </w:rPr>
              <w:t xml:space="preserve"> extent to which civil society groups </w:t>
            </w:r>
            <w:proofErr w:type="spellStart"/>
            <w:r w:rsidRPr="00DB7E74">
              <w:rPr>
                <w:rFonts w:eastAsia="Times New Roman" w:cstheme="minorHAnsi"/>
                <w:color w:val="333333"/>
                <w:sz w:val="18"/>
                <w:szCs w:val="18"/>
              </w:rPr>
              <w:t>mobilised</w:t>
            </w:r>
            <w:proofErr w:type="spellEnd"/>
            <w:r w:rsidRPr="00DB7E74">
              <w:rPr>
                <w:rFonts w:eastAsia="Times New Roman" w:cstheme="minorHAnsi"/>
                <w:color w:val="333333"/>
                <w:sz w:val="18"/>
                <w:szCs w:val="18"/>
              </w:rPr>
              <w:t xml:space="preserve"> to address malnutrition, including non-government </w:t>
            </w:r>
            <w:proofErr w:type="spellStart"/>
            <w:r w:rsidRPr="00DB7E74">
              <w:rPr>
                <w:rFonts w:eastAsia="Times New Roman" w:cstheme="minorHAnsi"/>
                <w:color w:val="333333"/>
                <w:sz w:val="18"/>
                <w:szCs w:val="18"/>
              </w:rPr>
              <w:t>organisations</w:t>
            </w:r>
            <w:proofErr w:type="spellEnd"/>
            <w:r w:rsidRPr="00DB7E74">
              <w:rPr>
                <w:rFonts w:eastAsia="Times New Roman" w:cstheme="minorHAnsi"/>
                <w:color w:val="333333"/>
                <w:sz w:val="18"/>
                <w:szCs w:val="18"/>
              </w:rPr>
              <w:t xml:space="preserve"> and social movements collectively representing the interests of citizens.</w:t>
            </w:r>
          </w:p>
        </w:tc>
      </w:tr>
      <w:tr w:rsidR="00344CD1" w:rsidRPr="00DB7E74" w14:paraId="1298C87C" w14:textId="77777777" w:rsidTr="00455C47">
        <w:tc>
          <w:tcPr>
            <w:tcW w:w="716" w:type="pct"/>
            <w:vMerge/>
            <w:tcBorders>
              <w:bottom w:val="single" w:sz="4" w:space="0" w:color="808080" w:themeColor="background1" w:themeShade="80"/>
            </w:tcBorders>
            <w:shd w:val="clear" w:color="auto" w:fill="DAEEF3" w:themeFill="accent5" w:themeFillTint="33"/>
          </w:tcPr>
          <w:p w14:paraId="57FE3461" w14:textId="77777777" w:rsidR="00344CD1" w:rsidRPr="00DB7E74" w:rsidRDefault="00344CD1" w:rsidP="00455C47">
            <w:pPr>
              <w:rPr>
                <w:rFonts w:eastAsia="Times New Roman" w:cstheme="minorHAnsi"/>
                <w:b/>
                <w:bCs/>
                <w:color w:val="333333"/>
                <w:sz w:val="18"/>
                <w:szCs w:val="18"/>
              </w:rPr>
            </w:pPr>
          </w:p>
        </w:tc>
        <w:tc>
          <w:tcPr>
            <w:tcW w:w="4284" w:type="pct"/>
            <w:shd w:val="clear" w:color="auto" w:fill="DAEEF3" w:themeFill="accent5" w:themeFillTint="33"/>
          </w:tcPr>
          <w:p w14:paraId="4E2C3FCF" w14:textId="77777777" w:rsidR="00344CD1" w:rsidRPr="00DB7E74" w:rsidRDefault="00344CD1" w:rsidP="00455C47">
            <w:pPr>
              <w:rPr>
                <w:rFonts w:eastAsia="Times New Roman" w:cstheme="minorHAnsi"/>
                <w:b/>
                <w:bCs/>
                <w:color w:val="333333"/>
                <w:sz w:val="18"/>
                <w:szCs w:val="18"/>
              </w:rPr>
            </w:pPr>
            <w:r w:rsidRPr="00DB7E74">
              <w:rPr>
                <w:rFonts w:eastAsia="Times New Roman" w:cstheme="minorHAnsi"/>
                <w:b/>
                <w:iCs/>
                <w:color w:val="333333"/>
                <w:sz w:val="18"/>
                <w:szCs w:val="18"/>
              </w:rPr>
              <w:t>(4) Supportive international actors:</w:t>
            </w:r>
            <w:r w:rsidRPr="00DB7E74">
              <w:rPr>
                <w:rFonts w:eastAsia="Times New Roman" w:cstheme="minorHAnsi"/>
                <w:color w:val="333333"/>
                <w:sz w:val="18"/>
                <w:szCs w:val="18"/>
              </w:rPr>
              <w:t> degree to which actors with an international scope of operations and/or membership initiated, championed and/or supported nutrition policy and programming responses.</w:t>
            </w:r>
          </w:p>
        </w:tc>
      </w:tr>
      <w:tr w:rsidR="00344CD1" w:rsidRPr="00DB7E74" w14:paraId="0CA1C73D" w14:textId="77777777" w:rsidTr="00455C47">
        <w:tc>
          <w:tcPr>
            <w:tcW w:w="716" w:type="pct"/>
            <w:vMerge/>
            <w:tcBorders>
              <w:bottom w:val="single" w:sz="4" w:space="0" w:color="808080" w:themeColor="background1" w:themeShade="80"/>
            </w:tcBorders>
            <w:shd w:val="clear" w:color="auto" w:fill="DAEEF3" w:themeFill="accent5" w:themeFillTint="33"/>
          </w:tcPr>
          <w:p w14:paraId="0A500030" w14:textId="77777777" w:rsidR="00344CD1" w:rsidRPr="00DB7E74" w:rsidRDefault="00344CD1" w:rsidP="00455C47">
            <w:pPr>
              <w:rPr>
                <w:rFonts w:eastAsia="Times New Roman" w:cstheme="minorHAnsi"/>
                <w:b/>
                <w:bCs/>
                <w:color w:val="333333"/>
                <w:sz w:val="18"/>
                <w:szCs w:val="18"/>
              </w:rPr>
            </w:pPr>
          </w:p>
        </w:tc>
        <w:tc>
          <w:tcPr>
            <w:tcW w:w="4284" w:type="pct"/>
            <w:tcBorders>
              <w:bottom w:val="single" w:sz="4" w:space="0" w:color="808080" w:themeColor="background1" w:themeShade="80"/>
            </w:tcBorders>
            <w:shd w:val="clear" w:color="auto" w:fill="DAEEF3" w:themeFill="accent5" w:themeFillTint="33"/>
          </w:tcPr>
          <w:p w14:paraId="3A23DB53" w14:textId="77777777" w:rsidR="00344CD1" w:rsidRPr="00DB7E74" w:rsidRDefault="00344CD1" w:rsidP="00455C47">
            <w:pPr>
              <w:rPr>
                <w:rFonts w:eastAsia="Times New Roman" w:cstheme="minorHAnsi"/>
                <w:b/>
                <w:bCs/>
                <w:color w:val="333333"/>
                <w:sz w:val="18"/>
                <w:szCs w:val="18"/>
              </w:rPr>
            </w:pPr>
            <w:r w:rsidRPr="00DB7E74">
              <w:rPr>
                <w:rFonts w:eastAsia="Times New Roman" w:cstheme="minorHAnsi"/>
                <w:b/>
                <w:iCs/>
                <w:color w:val="333333"/>
                <w:sz w:val="18"/>
                <w:szCs w:val="18"/>
              </w:rPr>
              <w:t>(5) Private sector interference:</w:t>
            </w:r>
            <w:r w:rsidRPr="00DB7E74">
              <w:rPr>
                <w:rFonts w:eastAsia="Times New Roman" w:cstheme="minorHAnsi"/>
                <w:color w:val="333333"/>
                <w:sz w:val="18"/>
                <w:szCs w:val="18"/>
              </w:rPr>
              <w:t xml:space="preserve"> degree to which </w:t>
            </w:r>
            <w:proofErr w:type="spellStart"/>
            <w:r w:rsidRPr="00DB7E74">
              <w:rPr>
                <w:rFonts w:eastAsia="Times New Roman" w:cstheme="minorHAnsi"/>
                <w:color w:val="333333"/>
                <w:sz w:val="18"/>
                <w:szCs w:val="18"/>
              </w:rPr>
              <w:t>mobilised</w:t>
            </w:r>
            <w:proofErr w:type="spellEnd"/>
            <w:r w:rsidRPr="00DB7E74">
              <w:rPr>
                <w:rFonts w:eastAsia="Times New Roman" w:cstheme="minorHAnsi"/>
                <w:color w:val="333333"/>
                <w:sz w:val="18"/>
                <w:szCs w:val="18"/>
              </w:rPr>
              <w:t xml:space="preserve"> private interest groups undermined effective nutrition policy responses, including food producers, retailers, marketers and their representative peak bodies.</w:t>
            </w:r>
          </w:p>
        </w:tc>
      </w:tr>
      <w:tr w:rsidR="00344CD1" w:rsidRPr="00DB7E74" w14:paraId="3A90A882" w14:textId="77777777" w:rsidTr="00455C47">
        <w:tc>
          <w:tcPr>
            <w:tcW w:w="716" w:type="pct"/>
            <w:vMerge w:val="restart"/>
            <w:tcBorders>
              <w:top w:val="single" w:sz="4" w:space="0" w:color="808080" w:themeColor="background1" w:themeShade="80"/>
              <w:bottom w:val="single" w:sz="4" w:space="0" w:color="808080" w:themeColor="background1" w:themeShade="80"/>
            </w:tcBorders>
          </w:tcPr>
          <w:p w14:paraId="35651899" w14:textId="77777777" w:rsidR="00344CD1" w:rsidRPr="00DB7E74" w:rsidRDefault="00344CD1" w:rsidP="00455C47">
            <w:pPr>
              <w:rPr>
                <w:rFonts w:eastAsia="Times New Roman" w:cstheme="minorHAnsi"/>
                <w:b/>
                <w:bCs/>
                <w:color w:val="333333"/>
                <w:sz w:val="18"/>
                <w:szCs w:val="18"/>
              </w:rPr>
            </w:pPr>
            <w:r w:rsidRPr="00DB7E74">
              <w:rPr>
                <w:rFonts w:eastAsia="Times New Roman" w:cstheme="minorHAnsi"/>
                <w:b/>
                <w:color w:val="333333"/>
                <w:sz w:val="18"/>
                <w:szCs w:val="18"/>
              </w:rPr>
              <w:t>Institutions</w:t>
            </w:r>
          </w:p>
        </w:tc>
        <w:tc>
          <w:tcPr>
            <w:tcW w:w="4284" w:type="pct"/>
            <w:tcBorders>
              <w:top w:val="single" w:sz="4" w:space="0" w:color="808080" w:themeColor="background1" w:themeShade="80"/>
            </w:tcBorders>
            <w:shd w:val="clear" w:color="auto" w:fill="FFFFFF"/>
          </w:tcPr>
          <w:p w14:paraId="026D6A38" w14:textId="77777777" w:rsidR="00344CD1" w:rsidRPr="00DB7E74" w:rsidRDefault="00344CD1" w:rsidP="00455C47">
            <w:pPr>
              <w:rPr>
                <w:rFonts w:eastAsia="Times New Roman" w:cstheme="minorHAnsi"/>
                <w:b/>
                <w:bCs/>
                <w:color w:val="333333"/>
                <w:sz w:val="18"/>
                <w:szCs w:val="18"/>
              </w:rPr>
            </w:pPr>
            <w:r w:rsidRPr="00DB7E74">
              <w:rPr>
                <w:rFonts w:eastAsia="Times New Roman" w:cstheme="minorHAnsi"/>
                <w:b/>
                <w:iCs/>
                <w:color w:val="333333"/>
                <w:sz w:val="18"/>
                <w:szCs w:val="18"/>
              </w:rPr>
              <w:t>(6) Strength of institutions:</w:t>
            </w:r>
            <w:r w:rsidRPr="00DB7E74">
              <w:rPr>
                <w:rFonts w:eastAsia="Times New Roman" w:cstheme="minorHAnsi"/>
                <w:color w:val="333333"/>
                <w:sz w:val="18"/>
                <w:szCs w:val="18"/>
              </w:rPr>
              <w:t> extent to which coordinating agencies and institutional systems mandated to address malnutrition were empowered to effectively coordinate multisector/multilevel responses and advocate for sustained attention and resources.</w:t>
            </w:r>
          </w:p>
        </w:tc>
      </w:tr>
      <w:tr w:rsidR="00344CD1" w:rsidRPr="00DB7E74" w14:paraId="1D222CBE" w14:textId="77777777" w:rsidTr="00455C47">
        <w:tc>
          <w:tcPr>
            <w:tcW w:w="716" w:type="pct"/>
            <w:vMerge/>
            <w:tcBorders>
              <w:bottom w:val="single" w:sz="4" w:space="0" w:color="808080" w:themeColor="background1" w:themeShade="80"/>
            </w:tcBorders>
          </w:tcPr>
          <w:p w14:paraId="5A9D459D" w14:textId="77777777" w:rsidR="00344CD1" w:rsidRPr="00DB7E74" w:rsidRDefault="00344CD1" w:rsidP="00455C47">
            <w:pPr>
              <w:rPr>
                <w:rFonts w:eastAsia="Times New Roman" w:cstheme="minorHAnsi"/>
                <w:b/>
                <w:bCs/>
                <w:color w:val="333333"/>
                <w:sz w:val="18"/>
                <w:szCs w:val="18"/>
              </w:rPr>
            </w:pPr>
          </w:p>
        </w:tc>
        <w:tc>
          <w:tcPr>
            <w:tcW w:w="4284" w:type="pct"/>
            <w:shd w:val="clear" w:color="auto" w:fill="FFFFFF"/>
          </w:tcPr>
          <w:p w14:paraId="5E848654" w14:textId="77777777" w:rsidR="00344CD1" w:rsidRPr="00DB7E74" w:rsidRDefault="00344CD1" w:rsidP="00455C47">
            <w:pPr>
              <w:rPr>
                <w:rFonts w:eastAsia="Times New Roman" w:cstheme="minorHAnsi"/>
                <w:b/>
                <w:bCs/>
                <w:color w:val="333333"/>
                <w:sz w:val="18"/>
                <w:szCs w:val="18"/>
              </w:rPr>
            </w:pPr>
            <w:r w:rsidRPr="00DB7E74">
              <w:rPr>
                <w:rFonts w:eastAsia="Times New Roman" w:cstheme="minorHAnsi"/>
                <w:b/>
                <w:iCs/>
                <w:color w:val="333333"/>
                <w:sz w:val="18"/>
                <w:szCs w:val="18"/>
              </w:rPr>
              <w:t>(7) Effective vertical coordination:</w:t>
            </w:r>
            <w:r w:rsidRPr="00DB7E74">
              <w:rPr>
                <w:rFonts w:eastAsia="Times New Roman" w:cstheme="minorHAnsi"/>
                <w:color w:val="333333"/>
                <w:sz w:val="18"/>
                <w:szCs w:val="18"/>
              </w:rPr>
              <w:t> degree to which nutrition policies were effectively coordinated, implemented and monitored across levels of governance, particularly regarding the incentives of subnational actors to adopt, progress and benefit from central government policies.</w:t>
            </w:r>
          </w:p>
        </w:tc>
      </w:tr>
      <w:tr w:rsidR="00344CD1" w:rsidRPr="00DB7E74" w14:paraId="51CC124F" w14:textId="77777777" w:rsidTr="00455C47">
        <w:tc>
          <w:tcPr>
            <w:tcW w:w="716" w:type="pct"/>
            <w:vMerge/>
            <w:tcBorders>
              <w:bottom w:val="single" w:sz="4" w:space="0" w:color="808080" w:themeColor="background1" w:themeShade="80"/>
            </w:tcBorders>
          </w:tcPr>
          <w:p w14:paraId="431B41E6" w14:textId="77777777" w:rsidR="00344CD1" w:rsidRPr="00DB7E74" w:rsidRDefault="00344CD1" w:rsidP="00455C47">
            <w:pPr>
              <w:rPr>
                <w:rFonts w:eastAsia="Times New Roman" w:cstheme="minorHAnsi"/>
                <w:b/>
                <w:bCs/>
                <w:color w:val="333333"/>
                <w:sz w:val="18"/>
                <w:szCs w:val="18"/>
              </w:rPr>
            </w:pPr>
          </w:p>
        </w:tc>
        <w:tc>
          <w:tcPr>
            <w:tcW w:w="4284" w:type="pct"/>
            <w:tcBorders>
              <w:bottom w:val="single" w:sz="4" w:space="0" w:color="808080" w:themeColor="background1" w:themeShade="80"/>
            </w:tcBorders>
            <w:shd w:val="clear" w:color="auto" w:fill="FFFFFF"/>
          </w:tcPr>
          <w:p w14:paraId="07BBFC56" w14:textId="77777777" w:rsidR="00344CD1" w:rsidRPr="00DB7E74" w:rsidRDefault="00344CD1" w:rsidP="00455C47">
            <w:pPr>
              <w:rPr>
                <w:rFonts w:eastAsia="Times New Roman" w:cstheme="minorHAnsi"/>
                <w:b/>
                <w:bCs/>
                <w:color w:val="333333"/>
                <w:sz w:val="18"/>
                <w:szCs w:val="18"/>
              </w:rPr>
            </w:pPr>
            <w:r w:rsidRPr="00DB7E74">
              <w:rPr>
                <w:rFonts w:eastAsia="Times New Roman" w:cstheme="minorHAnsi"/>
                <w:b/>
                <w:iCs/>
                <w:color w:val="333333"/>
                <w:sz w:val="18"/>
                <w:szCs w:val="18"/>
              </w:rPr>
              <w:t>(8) Legislative, regulatory and policy frameworks</w:t>
            </w:r>
            <w:r w:rsidRPr="00DB7E74">
              <w:rPr>
                <w:rFonts w:eastAsia="Times New Roman" w:cstheme="minorHAnsi"/>
                <w:iCs/>
                <w:color w:val="333333"/>
                <w:sz w:val="18"/>
                <w:szCs w:val="18"/>
              </w:rPr>
              <w:t>:</w:t>
            </w:r>
            <w:r w:rsidRPr="00DB7E74">
              <w:rPr>
                <w:rFonts w:eastAsia="Times New Roman" w:cstheme="minorHAnsi"/>
                <w:color w:val="333333"/>
                <w:sz w:val="18"/>
                <w:szCs w:val="18"/>
              </w:rPr>
              <w:t> degree to which national nutrition policies, operational plans and enabling legislation were well-designed and enacted, and/or the alignment of nutrition objectives with broader policy agendas and regulatory frameworks.</w:t>
            </w:r>
          </w:p>
        </w:tc>
      </w:tr>
      <w:tr w:rsidR="00344CD1" w:rsidRPr="00DB7E74" w14:paraId="55A90CC9" w14:textId="77777777" w:rsidTr="00455C47">
        <w:tc>
          <w:tcPr>
            <w:tcW w:w="716" w:type="pct"/>
            <w:vMerge w:val="restart"/>
            <w:tcBorders>
              <w:top w:val="single" w:sz="4" w:space="0" w:color="808080" w:themeColor="background1" w:themeShade="80"/>
              <w:bottom w:val="single" w:sz="4" w:space="0" w:color="808080" w:themeColor="background1" w:themeShade="80"/>
            </w:tcBorders>
            <w:shd w:val="clear" w:color="auto" w:fill="DAEEF3" w:themeFill="accent5" w:themeFillTint="33"/>
          </w:tcPr>
          <w:p w14:paraId="1CE73AD7" w14:textId="77777777" w:rsidR="00344CD1" w:rsidRPr="00DB7E74" w:rsidRDefault="00344CD1" w:rsidP="00455C47">
            <w:pPr>
              <w:rPr>
                <w:rFonts w:eastAsia="Times New Roman" w:cstheme="minorHAnsi"/>
                <w:b/>
                <w:bCs/>
                <w:color w:val="333333"/>
                <w:sz w:val="18"/>
                <w:szCs w:val="18"/>
              </w:rPr>
            </w:pPr>
            <w:r w:rsidRPr="00DB7E74">
              <w:rPr>
                <w:rFonts w:eastAsia="Times New Roman" w:cstheme="minorHAnsi"/>
                <w:b/>
                <w:color w:val="333333"/>
                <w:sz w:val="18"/>
                <w:szCs w:val="18"/>
              </w:rPr>
              <w:t>Political and societal contexts</w:t>
            </w:r>
          </w:p>
        </w:tc>
        <w:tc>
          <w:tcPr>
            <w:tcW w:w="4284" w:type="pct"/>
            <w:tcBorders>
              <w:top w:val="single" w:sz="4" w:space="0" w:color="808080" w:themeColor="background1" w:themeShade="80"/>
            </w:tcBorders>
            <w:shd w:val="clear" w:color="auto" w:fill="DAEEF3" w:themeFill="accent5" w:themeFillTint="33"/>
          </w:tcPr>
          <w:p w14:paraId="6DC91149" w14:textId="77777777" w:rsidR="00344CD1" w:rsidRPr="00DB7E74" w:rsidRDefault="00344CD1" w:rsidP="00455C47">
            <w:pPr>
              <w:rPr>
                <w:rFonts w:eastAsia="Times New Roman" w:cstheme="minorHAnsi"/>
                <w:b/>
                <w:bCs/>
                <w:color w:val="333333"/>
                <w:sz w:val="18"/>
                <w:szCs w:val="18"/>
              </w:rPr>
            </w:pPr>
            <w:r w:rsidRPr="00DB7E74">
              <w:rPr>
                <w:rFonts w:eastAsia="Times New Roman" w:cstheme="minorHAnsi"/>
                <w:b/>
                <w:iCs/>
                <w:color w:val="333333"/>
                <w:sz w:val="18"/>
                <w:szCs w:val="18"/>
              </w:rPr>
              <w:t>(9) Supportive political administrations:</w:t>
            </w:r>
            <w:r w:rsidRPr="00DB7E74">
              <w:rPr>
                <w:rFonts w:eastAsia="Times New Roman" w:cstheme="minorHAnsi"/>
                <w:color w:val="333333"/>
                <w:sz w:val="18"/>
                <w:szCs w:val="18"/>
              </w:rPr>
              <w:t> degree to which members of the executive (e.g., head of state, ministers), legislative (e.g., parliamentarians) and administrative (e.g., agency heads, senior officials) branches of government initiated and championed nutrition responses.</w:t>
            </w:r>
          </w:p>
        </w:tc>
      </w:tr>
      <w:tr w:rsidR="00344CD1" w:rsidRPr="00DB7E74" w14:paraId="5215F447" w14:textId="77777777" w:rsidTr="00455C47">
        <w:tc>
          <w:tcPr>
            <w:tcW w:w="716" w:type="pct"/>
            <w:vMerge/>
            <w:tcBorders>
              <w:bottom w:val="single" w:sz="4" w:space="0" w:color="808080" w:themeColor="background1" w:themeShade="80"/>
            </w:tcBorders>
            <w:shd w:val="clear" w:color="auto" w:fill="DAEEF3" w:themeFill="accent5" w:themeFillTint="33"/>
          </w:tcPr>
          <w:p w14:paraId="515C712E" w14:textId="77777777" w:rsidR="00344CD1" w:rsidRPr="00DB7E74" w:rsidRDefault="00344CD1" w:rsidP="00455C47">
            <w:pPr>
              <w:rPr>
                <w:rFonts w:eastAsia="Times New Roman" w:cstheme="minorHAnsi"/>
                <w:b/>
                <w:bCs/>
                <w:color w:val="333333"/>
                <w:sz w:val="18"/>
                <w:szCs w:val="18"/>
              </w:rPr>
            </w:pPr>
          </w:p>
        </w:tc>
        <w:tc>
          <w:tcPr>
            <w:tcW w:w="4284" w:type="pct"/>
            <w:shd w:val="clear" w:color="auto" w:fill="DAEEF3" w:themeFill="accent5" w:themeFillTint="33"/>
          </w:tcPr>
          <w:p w14:paraId="626EDCB5" w14:textId="77777777" w:rsidR="00344CD1" w:rsidRPr="00DB7E74" w:rsidRDefault="00344CD1" w:rsidP="00455C47">
            <w:pPr>
              <w:rPr>
                <w:rFonts w:eastAsia="Times New Roman" w:cstheme="minorHAnsi"/>
                <w:b/>
                <w:bCs/>
                <w:color w:val="333333"/>
                <w:sz w:val="18"/>
                <w:szCs w:val="18"/>
              </w:rPr>
            </w:pPr>
            <w:r w:rsidRPr="00DB7E74">
              <w:rPr>
                <w:rFonts w:eastAsia="Times New Roman" w:cstheme="minorHAnsi"/>
                <w:b/>
                <w:iCs/>
                <w:color w:val="333333"/>
                <w:sz w:val="18"/>
                <w:szCs w:val="18"/>
              </w:rPr>
              <w:t>(10) Societal conditions and focusing events:</w:t>
            </w:r>
            <w:r w:rsidRPr="00DB7E74">
              <w:rPr>
                <w:rFonts w:eastAsia="Times New Roman" w:cstheme="minorHAnsi"/>
                <w:color w:val="333333"/>
                <w:sz w:val="18"/>
                <w:szCs w:val="18"/>
              </w:rPr>
              <w:t> extent to which changing societal conditions (long-duration phenomena) or focusing events (short-term processes) focused attention onto nutrition or closely related issues and presented opportunities or impediments to commitment-building.</w:t>
            </w:r>
          </w:p>
        </w:tc>
      </w:tr>
      <w:tr w:rsidR="00344CD1" w:rsidRPr="00DB7E74" w14:paraId="6EAEDF4F" w14:textId="77777777" w:rsidTr="00455C47">
        <w:tc>
          <w:tcPr>
            <w:tcW w:w="716" w:type="pct"/>
            <w:vMerge/>
            <w:tcBorders>
              <w:bottom w:val="single" w:sz="4" w:space="0" w:color="808080" w:themeColor="background1" w:themeShade="80"/>
            </w:tcBorders>
            <w:shd w:val="clear" w:color="auto" w:fill="DAEEF3" w:themeFill="accent5" w:themeFillTint="33"/>
          </w:tcPr>
          <w:p w14:paraId="2F49308B" w14:textId="77777777" w:rsidR="00344CD1" w:rsidRPr="00DB7E74" w:rsidRDefault="00344CD1" w:rsidP="00455C47">
            <w:pPr>
              <w:rPr>
                <w:rFonts w:eastAsia="Times New Roman" w:cstheme="minorHAnsi"/>
                <w:b/>
                <w:bCs/>
                <w:color w:val="333333"/>
                <w:sz w:val="18"/>
                <w:szCs w:val="18"/>
              </w:rPr>
            </w:pPr>
          </w:p>
        </w:tc>
        <w:tc>
          <w:tcPr>
            <w:tcW w:w="4284" w:type="pct"/>
            <w:tcBorders>
              <w:bottom w:val="single" w:sz="4" w:space="0" w:color="808080" w:themeColor="background1" w:themeShade="80"/>
            </w:tcBorders>
            <w:shd w:val="clear" w:color="auto" w:fill="DAEEF3" w:themeFill="accent5" w:themeFillTint="33"/>
          </w:tcPr>
          <w:p w14:paraId="25D81BCA" w14:textId="77777777" w:rsidR="00344CD1" w:rsidRPr="00DB7E74" w:rsidRDefault="00344CD1" w:rsidP="00455C47">
            <w:pPr>
              <w:rPr>
                <w:rFonts w:eastAsia="Times New Roman" w:cstheme="minorHAnsi"/>
                <w:b/>
                <w:bCs/>
                <w:color w:val="333333"/>
                <w:sz w:val="18"/>
                <w:szCs w:val="18"/>
              </w:rPr>
            </w:pPr>
            <w:r w:rsidRPr="00DB7E74">
              <w:rPr>
                <w:rFonts w:eastAsia="Times New Roman" w:cstheme="minorHAnsi"/>
                <w:b/>
                <w:iCs/>
                <w:color w:val="333333"/>
                <w:sz w:val="18"/>
                <w:szCs w:val="18"/>
              </w:rPr>
              <w:t>(11) Ideology and institutional norms:</w:t>
            </w:r>
            <w:r w:rsidRPr="00DB7E74">
              <w:rPr>
                <w:rFonts w:eastAsia="Times New Roman" w:cstheme="minorHAnsi"/>
                <w:color w:val="333333"/>
                <w:sz w:val="18"/>
                <w:szCs w:val="18"/>
              </w:rPr>
              <w:t> extent to which entrenched belief systems and practices predominant within political systems, policy-making institutions and/or in society-at-large, negatively skewed perceptions about malnutrition problems and undermined effective policy responses.</w:t>
            </w:r>
          </w:p>
        </w:tc>
      </w:tr>
      <w:tr w:rsidR="00344CD1" w:rsidRPr="00DB7E74" w14:paraId="1E5FF23C" w14:textId="77777777" w:rsidTr="00455C47">
        <w:tc>
          <w:tcPr>
            <w:tcW w:w="716" w:type="pct"/>
            <w:vMerge w:val="restart"/>
            <w:tcBorders>
              <w:top w:val="single" w:sz="4" w:space="0" w:color="808080" w:themeColor="background1" w:themeShade="80"/>
              <w:bottom w:val="single" w:sz="4" w:space="0" w:color="808080" w:themeColor="background1" w:themeShade="80"/>
            </w:tcBorders>
          </w:tcPr>
          <w:p w14:paraId="45B9CC1D" w14:textId="77777777" w:rsidR="00344CD1" w:rsidRPr="00DB7E74" w:rsidRDefault="00344CD1" w:rsidP="00455C47">
            <w:pPr>
              <w:rPr>
                <w:rFonts w:eastAsia="Times New Roman" w:cstheme="minorHAnsi"/>
                <w:b/>
                <w:bCs/>
                <w:color w:val="333333"/>
                <w:sz w:val="18"/>
                <w:szCs w:val="18"/>
              </w:rPr>
            </w:pPr>
            <w:r w:rsidRPr="00DB7E74">
              <w:rPr>
                <w:rFonts w:eastAsia="Times New Roman" w:cstheme="minorHAnsi"/>
                <w:b/>
                <w:color w:val="333333"/>
                <w:sz w:val="18"/>
                <w:szCs w:val="18"/>
              </w:rPr>
              <w:t>Knowledge, evidence and framing</w:t>
            </w:r>
          </w:p>
        </w:tc>
        <w:tc>
          <w:tcPr>
            <w:tcW w:w="4284" w:type="pct"/>
            <w:tcBorders>
              <w:top w:val="single" w:sz="4" w:space="0" w:color="808080" w:themeColor="background1" w:themeShade="80"/>
            </w:tcBorders>
            <w:shd w:val="clear" w:color="auto" w:fill="FFFFFF"/>
          </w:tcPr>
          <w:p w14:paraId="03D85C77" w14:textId="77777777" w:rsidR="00344CD1" w:rsidRPr="00DB7E74" w:rsidRDefault="00344CD1" w:rsidP="00455C47">
            <w:pPr>
              <w:rPr>
                <w:rFonts w:eastAsia="Times New Roman" w:cstheme="minorHAnsi"/>
                <w:b/>
                <w:bCs/>
                <w:color w:val="333333"/>
                <w:sz w:val="18"/>
                <w:szCs w:val="18"/>
              </w:rPr>
            </w:pPr>
            <w:r w:rsidRPr="00DB7E74">
              <w:rPr>
                <w:rFonts w:eastAsia="Times New Roman" w:cstheme="minorHAnsi"/>
                <w:b/>
                <w:iCs/>
                <w:color w:val="333333"/>
                <w:sz w:val="18"/>
                <w:szCs w:val="18"/>
              </w:rPr>
              <w:t>(12) Credible indicators and data systems:</w:t>
            </w:r>
            <w:r w:rsidRPr="00DB7E74">
              <w:rPr>
                <w:rFonts w:eastAsia="Times New Roman" w:cstheme="minorHAnsi"/>
                <w:color w:val="333333"/>
                <w:sz w:val="18"/>
                <w:szCs w:val="18"/>
              </w:rPr>
              <w:t> availability of credible indicators and high-quality data systems for monitoring nutrition problems, informing policy design, tracking progress and empowering accountability systems.</w:t>
            </w:r>
          </w:p>
        </w:tc>
      </w:tr>
      <w:tr w:rsidR="00344CD1" w:rsidRPr="00DB7E74" w14:paraId="25931472" w14:textId="77777777" w:rsidTr="00455C47">
        <w:tc>
          <w:tcPr>
            <w:tcW w:w="716" w:type="pct"/>
            <w:vMerge/>
            <w:tcBorders>
              <w:bottom w:val="single" w:sz="4" w:space="0" w:color="808080" w:themeColor="background1" w:themeShade="80"/>
            </w:tcBorders>
          </w:tcPr>
          <w:p w14:paraId="61DCB9B1" w14:textId="77777777" w:rsidR="00344CD1" w:rsidRPr="00DB7E74" w:rsidRDefault="00344CD1" w:rsidP="00455C47">
            <w:pPr>
              <w:rPr>
                <w:rFonts w:eastAsia="Times New Roman" w:cstheme="minorHAnsi"/>
                <w:b/>
                <w:bCs/>
                <w:color w:val="333333"/>
                <w:sz w:val="18"/>
                <w:szCs w:val="18"/>
              </w:rPr>
            </w:pPr>
          </w:p>
        </w:tc>
        <w:tc>
          <w:tcPr>
            <w:tcW w:w="4284" w:type="pct"/>
            <w:shd w:val="clear" w:color="auto" w:fill="FFFFFF"/>
          </w:tcPr>
          <w:p w14:paraId="6BCCA998" w14:textId="77777777" w:rsidR="00344CD1" w:rsidRPr="00DB7E74" w:rsidRDefault="00344CD1" w:rsidP="00455C47">
            <w:pPr>
              <w:rPr>
                <w:rFonts w:eastAsia="Times New Roman" w:cstheme="minorHAnsi"/>
                <w:b/>
                <w:bCs/>
                <w:color w:val="333333"/>
                <w:sz w:val="18"/>
                <w:szCs w:val="18"/>
              </w:rPr>
            </w:pPr>
            <w:r w:rsidRPr="00DB7E74">
              <w:rPr>
                <w:rFonts w:eastAsia="Times New Roman" w:cstheme="minorHAnsi"/>
                <w:b/>
                <w:iCs/>
                <w:color w:val="333333"/>
                <w:sz w:val="18"/>
                <w:szCs w:val="18"/>
              </w:rPr>
              <w:t>(13) Evidence:</w:t>
            </w:r>
            <w:r w:rsidRPr="00DB7E74">
              <w:rPr>
                <w:rFonts w:eastAsia="Times New Roman" w:cstheme="minorHAnsi"/>
                <w:color w:val="333333"/>
                <w:sz w:val="18"/>
                <w:szCs w:val="18"/>
              </w:rPr>
              <w:t> extent to which robust evidence on the causes, manifestations and consequences of malnutrition and the efficacy and cost-effectiveness of interventions was available, clearly communicated and accepted.</w:t>
            </w:r>
          </w:p>
        </w:tc>
      </w:tr>
      <w:tr w:rsidR="00344CD1" w:rsidRPr="00DB7E74" w14:paraId="08A7A2B8" w14:textId="77777777" w:rsidTr="00455C47">
        <w:tc>
          <w:tcPr>
            <w:tcW w:w="716" w:type="pct"/>
            <w:vMerge/>
            <w:tcBorders>
              <w:bottom w:val="single" w:sz="4" w:space="0" w:color="808080" w:themeColor="background1" w:themeShade="80"/>
            </w:tcBorders>
          </w:tcPr>
          <w:p w14:paraId="1684265E" w14:textId="77777777" w:rsidR="00344CD1" w:rsidRPr="00DB7E74" w:rsidRDefault="00344CD1" w:rsidP="00455C47">
            <w:pPr>
              <w:rPr>
                <w:rFonts w:eastAsia="Times New Roman" w:cstheme="minorHAnsi"/>
                <w:b/>
                <w:bCs/>
                <w:color w:val="333333"/>
                <w:sz w:val="18"/>
                <w:szCs w:val="18"/>
              </w:rPr>
            </w:pPr>
          </w:p>
        </w:tc>
        <w:tc>
          <w:tcPr>
            <w:tcW w:w="4284" w:type="pct"/>
            <w:shd w:val="clear" w:color="auto" w:fill="FFFFFF"/>
          </w:tcPr>
          <w:p w14:paraId="66C0AC87" w14:textId="77777777" w:rsidR="00344CD1" w:rsidRPr="00DB7E74" w:rsidRDefault="00344CD1" w:rsidP="00455C47">
            <w:pPr>
              <w:rPr>
                <w:rFonts w:eastAsia="Times New Roman" w:cstheme="minorHAnsi"/>
                <w:b/>
                <w:bCs/>
                <w:color w:val="333333"/>
                <w:sz w:val="18"/>
                <w:szCs w:val="18"/>
              </w:rPr>
            </w:pPr>
            <w:r w:rsidRPr="00DB7E74">
              <w:rPr>
                <w:rFonts w:eastAsia="Times New Roman" w:cstheme="minorHAnsi"/>
                <w:b/>
                <w:iCs/>
                <w:color w:val="333333"/>
                <w:sz w:val="18"/>
                <w:szCs w:val="18"/>
              </w:rPr>
              <w:t>(14) Internal frame alignment:</w:t>
            </w:r>
            <w:r w:rsidRPr="00DB7E74">
              <w:rPr>
                <w:rFonts w:eastAsia="Times New Roman" w:cstheme="minorHAnsi"/>
                <w:color w:val="333333"/>
                <w:sz w:val="18"/>
                <w:szCs w:val="18"/>
              </w:rPr>
              <w:t> degree to which NANs were aligned around a common interpretation and narrative of a given malnutrition problem including its definition, magnitude, causes and solutions for resolving it.</w:t>
            </w:r>
          </w:p>
        </w:tc>
      </w:tr>
      <w:tr w:rsidR="00344CD1" w:rsidRPr="00DB7E74" w14:paraId="7DDC3045" w14:textId="77777777" w:rsidTr="00455C47">
        <w:tc>
          <w:tcPr>
            <w:tcW w:w="716" w:type="pct"/>
            <w:vMerge/>
            <w:tcBorders>
              <w:bottom w:val="single" w:sz="4" w:space="0" w:color="808080" w:themeColor="background1" w:themeShade="80"/>
            </w:tcBorders>
          </w:tcPr>
          <w:p w14:paraId="221A20FF" w14:textId="77777777" w:rsidR="00344CD1" w:rsidRPr="00DB7E74" w:rsidRDefault="00344CD1" w:rsidP="00455C47">
            <w:pPr>
              <w:rPr>
                <w:rFonts w:eastAsia="Times New Roman" w:cstheme="minorHAnsi"/>
                <w:b/>
                <w:bCs/>
                <w:color w:val="333333"/>
                <w:sz w:val="18"/>
                <w:szCs w:val="18"/>
              </w:rPr>
            </w:pPr>
          </w:p>
        </w:tc>
        <w:tc>
          <w:tcPr>
            <w:tcW w:w="4284" w:type="pct"/>
            <w:tcBorders>
              <w:bottom w:val="single" w:sz="4" w:space="0" w:color="808080" w:themeColor="background1" w:themeShade="80"/>
            </w:tcBorders>
            <w:shd w:val="clear" w:color="auto" w:fill="FFFFFF"/>
          </w:tcPr>
          <w:p w14:paraId="5F709A4C" w14:textId="77777777" w:rsidR="00344CD1" w:rsidRPr="00DB7E74" w:rsidRDefault="00344CD1" w:rsidP="00455C47">
            <w:pPr>
              <w:rPr>
                <w:rFonts w:eastAsia="Times New Roman" w:cstheme="minorHAnsi"/>
                <w:b/>
                <w:bCs/>
                <w:color w:val="333333"/>
                <w:sz w:val="18"/>
                <w:szCs w:val="18"/>
              </w:rPr>
            </w:pPr>
            <w:r w:rsidRPr="00DB7E74">
              <w:rPr>
                <w:rFonts w:eastAsia="Times New Roman" w:cstheme="minorHAnsi"/>
                <w:b/>
                <w:iCs/>
                <w:color w:val="333333"/>
                <w:sz w:val="18"/>
                <w:szCs w:val="18"/>
              </w:rPr>
              <w:t>(15) External frame resonance:</w:t>
            </w:r>
            <w:r w:rsidRPr="00DB7E74">
              <w:rPr>
                <w:rFonts w:eastAsia="Times New Roman" w:cstheme="minorHAnsi"/>
                <w:color w:val="333333"/>
                <w:sz w:val="18"/>
                <w:szCs w:val="18"/>
              </w:rPr>
              <w:t> degree to which NANs publicly portrayed (</w:t>
            </w:r>
            <w:proofErr w:type="gramStart"/>
            <w:r w:rsidRPr="00DB7E74">
              <w:rPr>
                <w:rFonts w:eastAsia="Times New Roman" w:cstheme="minorHAnsi"/>
                <w:color w:val="333333"/>
                <w:sz w:val="18"/>
                <w:szCs w:val="18"/>
              </w:rPr>
              <w:t>i.e.</w:t>
            </w:r>
            <w:proofErr w:type="gramEnd"/>
            <w:r w:rsidRPr="00DB7E74">
              <w:rPr>
                <w:rFonts w:eastAsia="Times New Roman" w:cstheme="minorHAnsi"/>
                <w:color w:val="333333"/>
                <w:sz w:val="18"/>
                <w:szCs w:val="18"/>
              </w:rPr>
              <w:t xml:space="preserve"> framed) nutrition problems and solutions in ways that resonated with and motivated action by external audiences, and countered the frames deployed by opponents.</w:t>
            </w:r>
          </w:p>
        </w:tc>
      </w:tr>
      <w:tr w:rsidR="00344CD1" w:rsidRPr="00DB7E74" w14:paraId="749F52F2" w14:textId="77777777" w:rsidTr="00455C47">
        <w:tc>
          <w:tcPr>
            <w:tcW w:w="716" w:type="pct"/>
            <w:vMerge w:val="restart"/>
            <w:tcBorders>
              <w:top w:val="single" w:sz="4" w:space="0" w:color="808080" w:themeColor="background1" w:themeShade="80"/>
            </w:tcBorders>
            <w:shd w:val="clear" w:color="auto" w:fill="DAEEF3" w:themeFill="accent5" w:themeFillTint="33"/>
          </w:tcPr>
          <w:p w14:paraId="0334BF08" w14:textId="77777777" w:rsidR="00344CD1" w:rsidRPr="00DB7E74" w:rsidRDefault="00344CD1" w:rsidP="00455C47">
            <w:pPr>
              <w:rPr>
                <w:rFonts w:eastAsia="Times New Roman" w:cstheme="minorHAnsi"/>
                <w:b/>
                <w:bCs/>
                <w:color w:val="333333"/>
                <w:sz w:val="18"/>
                <w:szCs w:val="18"/>
              </w:rPr>
            </w:pPr>
            <w:r w:rsidRPr="00DB7E74">
              <w:rPr>
                <w:rFonts w:eastAsia="Times New Roman" w:cstheme="minorHAnsi"/>
                <w:b/>
                <w:color w:val="333333"/>
                <w:sz w:val="18"/>
                <w:szCs w:val="18"/>
              </w:rPr>
              <w:t>Capacities and resources</w:t>
            </w:r>
          </w:p>
        </w:tc>
        <w:tc>
          <w:tcPr>
            <w:tcW w:w="4284" w:type="pct"/>
            <w:tcBorders>
              <w:top w:val="single" w:sz="4" w:space="0" w:color="808080" w:themeColor="background1" w:themeShade="80"/>
            </w:tcBorders>
            <w:shd w:val="clear" w:color="auto" w:fill="DAEEF3" w:themeFill="accent5" w:themeFillTint="33"/>
          </w:tcPr>
          <w:p w14:paraId="1991420B" w14:textId="77777777" w:rsidR="00344CD1" w:rsidRPr="00DB7E74" w:rsidRDefault="00344CD1" w:rsidP="00455C47">
            <w:pPr>
              <w:rPr>
                <w:rFonts w:eastAsia="Times New Roman" w:cstheme="minorHAnsi"/>
                <w:b/>
                <w:bCs/>
                <w:color w:val="333333"/>
                <w:sz w:val="18"/>
                <w:szCs w:val="18"/>
              </w:rPr>
            </w:pPr>
            <w:r w:rsidRPr="00DB7E74">
              <w:rPr>
                <w:rFonts w:eastAsia="Times New Roman" w:cstheme="minorHAnsi"/>
                <w:b/>
                <w:iCs/>
                <w:color w:val="333333"/>
                <w:sz w:val="18"/>
                <w:szCs w:val="18"/>
              </w:rPr>
              <w:t>(16) Strategic capacities:</w:t>
            </w:r>
            <w:r w:rsidRPr="00DB7E74">
              <w:rPr>
                <w:rFonts w:eastAsia="Times New Roman" w:cstheme="minorHAnsi"/>
                <w:color w:val="333333"/>
                <w:sz w:val="18"/>
                <w:szCs w:val="18"/>
              </w:rPr>
              <w:t> degree to which NAN members possessed ‘soft-power’ skills including the capacity to generate consensus, resolve conflicts, respond to recurring opportunities and challenges, build strategic alliances, undertake strategic communications and related tasks.</w:t>
            </w:r>
          </w:p>
        </w:tc>
      </w:tr>
      <w:tr w:rsidR="00344CD1" w:rsidRPr="00DB7E74" w14:paraId="369BEFB8" w14:textId="77777777" w:rsidTr="00455C47">
        <w:tc>
          <w:tcPr>
            <w:tcW w:w="716" w:type="pct"/>
            <w:vMerge/>
            <w:shd w:val="clear" w:color="auto" w:fill="DAEEF3" w:themeFill="accent5" w:themeFillTint="33"/>
          </w:tcPr>
          <w:p w14:paraId="1F3E128A" w14:textId="77777777" w:rsidR="00344CD1" w:rsidRPr="00DB7E74" w:rsidRDefault="00344CD1" w:rsidP="00455C47">
            <w:pPr>
              <w:rPr>
                <w:rFonts w:eastAsia="Times New Roman" w:cstheme="minorHAnsi"/>
                <w:b/>
                <w:bCs/>
                <w:color w:val="333333"/>
                <w:sz w:val="18"/>
                <w:szCs w:val="18"/>
              </w:rPr>
            </w:pPr>
          </w:p>
        </w:tc>
        <w:tc>
          <w:tcPr>
            <w:tcW w:w="4284" w:type="pct"/>
            <w:shd w:val="clear" w:color="auto" w:fill="DAEEF3" w:themeFill="accent5" w:themeFillTint="33"/>
          </w:tcPr>
          <w:p w14:paraId="2B59FF17" w14:textId="77777777" w:rsidR="00344CD1" w:rsidRPr="00DB7E74" w:rsidRDefault="00344CD1" w:rsidP="00455C47">
            <w:pPr>
              <w:rPr>
                <w:rFonts w:eastAsia="Times New Roman" w:cstheme="minorHAnsi"/>
                <w:b/>
                <w:bCs/>
                <w:color w:val="333333"/>
                <w:sz w:val="18"/>
                <w:szCs w:val="18"/>
              </w:rPr>
            </w:pPr>
            <w:r w:rsidRPr="00DB7E74">
              <w:rPr>
                <w:rFonts w:eastAsia="Times New Roman" w:cstheme="minorHAnsi"/>
                <w:b/>
                <w:iCs/>
                <w:color w:val="333333"/>
                <w:sz w:val="18"/>
                <w:szCs w:val="18"/>
              </w:rPr>
              <w:t xml:space="preserve">(17) </w:t>
            </w:r>
            <w:proofErr w:type="spellStart"/>
            <w:r w:rsidRPr="00DB7E74">
              <w:rPr>
                <w:rFonts w:eastAsia="Times New Roman" w:cstheme="minorHAnsi"/>
                <w:b/>
                <w:iCs/>
                <w:color w:val="333333"/>
                <w:sz w:val="18"/>
                <w:szCs w:val="18"/>
              </w:rPr>
              <w:t>Organisational</w:t>
            </w:r>
            <w:proofErr w:type="spellEnd"/>
            <w:r w:rsidRPr="00DB7E74">
              <w:rPr>
                <w:rFonts w:eastAsia="Times New Roman" w:cstheme="minorHAnsi"/>
                <w:b/>
                <w:iCs/>
                <w:color w:val="333333"/>
                <w:sz w:val="18"/>
                <w:szCs w:val="18"/>
              </w:rPr>
              <w:t xml:space="preserve"> capacities:</w:t>
            </w:r>
            <w:r w:rsidRPr="00DB7E74">
              <w:rPr>
                <w:rFonts w:eastAsia="Times New Roman" w:cstheme="minorHAnsi"/>
                <w:color w:val="333333"/>
                <w:sz w:val="18"/>
                <w:szCs w:val="18"/>
              </w:rPr>
              <w:t> degree to which NAN members possessed the technical knowledge and skills, administrative systems and human resources required to generate commitment, including through the effective management of nutrition policy and programming responses.</w:t>
            </w:r>
          </w:p>
        </w:tc>
      </w:tr>
      <w:tr w:rsidR="00344CD1" w:rsidRPr="00DB7E74" w14:paraId="4F6428FF" w14:textId="77777777" w:rsidTr="00455C47">
        <w:tc>
          <w:tcPr>
            <w:tcW w:w="716" w:type="pct"/>
            <w:vMerge/>
            <w:tcBorders>
              <w:bottom w:val="single" w:sz="4" w:space="0" w:color="808080" w:themeColor="background1" w:themeShade="80"/>
            </w:tcBorders>
            <w:shd w:val="clear" w:color="auto" w:fill="DAEEF3" w:themeFill="accent5" w:themeFillTint="33"/>
          </w:tcPr>
          <w:p w14:paraId="174841EF" w14:textId="77777777" w:rsidR="00344CD1" w:rsidRPr="00DB7E74" w:rsidRDefault="00344CD1" w:rsidP="00455C47">
            <w:pPr>
              <w:rPr>
                <w:rFonts w:eastAsia="Times New Roman" w:cstheme="minorHAnsi"/>
                <w:b/>
                <w:bCs/>
                <w:color w:val="333333"/>
                <w:sz w:val="18"/>
                <w:szCs w:val="18"/>
              </w:rPr>
            </w:pPr>
          </w:p>
        </w:tc>
        <w:tc>
          <w:tcPr>
            <w:tcW w:w="4284" w:type="pct"/>
            <w:tcBorders>
              <w:bottom w:val="single" w:sz="4" w:space="0" w:color="808080" w:themeColor="background1" w:themeShade="80"/>
            </w:tcBorders>
            <w:shd w:val="clear" w:color="auto" w:fill="DAEEF3" w:themeFill="accent5" w:themeFillTint="33"/>
          </w:tcPr>
          <w:p w14:paraId="4A162A5E" w14:textId="77777777" w:rsidR="00344CD1" w:rsidRPr="00DB7E74" w:rsidRDefault="00344CD1" w:rsidP="00455C47">
            <w:pPr>
              <w:rPr>
                <w:rFonts w:eastAsia="Times New Roman" w:cstheme="minorHAnsi"/>
                <w:b/>
                <w:bCs/>
                <w:color w:val="333333"/>
                <w:sz w:val="18"/>
                <w:szCs w:val="18"/>
              </w:rPr>
            </w:pPr>
            <w:r w:rsidRPr="00DB7E74">
              <w:rPr>
                <w:rFonts w:eastAsia="Times New Roman" w:cstheme="minorHAnsi"/>
                <w:b/>
                <w:iCs/>
                <w:color w:val="333333"/>
                <w:sz w:val="18"/>
                <w:szCs w:val="18"/>
              </w:rPr>
              <w:t>(18) Financial resources:</w:t>
            </w:r>
            <w:r w:rsidRPr="00DB7E74">
              <w:rPr>
                <w:rFonts w:eastAsia="Times New Roman" w:cstheme="minorHAnsi"/>
                <w:color w:val="333333"/>
                <w:sz w:val="18"/>
                <w:szCs w:val="18"/>
              </w:rPr>
              <w:t xml:space="preserve"> degree to which nutrition budgetary commitments and financing systems </w:t>
            </w:r>
            <w:proofErr w:type="spellStart"/>
            <w:r w:rsidRPr="00DB7E74">
              <w:rPr>
                <w:rFonts w:eastAsia="Times New Roman" w:cstheme="minorHAnsi"/>
                <w:color w:val="333333"/>
                <w:sz w:val="18"/>
                <w:szCs w:val="18"/>
              </w:rPr>
              <w:t>incentivised</w:t>
            </w:r>
            <w:proofErr w:type="spellEnd"/>
            <w:r w:rsidRPr="00DB7E74">
              <w:rPr>
                <w:rFonts w:eastAsia="Times New Roman" w:cstheme="minorHAnsi"/>
                <w:color w:val="333333"/>
                <w:sz w:val="18"/>
                <w:szCs w:val="18"/>
              </w:rPr>
              <w:t xml:space="preserve"> multisector/multilevel coordination, ensured successful policy implementation and created ownership and entitlements among political elites, </w:t>
            </w:r>
            <w:proofErr w:type="gramStart"/>
            <w:r w:rsidRPr="00DB7E74">
              <w:rPr>
                <w:rFonts w:eastAsia="Times New Roman" w:cstheme="minorHAnsi"/>
                <w:color w:val="333333"/>
                <w:sz w:val="18"/>
                <w:szCs w:val="18"/>
              </w:rPr>
              <w:t>policy-makers</w:t>
            </w:r>
            <w:proofErr w:type="gramEnd"/>
            <w:r w:rsidRPr="00DB7E74">
              <w:rPr>
                <w:rFonts w:eastAsia="Times New Roman" w:cstheme="minorHAnsi"/>
                <w:color w:val="333333"/>
                <w:sz w:val="18"/>
                <w:szCs w:val="18"/>
              </w:rPr>
              <w:t>, citizens and other stakeholders.</w:t>
            </w:r>
          </w:p>
        </w:tc>
      </w:tr>
    </w:tbl>
    <w:p w14:paraId="5085981A" w14:textId="77777777" w:rsidR="00344CD1" w:rsidRDefault="00344CD1" w:rsidP="00344CD1"/>
    <w:p w14:paraId="378F11B6" w14:textId="77777777" w:rsidR="00344CD1" w:rsidRDefault="00344CD1" w:rsidP="00751CD9">
      <w:pPr>
        <w:rPr>
          <w:b/>
        </w:rPr>
      </w:pPr>
    </w:p>
    <w:p w14:paraId="3CA20BE8" w14:textId="77777777" w:rsidR="00346B4E" w:rsidRPr="00DB7E74" w:rsidRDefault="00346B4E" w:rsidP="00346B4E">
      <w:pPr>
        <w:spacing w:after="120" w:line="240" w:lineRule="auto"/>
        <w:contextualSpacing/>
        <w:rPr>
          <w:rFonts w:asciiTheme="majorHAnsi" w:hAnsiTheme="majorHAnsi" w:cstheme="majorHAnsi"/>
          <w:b/>
          <w:i/>
          <w:sz w:val="24"/>
          <w:szCs w:val="24"/>
        </w:rPr>
      </w:pPr>
    </w:p>
    <w:p w14:paraId="4D8C497A" w14:textId="6EFFDC75" w:rsidR="0015025E" w:rsidRPr="00DB7E74" w:rsidRDefault="0015025E" w:rsidP="00346B4E">
      <w:pPr>
        <w:spacing w:after="120" w:line="240" w:lineRule="auto"/>
        <w:contextualSpacing/>
        <w:rPr>
          <w:rFonts w:asciiTheme="majorHAnsi" w:hAnsiTheme="majorHAnsi" w:cstheme="majorHAnsi"/>
          <w:b/>
          <w:iCs/>
          <w:sz w:val="24"/>
          <w:szCs w:val="24"/>
        </w:rPr>
      </w:pPr>
      <w:r w:rsidRPr="00DB7E74">
        <w:rPr>
          <w:rFonts w:asciiTheme="majorHAnsi" w:hAnsiTheme="majorHAnsi" w:cstheme="majorHAnsi"/>
          <w:b/>
          <w:iCs/>
          <w:sz w:val="24"/>
          <w:szCs w:val="24"/>
        </w:rPr>
        <w:t xml:space="preserve">Generic guide </w:t>
      </w:r>
    </w:p>
    <w:p w14:paraId="68B973CE" w14:textId="77777777" w:rsidR="0015025E" w:rsidRPr="00DB7E74" w:rsidRDefault="0015025E" w:rsidP="00346B4E">
      <w:pPr>
        <w:spacing w:after="120" w:line="240" w:lineRule="auto"/>
        <w:contextualSpacing/>
        <w:rPr>
          <w:rFonts w:asciiTheme="majorHAnsi" w:hAnsiTheme="majorHAnsi" w:cstheme="majorHAnsi"/>
          <w:b/>
          <w:iCs/>
          <w:sz w:val="24"/>
          <w:szCs w:val="24"/>
        </w:rPr>
      </w:pPr>
    </w:p>
    <w:p w14:paraId="6451B1C0" w14:textId="17A26F15" w:rsidR="00B225FC" w:rsidRPr="00DB7E74" w:rsidRDefault="003D2CC9" w:rsidP="00346B4E">
      <w:pPr>
        <w:spacing w:after="120" w:line="240" w:lineRule="auto"/>
        <w:contextualSpacing/>
        <w:rPr>
          <w:rFonts w:asciiTheme="majorHAnsi" w:hAnsiTheme="majorHAnsi" w:cstheme="majorHAnsi"/>
          <w:bCs/>
          <w:iCs/>
          <w:sz w:val="24"/>
          <w:szCs w:val="24"/>
          <w:u w:val="single"/>
        </w:rPr>
      </w:pPr>
      <w:r w:rsidRPr="00DB7E74">
        <w:rPr>
          <w:rFonts w:asciiTheme="majorHAnsi" w:hAnsiTheme="majorHAnsi" w:cstheme="majorHAnsi"/>
          <w:b/>
          <w:iCs/>
          <w:sz w:val="24"/>
          <w:szCs w:val="24"/>
        </w:rPr>
        <w:t>Problem characteristics</w:t>
      </w:r>
      <w:r w:rsidR="00762C62" w:rsidRPr="00DB7E74">
        <w:rPr>
          <w:rFonts w:asciiTheme="majorHAnsi" w:hAnsiTheme="majorHAnsi" w:cstheme="majorHAnsi"/>
          <w:b/>
          <w:iCs/>
          <w:sz w:val="24"/>
          <w:szCs w:val="24"/>
        </w:rPr>
        <w:t xml:space="preserve"> - </w:t>
      </w:r>
      <w:bookmarkStart w:id="0" w:name="_Hlk73361371"/>
      <w:r w:rsidR="007E2A0D" w:rsidRPr="00DB7E74">
        <w:rPr>
          <w:rFonts w:asciiTheme="majorHAnsi" w:hAnsiTheme="majorHAnsi" w:cstheme="majorHAnsi"/>
          <w:bCs/>
          <w:iCs/>
          <w:sz w:val="24"/>
          <w:szCs w:val="24"/>
        </w:rPr>
        <w:t xml:space="preserve">covering </w:t>
      </w:r>
      <w:r w:rsidR="007E2A0D" w:rsidRPr="00DB7E74">
        <w:rPr>
          <w:rFonts w:asciiTheme="majorHAnsi" w:hAnsiTheme="majorHAnsi" w:cstheme="majorHAnsi"/>
          <w:bCs/>
          <w:iCs/>
          <w:sz w:val="24"/>
          <w:szCs w:val="24"/>
          <w:u w:val="single"/>
        </w:rPr>
        <w:t>Knowledge, evidence &amp; framing</w:t>
      </w:r>
      <w:bookmarkEnd w:id="0"/>
    </w:p>
    <w:p w14:paraId="2D1CFC8D" w14:textId="301D27D9" w:rsidR="00B225FC" w:rsidRPr="00DB7E74" w:rsidRDefault="003D2CC9" w:rsidP="003619AC">
      <w:pPr>
        <w:pStyle w:val="ListParagraph"/>
        <w:numPr>
          <w:ilvl w:val="0"/>
          <w:numId w:val="1"/>
        </w:numPr>
        <w:spacing w:after="120" w:line="240" w:lineRule="auto"/>
        <w:ind w:left="357" w:hanging="357"/>
        <w:contextualSpacing w:val="0"/>
        <w:rPr>
          <w:rFonts w:asciiTheme="majorHAnsi" w:hAnsiTheme="majorHAnsi" w:cstheme="majorHAnsi"/>
          <w:sz w:val="24"/>
          <w:szCs w:val="24"/>
        </w:rPr>
      </w:pPr>
      <w:r w:rsidRPr="00DB7E74">
        <w:rPr>
          <w:rFonts w:asciiTheme="majorHAnsi" w:hAnsiTheme="majorHAnsi" w:cstheme="majorHAnsi"/>
          <w:sz w:val="24"/>
          <w:szCs w:val="24"/>
        </w:rPr>
        <w:t>Do you think that sugar/salt/</w:t>
      </w:r>
      <w:proofErr w:type="spellStart"/>
      <w:r w:rsidRPr="00DB7E74">
        <w:rPr>
          <w:rFonts w:asciiTheme="majorHAnsi" w:hAnsiTheme="majorHAnsi" w:cstheme="majorHAnsi"/>
          <w:sz w:val="24"/>
          <w:szCs w:val="24"/>
        </w:rPr>
        <w:t>transfats</w:t>
      </w:r>
      <w:proofErr w:type="spellEnd"/>
      <w:r w:rsidRPr="00DB7E74">
        <w:rPr>
          <w:rFonts w:asciiTheme="majorHAnsi" w:hAnsiTheme="majorHAnsi" w:cstheme="majorHAnsi"/>
          <w:sz w:val="24"/>
          <w:szCs w:val="24"/>
        </w:rPr>
        <w:t xml:space="preserve"> is a particularly important problem for </w:t>
      </w:r>
      <w:r w:rsidR="00346B4E" w:rsidRPr="00DB7E74">
        <w:rPr>
          <w:rFonts w:asciiTheme="majorHAnsi" w:hAnsiTheme="majorHAnsi" w:cstheme="majorHAnsi"/>
          <w:sz w:val="24"/>
          <w:szCs w:val="24"/>
        </w:rPr>
        <w:t>Nepal?</w:t>
      </w:r>
      <w:r w:rsidRPr="00DB7E74">
        <w:rPr>
          <w:rFonts w:asciiTheme="majorHAnsi" w:hAnsiTheme="majorHAnsi" w:cstheme="majorHAnsi"/>
          <w:sz w:val="24"/>
          <w:szCs w:val="24"/>
        </w:rPr>
        <w:t xml:space="preserve"> </w:t>
      </w:r>
    </w:p>
    <w:p w14:paraId="4C1172FB" w14:textId="1139960F" w:rsidR="00B225FC" w:rsidRPr="00DB7E74" w:rsidRDefault="003D2CC9" w:rsidP="00336784">
      <w:pPr>
        <w:pStyle w:val="ListParagraph"/>
        <w:numPr>
          <w:ilvl w:val="0"/>
          <w:numId w:val="1"/>
        </w:numPr>
        <w:spacing w:after="120" w:line="240" w:lineRule="auto"/>
        <w:rPr>
          <w:rFonts w:asciiTheme="majorHAnsi" w:hAnsiTheme="majorHAnsi" w:cstheme="majorHAnsi"/>
          <w:sz w:val="24"/>
          <w:szCs w:val="24"/>
        </w:rPr>
      </w:pPr>
      <w:r w:rsidRPr="00DB7E74">
        <w:rPr>
          <w:rFonts w:asciiTheme="majorHAnsi" w:hAnsiTheme="majorHAnsi" w:cstheme="majorHAnsi"/>
          <w:sz w:val="24"/>
          <w:szCs w:val="24"/>
        </w:rPr>
        <w:t>What are your views on the relationship between th</w:t>
      </w:r>
      <w:r w:rsidR="0058427D" w:rsidRPr="00DB7E74">
        <w:rPr>
          <w:rFonts w:asciiTheme="majorHAnsi" w:hAnsiTheme="majorHAnsi" w:cstheme="majorHAnsi"/>
          <w:sz w:val="24"/>
          <w:szCs w:val="24"/>
        </w:rPr>
        <w:t>e</w:t>
      </w:r>
      <w:r w:rsidRPr="00DB7E74">
        <w:rPr>
          <w:rFonts w:asciiTheme="majorHAnsi" w:hAnsiTheme="majorHAnsi" w:cstheme="majorHAnsi"/>
          <w:sz w:val="24"/>
          <w:szCs w:val="24"/>
        </w:rPr>
        <w:t>s</w:t>
      </w:r>
      <w:r w:rsidR="0058427D" w:rsidRPr="00DB7E74">
        <w:rPr>
          <w:rFonts w:asciiTheme="majorHAnsi" w:hAnsiTheme="majorHAnsi" w:cstheme="majorHAnsi"/>
          <w:sz w:val="24"/>
          <w:szCs w:val="24"/>
        </w:rPr>
        <w:t>e</w:t>
      </w:r>
      <w:r w:rsidRPr="00DB7E74">
        <w:rPr>
          <w:rFonts w:asciiTheme="majorHAnsi" w:hAnsiTheme="majorHAnsi" w:cstheme="majorHAnsi"/>
          <w:sz w:val="24"/>
          <w:szCs w:val="24"/>
        </w:rPr>
        <w:t xml:space="preserve"> product</w:t>
      </w:r>
      <w:r w:rsidR="0058427D" w:rsidRPr="00DB7E74">
        <w:rPr>
          <w:rFonts w:asciiTheme="majorHAnsi" w:hAnsiTheme="majorHAnsi" w:cstheme="majorHAnsi"/>
          <w:sz w:val="24"/>
          <w:szCs w:val="24"/>
        </w:rPr>
        <w:t>s</w:t>
      </w:r>
      <w:r w:rsidRPr="00DB7E74">
        <w:rPr>
          <w:rFonts w:asciiTheme="majorHAnsi" w:hAnsiTheme="majorHAnsi" w:cstheme="majorHAnsi"/>
          <w:sz w:val="24"/>
          <w:szCs w:val="24"/>
        </w:rPr>
        <w:t xml:space="preserve"> and health</w:t>
      </w:r>
      <w:r w:rsidR="00346B4E" w:rsidRPr="00DB7E74">
        <w:rPr>
          <w:rFonts w:asciiTheme="majorHAnsi" w:hAnsiTheme="majorHAnsi" w:cstheme="majorHAnsi"/>
          <w:sz w:val="24"/>
          <w:szCs w:val="24"/>
        </w:rPr>
        <w:t>?</w:t>
      </w:r>
    </w:p>
    <w:p w14:paraId="5474E525" w14:textId="77777777" w:rsidR="00B225FC" w:rsidRPr="00DB7E74" w:rsidRDefault="00B225FC" w:rsidP="00346B4E">
      <w:pPr>
        <w:spacing w:after="120" w:line="240" w:lineRule="auto"/>
        <w:contextualSpacing/>
        <w:rPr>
          <w:rFonts w:asciiTheme="majorHAnsi" w:hAnsiTheme="majorHAnsi" w:cstheme="majorHAnsi"/>
          <w:i/>
          <w:sz w:val="24"/>
          <w:szCs w:val="24"/>
        </w:rPr>
      </w:pPr>
    </w:p>
    <w:p w14:paraId="23878DBE" w14:textId="1744611A" w:rsidR="00B225FC" w:rsidRPr="00DB7E74" w:rsidRDefault="003D2CC9" w:rsidP="00346B4E">
      <w:pPr>
        <w:spacing w:after="120" w:line="240" w:lineRule="auto"/>
        <w:contextualSpacing/>
        <w:rPr>
          <w:rFonts w:asciiTheme="majorHAnsi" w:hAnsiTheme="majorHAnsi" w:cstheme="majorHAnsi"/>
          <w:bCs/>
          <w:iCs/>
          <w:sz w:val="24"/>
          <w:szCs w:val="24"/>
        </w:rPr>
      </w:pPr>
      <w:r w:rsidRPr="00DB7E74">
        <w:rPr>
          <w:rFonts w:asciiTheme="majorHAnsi" w:hAnsiTheme="majorHAnsi" w:cstheme="majorHAnsi"/>
          <w:b/>
          <w:iCs/>
          <w:sz w:val="24"/>
          <w:szCs w:val="24"/>
        </w:rPr>
        <w:t>Policy content</w:t>
      </w:r>
      <w:r w:rsidR="007E2A0D" w:rsidRPr="00DB7E74">
        <w:rPr>
          <w:rFonts w:asciiTheme="majorHAnsi" w:hAnsiTheme="majorHAnsi" w:cstheme="majorHAnsi"/>
          <w:b/>
          <w:iCs/>
          <w:sz w:val="24"/>
          <w:szCs w:val="24"/>
        </w:rPr>
        <w:t xml:space="preserve"> - </w:t>
      </w:r>
      <w:r w:rsidR="007E2A0D" w:rsidRPr="00DB7E74">
        <w:rPr>
          <w:rFonts w:asciiTheme="majorHAnsi" w:hAnsiTheme="majorHAnsi" w:cstheme="majorHAnsi"/>
          <w:bCs/>
          <w:iCs/>
          <w:sz w:val="24"/>
          <w:szCs w:val="24"/>
        </w:rPr>
        <w:t xml:space="preserve">covering </w:t>
      </w:r>
      <w:r w:rsidR="007E2A0D" w:rsidRPr="00DB7E74">
        <w:rPr>
          <w:rFonts w:asciiTheme="majorHAnsi" w:hAnsiTheme="majorHAnsi" w:cstheme="majorHAnsi"/>
          <w:bCs/>
          <w:iCs/>
          <w:sz w:val="24"/>
          <w:szCs w:val="24"/>
          <w:u w:val="single"/>
        </w:rPr>
        <w:t>Knowledge, evidence &amp; framing</w:t>
      </w:r>
      <w:r w:rsidR="007E2A0D" w:rsidRPr="00DB7E74">
        <w:rPr>
          <w:rFonts w:asciiTheme="majorHAnsi" w:hAnsiTheme="majorHAnsi" w:cstheme="majorHAnsi"/>
          <w:b/>
          <w:iCs/>
          <w:sz w:val="24"/>
          <w:szCs w:val="24"/>
        </w:rPr>
        <w:t xml:space="preserve"> </w:t>
      </w:r>
    </w:p>
    <w:p w14:paraId="22556893" w14:textId="77777777" w:rsidR="00B225FC" w:rsidRPr="00DB7E74" w:rsidRDefault="003D2CC9" w:rsidP="003619AC">
      <w:pPr>
        <w:pStyle w:val="ListParagraph"/>
        <w:numPr>
          <w:ilvl w:val="0"/>
          <w:numId w:val="2"/>
        </w:numPr>
        <w:spacing w:after="120" w:line="240" w:lineRule="auto"/>
        <w:ind w:left="357" w:hanging="357"/>
        <w:contextualSpacing w:val="0"/>
        <w:rPr>
          <w:rFonts w:asciiTheme="majorHAnsi" w:hAnsiTheme="majorHAnsi" w:cstheme="majorHAnsi"/>
          <w:sz w:val="24"/>
          <w:szCs w:val="24"/>
        </w:rPr>
      </w:pPr>
      <w:r w:rsidRPr="00DB7E74">
        <w:rPr>
          <w:rFonts w:asciiTheme="majorHAnsi" w:hAnsiTheme="majorHAnsi" w:cstheme="majorHAnsi"/>
          <w:sz w:val="24"/>
          <w:szCs w:val="24"/>
        </w:rPr>
        <w:t xml:space="preserve">What do you think that the policy (on sugar, salt or </w:t>
      </w:r>
      <w:proofErr w:type="spellStart"/>
      <w:r w:rsidRPr="00DB7E74">
        <w:rPr>
          <w:rFonts w:asciiTheme="majorHAnsi" w:hAnsiTheme="majorHAnsi" w:cstheme="majorHAnsi"/>
          <w:sz w:val="24"/>
          <w:szCs w:val="24"/>
        </w:rPr>
        <w:t>transfat</w:t>
      </w:r>
      <w:proofErr w:type="spellEnd"/>
      <w:r w:rsidRPr="00DB7E74">
        <w:rPr>
          <w:rFonts w:asciiTheme="majorHAnsi" w:hAnsiTheme="majorHAnsi" w:cstheme="majorHAnsi"/>
          <w:sz w:val="24"/>
          <w:szCs w:val="24"/>
        </w:rPr>
        <w:t xml:space="preserve">) 1) consists of; and 2) aims to achieve. </w:t>
      </w:r>
    </w:p>
    <w:p w14:paraId="41998BDF" w14:textId="77777777" w:rsidR="00B225FC" w:rsidRPr="00DB7E74" w:rsidRDefault="003D2CC9" w:rsidP="003619AC">
      <w:pPr>
        <w:pStyle w:val="ListParagraph"/>
        <w:numPr>
          <w:ilvl w:val="0"/>
          <w:numId w:val="2"/>
        </w:numPr>
        <w:spacing w:after="120" w:line="240" w:lineRule="auto"/>
        <w:ind w:left="357" w:hanging="357"/>
        <w:contextualSpacing w:val="0"/>
        <w:rPr>
          <w:rFonts w:asciiTheme="majorHAnsi" w:hAnsiTheme="majorHAnsi" w:cstheme="majorHAnsi"/>
          <w:sz w:val="24"/>
          <w:szCs w:val="24"/>
        </w:rPr>
      </w:pPr>
      <w:r w:rsidRPr="00DB7E74">
        <w:rPr>
          <w:rFonts w:asciiTheme="majorHAnsi" w:hAnsiTheme="majorHAnsi" w:cstheme="majorHAnsi"/>
          <w:sz w:val="24"/>
          <w:szCs w:val="24"/>
        </w:rPr>
        <w:t>What is the underlying problem that the policy is addressing? – Probe, is it individual behavior or industry profit?</w:t>
      </w:r>
    </w:p>
    <w:p w14:paraId="3A97B3E4" w14:textId="77777777" w:rsidR="00B225FC" w:rsidRPr="00DB7E74" w:rsidRDefault="003D2CC9" w:rsidP="003619AC">
      <w:pPr>
        <w:pStyle w:val="ListParagraph"/>
        <w:numPr>
          <w:ilvl w:val="0"/>
          <w:numId w:val="2"/>
        </w:numPr>
        <w:spacing w:after="120" w:line="240" w:lineRule="auto"/>
        <w:ind w:left="357" w:hanging="357"/>
        <w:contextualSpacing w:val="0"/>
        <w:rPr>
          <w:rFonts w:asciiTheme="majorHAnsi" w:hAnsiTheme="majorHAnsi" w:cstheme="majorHAnsi"/>
          <w:sz w:val="24"/>
          <w:szCs w:val="24"/>
        </w:rPr>
      </w:pPr>
      <w:r w:rsidRPr="00DB7E74">
        <w:rPr>
          <w:rFonts w:asciiTheme="majorHAnsi" w:hAnsiTheme="majorHAnsi" w:cstheme="majorHAnsi"/>
          <w:sz w:val="24"/>
          <w:szCs w:val="24"/>
        </w:rPr>
        <w:t>In your view is this the appropriate policy response?</w:t>
      </w:r>
    </w:p>
    <w:p w14:paraId="68DD0F69" w14:textId="77777777" w:rsidR="00B225FC" w:rsidRPr="00DB7E74" w:rsidRDefault="003D2CC9" w:rsidP="003619AC">
      <w:pPr>
        <w:pStyle w:val="ListParagraph"/>
        <w:numPr>
          <w:ilvl w:val="0"/>
          <w:numId w:val="2"/>
        </w:numPr>
        <w:spacing w:after="120" w:line="240" w:lineRule="auto"/>
        <w:ind w:left="357" w:hanging="357"/>
        <w:contextualSpacing w:val="0"/>
        <w:rPr>
          <w:rFonts w:asciiTheme="majorHAnsi" w:hAnsiTheme="majorHAnsi" w:cstheme="majorHAnsi"/>
          <w:sz w:val="24"/>
          <w:szCs w:val="24"/>
        </w:rPr>
      </w:pPr>
      <w:r w:rsidRPr="00DB7E74">
        <w:rPr>
          <w:rFonts w:asciiTheme="majorHAnsi" w:hAnsiTheme="majorHAnsi" w:cstheme="majorHAnsi"/>
          <w:sz w:val="24"/>
          <w:szCs w:val="24"/>
        </w:rPr>
        <w:t xml:space="preserve">Why do you think human rights approaches were not included in the policy? </w:t>
      </w:r>
    </w:p>
    <w:p w14:paraId="03A52A55" w14:textId="77777777" w:rsidR="00B225FC" w:rsidRPr="00DB7E74" w:rsidRDefault="003D2CC9" w:rsidP="00336784">
      <w:pPr>
        <w:pStyle w:val="ListParagraph"/>
        <w:numPr>
          <w:ilvl w:val="0"/>
          <w:numId w:val="2"/>
        </w:numPr>
        <w:spacing w:after="120" w:line="240" w:lineRule="auto"/>
        <w:rPr>
          <w:rFonts w:asciiTheme="majorHAnsi" w:hAnsiTheme="majorHAnsi" w:cstheme="majorHAnsi"/>
          <w:i/>
          <w:sz w:val="24"/>
          <w:szCs w:val="24"/>
        </w:rPr>
      </w:pPr>
      <w:r w:rsidRPr="00DB7E74">
        <w:rPr>
          <w:rFonts w:asciiTheme="majorHAnsi" w:hAnsiTheme="majorHAnsi" w:cstheme="majorHAnsi"/>
          <w:sz w:val="24"/>
          <w:szCs w:val="24"/>
        </w:rPr>
        <w:t>Why or why not were vulnerable groups targeted in the policy?</w:t>
      </w:r>
    </w:p>
    <w:p w14:paraId="7255A3AA" w14:textId="77777777" w:rsidR="00B225FC" w:rsidRPr="00DB7E74" w:rsidRDefault="00B225FC" w:rsidP="00346B4E">
      <w:pPr>
        <w:spacing w:after="120" w:line="240" w:lineRule="auto"/>
        <w:contextualSpacing/>
        <w:rPr>
          <w:rFonts w:asciiTheme="majorHAnsi" w:hAnsiTheme="majorHAnsi" w:cstheme="majorHAnsi"/>
          <w:b/>
          <w:i/>
          <w:sz w:val="24"/>
          <w:szCs w:val="24"/>
        </w:rPr>
      </w:pPr>
    </w:p>
    <w:p w14:paraId="5A74B814" w14:textId="308336C1" w:rsidR="00B225FC" w:rsidRPr="00DB7E74" w:rsidRDefault="003D2CC9" w:rsidP="00346B4E">
      <w:pPr>
        <w:spacing w:after="120" w:line="240" w:lineRule="auto"/>
        <w:contextualSpacing/>
        <w:rPr>
          <w:rFonts w:asciiTheme="majorHAnsi" w:hAnsiTheme="majorHAnsi" w:cstheme="majorHAnsi"/>
          <w:b/>
          <w:bCs/>
          <w:iCs/>
          <w:sz w:val="24"/>
          <w:szCs w:val="24"/>
          <w:u w:val="single"/>
        </w:rPr>
      </w:pPr>
      <w:r w:rsidRPr="00DB7E74">
        <w:rPr>
          <w:rFonts w:asciiTheme="majorHAnsi" w:hAnsiTheme="majorHAnsi" w:cstheme="majorHAnsi"/>
          <w:b/>
          <w:iCs/>
          <w:sz w:val="24"/>
          <w:szCs w:val="24"/>
        </w:rPr>
        <w:t>Who or what drove the policy o</w:t>
      </w:r>
      <w:r w:rsidR="00346B4E" w:rsidRPr="00DB7E74">
        <w:rPr>
          <w:rFonts w:asciiTheme="majorHAnsi" w:hAnsiTheme="majorHAnsi" w:cstheme="majorHAnsi"/>
          <w:b/>
          <w:iCs/>
          <w:sz w:val="24"/>
          <w:szCs w:val="24"/>
        </w:rPr>
        <w:t>n</w:t>
      </w:r>
      <w:r w:rsidRPr="00DB7E74">
        <w:rPr>
          <w:rFonts w:asciiTheme="majorHAnsi" w:hAnsiTheme="majorHAnsi" w:cstheme="majorHAnsi"/>
          <w:iCs/>
          <w:sz w:val="24"/>
          <w:szCs w:val="24"/>
        </w:rPr>
        <w:t xml:space="preserve"> –</w:t>
      </w:r>
      <w:r w:rsidR="007E2A0D" w:rsidRPr="00DB7E74">
        <w:rPr>
          <w:rFonts w:asciiTheme="majorHAnsi" w:hAnsiTheme="majorHAnsi" w:cstheme="majorHAnsi"/>
          <w:iCs/>
          <w:sz w:val="24"/>
          <w:szCs w:val="24"/>
        </w:rPr>
        <w:t xml:space="preserve"> </w:t>
      </w:r>
      <w:r w:rsidR="00762C62" w:rsidRPr="00DB7E74">
        <w:rPr>
          <w:rFonts w:asciiTheme="majorHAnsi" w:hAnsiTheme="majorHAnsi" w:cstheme="majorHAnsi"/>
          <w:iCs/>
          <w:sz w:val="24"/>
          <w:szCs w:val="24"/>
        </w:rPr>
        <w:t>covering</w:t>
      </w:r>
      <w:r w:rsidR="00762C62" w:rsidRPr="00DB7E74">
        <w:rPr>
          <w:rFonts w:asciiTheme="majorHAnsi" w:hAnsiTheme="majorHAnsi" w:cstheme="majorHAnsi"/>
          <w:i/>
          <w:sz w:val="24"/>
          <w:szCs w:val="24"/>
        </w:rPr>
        <w:t xml:space="preserve"> </w:t>
      </w:r>
      <w:r w:rsidR="00762C62" w:rsidRPr="00DB7E74">
        <w:rPr>
          <w:rFonts w:asciiTheme="majorHAnsi" w:hAnsiTheme="majorHAnsi" w:cstheme="majorHAnsi"/>
          <w:iCs/>
          <w:sz w:val="24"/>
          <w:szCs w:val="24"/>
          <w:u w:val="single"/>
        </w:rPr>
        <w:t>Political and societal contexts</w:t>
      </w:r>
      <w:r w:rsidR="00762C62" w:rsidRPr="00DB7E74">
        <w:rPr>
          <w:rFonts w:asciiTheme="majorHAnsi" w:hAnsiTheme="majorHAnsi" w:cstheme="majorHAnsi"/>
          <w:iCs/>
          <w:sz w:val="24"/>
          <w:szCs w:val="24"/>
        </w:rPr>
        <w:t xml:space="preserve">, </w:t>
      </w:r>
      <w:r w:rsidR="00762C62" w:rsidRPr="00DB7E74">
        <w:rPr>
          <w:rFonts w:asciiTheme="majorHAnsi" w:hAnsiTheme="majorHAnsi" w:cstheme="majorHAnsi"/>
          <w:iCs/>
          <w:sz w:val="24"/>
          <w:szCs w:val="24"/>
          <w:u w:val="single"/>
        </w:rPr>
        <w:t>Institutions</w:t>
      </w:r>
      <w:r w:rsidR="00762C62" w:rsidRPr="00DB7E74">
        <w:rPr>
          <w:rFonts w:asciiTheme="majorHAnsi" w:hAnsiTheme="majorHAnsi" w:cstheme="majorHAnsi"/>
          <w:iCs/>
          <w:sz w:val="24"/>
          <w:szCs w:val="24"/>
        </w:rPr>
        <w:t xml:space="preserve"> and </w:t>
      </w:r>
      <w:proofErr w:type="gramStart"/>
      <w:r w:rsidR="00762C62" w:rsidRPr="00DB7E74">
        <w:rPr>
          <w:rFonts w:asciiTheme="majorHAnsi" w:hAnsiTheme="majorHAnsi" w:cstheme="majorHAnsi"/>
          <w:iCs/>
          <w:sz w:val="24"/>
          <w:szCs w:val="24"/>
          <w:u w:val="single"/>
        </w:rPr>
        <w:t>Actors</w:t>
      </w:r>
      <w:proofErr w:type="gramEnd"/>
    </w:p>
    <w:p w14:paraId="4AC6B2E7" w14:textId="77777777" w:rsidR="00B225FC" w:rsidRPr="00DB7E74" w:rsidRDefault="003D2CC9" w:rsidP="003619AC">
      <w:pPr>
        <w:pStyle w:val="ListParagraph"/>
        <w:numPr>
          <w:ilvl w:val="0"/>
          <w:numId w:val="3"/>
        </w:numPr>
        <w:spacing w:after="120" w:line="240" w:lineRule="auto"/>
        <w:ind w:left="357" w:hanging="357"/>
        <w:contextualSpacing w:val="0"/>
        <w:rPr>
          <w:rFonts w:asciiTheme="majorHAnsi" w:hAnsiTheme="majorHAnsi" w:cstheme="majorHAnsi"/>
          <w:sz w:val="24"/>
          <w:szCs w:val="24"/>
        </w:rPr>
      </w:pPr>
      <w:r w:rsidRPr="00DB7E74">
        <w:rPr>
          <w:rFonts w:asciiTheme="majorHAnsi" w:hAnsiTheme="majorHAnsi" w:cstheme="majorHAnsi"/>
          <w:sz w:val="24"/>
          <w:szCs w:val="24"/>
        </w:rPr>
        <w:t xml:space="preserve">Who put the issue on the agenda, or proposed those particular contents? </w:t>
      </w:r>
    </w:p>
    <w:p w14:paraId="43CA2760" w14:textId="77777777" w:rsidR="00B225FC" w:rsidRPr="00DB7E74" w:rsidRDefault="003D2CC9" w:rsidP="003619AC">
      <w:pPr>
        <w:pStyle w:val="ListParagraph"/>
        <w:numPr>
          <w:ilvl w:val="0"/>
          <w:numId w:val="3"/>
        </w:numPr>
        <w:spacing w:after="120" w:line="240" w:lineRule="auto"/>
        <w:ind w:left="357" w:hanging="357"/>
        <w:contextualSpacing w:val="0"/>
        <w:rPr>
          <w:rFonts w:asciiTheme="majorHAnsi" w:hAnsiTheme="majorHAnsi" w:cstheme="majorHAnsi"/>
          <w:sz w:val="24"/>
          <w:szCs w:val="24"/>
        </w:rPr>
      </w:pPr>
      <w:r w:rsidRPr="00DB7E74">
        <w:rPr>
          <w:rFonts w:asciiTheme="majorHAnsi" w:hAnsiTheme="majorHAnsi" w:cstheme="majorHAnsi"/>
          <w:sz w:val="24"/>
          <w:szCs w:val="24"/>
        </w:rPr>
        <w:t>Was there a particular event that triggered it?</w:t>
      </w:r>
    </w:p>
    <w:p w14:paraId="3D557773" w14:textId="77777777" w:rsidR="00B225FC" w:rsidRPr="00DB7E74" w:rsidRDefault="003D2CC9" w:rsidP="003619AC">
      <w:pPr>
        <w:pStyle w:val="ListParagraph"/>
        <w:numPr>
          <w:ilvl w:val="0"/>
          <w:numId w:val="3"/>
        </w:numPr>
        <w:spacing w:after="120" w:line="240" w:lineRule="auto"/>
        <w:ind w:left="357" w:hanging="357"/>
        <w:contextualSpacing w:val="0"/>
        <w:rPr>
          <w:rFonts w:asciiTheme="majorHAnsi" w:hAnsiTheme="majorHAnsi" w:cstheme="majorHAnsi"/>
          <w:sz w:val="24"/>
          <w:szCs w:val="24"/>
        </w:rPr>
      </w:pPr>
      <w:r w:rsidRPr="00DB7E74">
        <w:rPr>
          <w:rFonts w:asciiTheme="majorHAnsi" w:hAnsiTheme="majorHAnsi" w:cstheme="majorHAnsi"/>
          <w:sz w:val="24"/>
          <w:szCs w:val="24"/>
        </w:rPr>
        <w:lastRenderedPageBreak/>
        <w:t>Was there opposition to putting it on the agenda or formulating a policy? What was the source of the opposition?</w:t>
      </w:r>
    </w:p>
    <w:p w14:paraId="12D44DFF" w14:textId="77777777" w:rsidR="00B225FC" w:rsidRPr="00DB7E74" w:rsidRDefault="003D2CC9" w:rsidP="003619AC">
      <w:pPr>
        <w:pStyle w:val="ListParagraph"/>
        <w:numPr>
          <w:ilvl w:val="0"/>
          <w:numId w:val="3"/>
        </w:numPr>
        <w:spacing w:after="120" w:line="240" w:lineRule="auto"/>
        <w:ind w:left="357" w:hanging="357"/>
        <w:contextualSpacing w:val="0"/>
        <w:rPr>
          <w:rFonts w:asciiTheme="majorHAnsi" w:hAnsiTheme="majorHAnsi" w:cstheme="majorHAnsi"/>
          <w:sz w:val="24"/>
          <w:szCs w:val="24"/>
        </w:rPr>
      </w:pPr>
      <w:r w:rsidRPr="00DB7E74">
        <w:rPr>
          <w:rFonts w:asciiTheme="majorHAnsi" w:hAnsiTheme="majorHAnsi" w:cstheme="majorHAnsi"/>
          <w:sz w:val="24"/>
          <w:szCs w:val="24"/>
        </w:rPr>
        <w:t xml:space="preserve">What specific interests were these actors (pro or against) pursuing or protecting? </w:t>
      </w:r>
    </w:p>
    <w:p w14:paraId="75C0F398" w14:textId="704B8D19" w:rsidR="00B225FC" w:rsidRPr="00DB7E74" w:rsidRDefault="003D2CC9" w:rsidP="00336784">
      <w:pPr>
        <w:pStyle w:val="ListParagraph"/>
        <w:numPr>
          <w:ilvl w:val="0"/>
          <w:numId w:val="3"/>
        </w:numPr>
        <w:spacing w:after="120" w:line="240" w:lineRule="auto"/>
        <w:ind w:left="360"/>
        <w:rPr>
          <w:rFonts w:asciiTheme="majorHAnsi" w:hAnsiTheme="majorHAnsi" w:cstheme="majorHAnsi"/>
          <w:sz w:val="24"/>
          <w:szCs w:val="24"/>
        </w:rPr>
      </w:pPr>
      <w:r w:rsidRPr="00DB7E74">
        <w:rPr>
          <w:rFonts w:asciiTheme="majorHAnsi" w:hAnsiTheme="majorHAnsi" w:cstheme="majorHAnsi"/>
          <w:sz w:val="24"/>
          <w:szCs w:val="24"/>
        </w:rPr>
        <w:t>As a result of these interests, how committed/passionate were the actors in relation to their position on the policy?</w:t>
      </w:r>
    </w:p>
    <w:p w14:paraId="1D70DAC4" w14:textId="77777777" w:rsidR="00EB3760" w:rsidRPr="00DB7E74" w:rsidRDefault="00EB3760" w:rsidP="00EB3760">
      <w:pPr>
        <w:pStyle w:val="ListParagraph"/>
        <w:spacing w:after="120" w:line="240" w:lineRule="auto"/>
        <w:ind w:left="360"/>
        <w:rPr>
          <w:rFonts w:asciiTheme="majorHAnsi" w:hAnsiTheme="majorHAnsi" w:cstheme="majorHAnsi"/>
          <w:sz w:val="24"/>
          <w:szCs w:val="24"/>
        </w:rPr>
      </w:pPr>
    </w:p>
    <w:p w14:paraId="7A1947BC" w14:textId="59FE991A" w:rsidR="00B225FC" w:rsidRPr="00DB7E74" w:rsidRDefault="00EB3760" w:rsidP="003619AC">
      <w:pPr>
        <w:spacing w:after="120" w:line="240" w:lineRule="auto"/>
        <w:rPr>
          <w:rFonts w:asciiTheme="majorHAnsi" w:hAnsiTheme="majorHAnsi" w:cstheme="majorHAnsi"/>
          <w:b/>
          <w:iCs/>
          <w:sz w:val="24"/>
          <w:szCs w:val="24"/>
          <w:u w:val="single"/>
        </w:rPr>
      </w:pPr>
      <w:r w:rsidRPr="00DB7E74">
        <w:rPr>
          <w:rFonts w:asciiTheme="majorHAnsi" w:hAnsiTheme="majorHAnsi" w:cstheme="majorHAnsi"/>
          <w:b/>
          <w:iCs/>
          <w:sz w:val="24"/>
          <w:szCs w:val="24"/>
        </w:rPr>
        <w:t xml:space="preserve">Actors – </w:t>
      </w:r>
      <w:r w:rsidRPr="00DB7E74">
        <w:rPr>
          <w:rFonts w:asciiTheme="majorHAnsi" w:hAnsiTheme="majorHAnsi" w:cstheme="majorHAnsi"/>
          <w:bCs/>
          <w:iCs/>
          <w:sz w:val="24"/>
          <w:szCs w:val="24"/>
        </w:rPr>
        <w:t>covering</w:t>
      </w:r>
      <w:r w:rsidRPr="00DB7E74">
        <w:rPr>
          <w:rFonts w:asciiTheme="majorHAnsi" w:hAnsiTheme="majorHAnsi" w:cstheme="majorHAnsi"/>
          <w:b/>
          <w:iCs/>
          <w:sz w:val="24"/>
          <w:szCs w:val="24"/>
        </w:rPr>
        <w:t xml:space="preserve"> </w:t>
      </w:r>
      <w:r w:rsidR="003D2CC9" w:rsidRPr="00DB7E74">
        <w:rPr>
          <w:rFonts w:asciiTheme="majorHAnsi" w:hAnsiTheme="majorHAnsi" w:cstheme="majorHAnsi"/>
          <w:bCs/>
          <w:iCs/>
          <w:sz w:val="24"/>
          <w:szCs w:val="24"/>
          <w:u w:val="single"/>
        </w:rPr>
        <w:t>Actors</w:t>
      </w:r>
      <w:r w:rsidRPr="00DB7E74">
        <w:rPr>
          <w:rFonts w:asciiTheme="majorHAnsi" w:hAnsiTheme="majorHAnsi" w:cstheme="majorHAnsi"/>
          <w:bCs/>
          <w:iCs/>
          <w:sz w:val="24"/>
          <w:szCs w:val="24"/>
        </w:rPr>
        <w:t xml:space="preserve">, </w:t>
      </w:r>
      <w:r w:rsidR="00762C62" w:rsidRPr="00DB7E74">
        <w:rPr>
          <w:rFonts w:asciiTheme="majorHAnsi" w:hAnsiTheme="majorHAnsi" w:cstheme="majorHAnsi"/>
          <w:bCs/>
          <w:iCs/>
          <w:sz w:val="24"/>
          <w:szCs w:val="24"/>
          <w:u w:val="single"/>
        </w:rPr>
        <w:t>Institutions</w:t>
      </w:r>
      <w:r w:rsidRPr="00DB7E74">
        <w:rPr>
          <w:rFonts w:asciiTheme="majorHAnsi" w:hAnsiTheme="majorHAnsi" w:cstheme="majorHAnsi"/>
          <w:bCs/>
          <w:iCs/>
          <w:sz w:val="24"/>
          <w:szCs w:val="24"/>
        </w:rPr>
        <w:t xml:space="preserve"> and </w:t>
      </w:r>
      <w:r w:rsidRPr="00DB7E74">
        <w:rPr>
          <w:rFonts w:asciiTheme="majorHAnsi" w:hAnsiTheme="majorHAnsi" w:cstheme="majorHAnsi"/>
          <w:bCs/>
          <w:iCs/>
          <w:sz w:val="24"/>
          <w:szCs w:val="24"/>
          <w:u w:val="single"/>
        </w:rPr>
        <w:t>Capacities and resources</w:t>
      </w:r>
    </w:p>
    <w:p w14:paraId="6E04AA4F" w14:textId="77777777" w:rsidR="00EB3760" w:rsidRPr="00DB7E74" w:rsidRDefault="003D2CC9" w:rsidP="00EB3760">
      <w:pPr>
        <w:pStyle w:val="ListParagraph"/>
        <w:numPr>
          <w:ilvl w:val="0"/>
          <w:numId w:val="8"/>
        </w:numPr>
        <w:spacing w:after="120" w:line="240" w:lineRule="auto"/>
        <w:ind w:left="425" w:hanging="425"/>
        <w:contextualSpacing w:val="0"/>
        <w:rPr>
          <w:rFonts w:asciiTheme="majorHAnsi" w:hAnsiTheme="majorHAnsi" w:cstheme="majorHAnsi"/>
          <w:sz w:val="24"/>
          <w:szCs w:val="24"/>
        </w:rPr>
      </w:pPr>
      <w:r w:rsidRPr="00DB7E74">
        <w:rPr>
          <w:rFonts w:asciiTheme="majorHAnsi" w:hAnsiTheme="majorHAnsi" w:cstheme="majorHAnsi"/>
          <w:b/>
          <w:sz w:val="24"/>
          <w:szCs w:val="24"/>
        </w:rPr>
        <w:t>Individuals/</w:t>
      </w:r>
      <w:proofErr w:type="spellStart"/>
      <w:r w:rsidRPr="00DB7E74">
        <w:rPr>
          <w:rFonts w:asciiTheme="majorHAnsi" w:hAnsiTheme="majorHAnsi" w:cstheme="majorHAnsi"/>
          <w:b/>
          <w:sz w:val="24"/>
          <w:szCs w:val="24"/>
        </w:rPr>
        <w:t>organisations</w:t>
      </w:r>
      <w:proofErr w:type="spellEnd"/>
      <w:r w:rsidRPr="00DB7E74">
        <w:rPr>
          <w:rFonts w:asciiTheme="majorHAnsi" w:hAnsiTheme="majorHAnsi" w:cstheme="majorHAnsi"/>
          <w:sz w:val="24"/>
          <w:szCs w:val="24"/>
        </w:rPr>
        <w:t xml:space="preserve">. Who were key </w:t>
      </w:r>
      <w:proofErr w:type="spellStart"/>
      <w:r w:rsidRPr="00DB7E74">
        <w:rPr>
          <w:rFonts w:asciiTheme="majorHAnsi" w:hAnsiTheme="majorHAnsi" w:cstheme="majorHAnsi"/>
          <w:sz w:val="24"/>
          <w:szCs w:val="24"/>
        </w:rPr>
        <w:t>actors</w:t>
      </w:r>
      <w:proofErr w:type="spellEnd"/>
      <w:r w:rsidRPr="00DB7E74">
        <w:rPr>
          <w:rFonts w:asciiTheme="majorHAnsi" w:hAnsiTheme="majorHAnsi" w:cstheme="majorHAnsi"/>
          <w:sz w:val="24"/>
          <w:szCs w:val="24"/>
        </w:rPr>
        <w:t xml:space="preserve"> in the policy process, what are their major sources of influence on the process (and policy content</w:t>
      </w:r>
      <w:proofErr w:type="gramStart"/>
      <w:r w:rsidRPr="00DB7E74">
        <w:rPr>
          <w:rFonts w:asciiTheme="majorHAnsi" w:hAnsiTheme="majorHAnsi" w:cstheme="majorHAnsi"/>
          <w:sz w:val="24"/>
          <w:szCs w:val="24"/>
        </w:rPr>
        <w:t>)</w:t>
      </w:r>
      <w:proofErr w:type="gramEnd"/>
      <w:r w:rsidRPr="00DB7E74">
        <w:rPr>
          <w:rFonts w:asciiTheme="majorHAnsi" w:hAnsiTheme="majorHAnsi" w:cstheme="majorHAnsi"/>
          <w:sz w:val="24"/>
          <w:szCs w:val="24"/>
        </w:rPr>
        <w:t xml:space="preserve"> </w:t>
      </w:r>
    </w:p>
    <w:p w14:paraId="36E1FF84" w14:textId="339ECBFE" w:rsidR="00B225FC" w:rsidRPr="00DB7E74" w:rsidRDefault="003D2CC9" w:rsidP="00EB3760">
      <w:pPr>
        <w:pStyle w:val="ListParagraph"/>
        <w:spacing w:after="120" w:line="240" w:lineRule="auto"/>
        <w:ind w:left="425"/>
        <w:contextualSpacing w:val="0"/>
        <w:rPr>
          <w:rFonts w:asciiTheme="majorHAnsi" w:hAnsiTheme="majorHAnsi" w:cstheme="majorHAnsi"/>
          <w:sz w:val="24"/>
          <w:szCs w:val="24"/>
        </w:rPr>
      </w:pPr>
      <w:r w:rsidRPr="00DB7E74">
        <w:rPr>
          <w:rFonts w:asciiTheme="majorHAnsi" w:hAnsiTheme="majorHAnsi" w:cstheme="majorHAnsi"/>
          <w:sz w:val="24"/>
          <w:szCs w:val="24"/>
        </w:rPr>
        <w:t xml:space="preserve">– probe </w:t>
      </w:r>
      <w:r w:rsidR="00D82DF9" w:rsidRPr="00DB7E74">
        <w:rPr>
          <w:rFonts w:asciiTheme="majorHAnsi" w:hAnsiTheme="majorHAnsi" w:cstheme="majorHAnsi"/>
          <w:sz w:val="24"/>
          <w:szCs w:val="24"/>
        </w:rPr>
        <w:t>- is</w:t>
      </w:r>
      <w:r w:rsidRPr="00DB7E74">
        <w:rPr>
          <w:rFonts w:asciiTheme="majorHAnsi" w:hAnsiTheme="majorHAnsi" w:cstheme="majorHAnsi"/>
          <w:sz w:val="24"/>
          <w:szCs w:val="24"/>
        </w:rPr>
        <w:t xml:space="preserve"> it because of their formal positions</w:t>
      </w:r>
      <w:r w:rsidR="00D82DF9" w:rsidRPr="00DB7E74">
        <w:rPr>
          <w:rFonts w:asciiTheme="majorHAnsi" w:hAnsiTheme="majorHAnsi" w:cstheme="majorHAnsi"/>
          <w:sz w:val="24"/>
          <w:szCs w:val="24"/>
        </w:rPr>
        <w:t xml:space="preserve"> </w:t>
      </w:r>
      <w:r w:rsidRPr="00DB7E74">
        <w:rPr>
          <w:rFonts w:asciiTheme="majorHAnsi" w:hAnsiTheme="majorHAnsi" w:cstheme="majorHAnsi"/>
          <w:sz w:val="24"/>
          <w:szCs w:val="24"/>
        </w:rPr>
        <w:t>(administrative/regulatory/political/legal), charisma, rhetorical skills (discursive and ability to frame the problem), resources (financial, network base), access to media, other</w:t>
      </w:r>
      <w:r w:rsidR="00D82DF9" w:rsidRPr="00DB7E74">
        <w:rPr>
          <w:rFonts w:asciiTheme="majorHAnsi" w:hAnsiTheme="majorHAnsi" w:cstheme="majorHAnsi"/>
          <w:sz w:val="24"/>
          <w:szCs w:val="24"/>
        </w:rPr>
        <w:t>?</w:t>
      </w:r>
    </w:p>
    <w:p w14:paraId="214B4832" w14:textId="45CE44AF" w:rsidR="0051418A" w:rsidRPr="00DB7E74" w:rsidRDefault="0058427D" w:rsidP="0051418A">
      <w:pPr>
        <w:pStyle w:val="ListParagraph"/>
        <w:numPr>
          <w:ilvl w:val="0"/>
          <w:numId w:val="8"/>
        </w:numPr>
        <w:spacing w:after="120" w:line="240" w:lineRule="auto"/>
        <w:ind w:left="425" w:hanging="425"/>
        <w:contextualSpacing w:val="0"/>
        <w:rPr>
          <w:rFonts w:asciiTheme="majorHAnsi" w:hAnsiTheme="majorHAnsi" w:cstheme="majorHAnsi"/>
          <w:sz w:val="24"/>
          <w:szCs w:val="24"/>
        </w:rPr>
      </w:pPr>
      <w:r w:rsidRPr="00DB7E74">
        <w:rPr>
          <w:rFonts w:asciiTheme="majorHAnsi" w:hAnsiTheme="majorHAnsi" w:cstheme="majorHAnsi"/>
          <w:b/>
          <w:sz w:val="24"/>
          <w:szCs w:val="24"/>
        </w:rPr>
        <w:t xml:space="preserve">Nutrition Actor </w:t>
      </w:r>
      <w:r w:rsidR="003D2CC9" w:rsidRPr="00DB7E74">
        <w:rPr>
          <w:rFonts w:asciiTheme="majorHAnsi" w:hAnsiTheme="majorHAnsi" w:cstheme="majorHAnsi"/>
          <w:b/>
          <w:sz w:val="24"/>
          <w:szCs w:val="24"/>
        </w:rPr>
        <w:t>Networks</w:t>
      </w:r>
      <w:r w:rsidR="003D2CC9" w:rsidRPr="00DB7E74">
        <w:rPr>
          <w:rFonts w:asciiTheme="majorHAnsi" w:hAnsiTheme="majorHAnsi" w:cstheme="majorHAnsi"/>
          <w:sz w:val="24"/>
          <w:szCs w:val="24"/>
        </w:rPr>
        <w:t>. Thinking about the key actors identified above, are some of them connected through formal and informal networks? Did these networks enable them to have more or less common positions?</w:t>
      </w:r>
    </w:p>
    <w:p w14:paraId="3DABFD41" w14:textId="77777777" w:rsidR="0051418A" w:rsidRPr="00DB7E74" w:rsidRDefault="003D2CC9" w:rsidP="0051418A">
      <w:pPr>
        <w:pStyle w:val="ListParagraph"/>
        <w:numPr>
          <w:ilvl w:val="0"/>
          <w:numId w:val="8"/>
        </w:numPr>
        <w:spacing w:after="120" w:line="240" w:lineRule="auto"/>
        <w:ind w:left="425" w:hanging="425"/>
        <w:contextualSpacing w:val="0"/>
        <w:rPr>
          <w:rFonts w:asciiTheme="majorHAnsi" w:hAnsiTheme="majorHAnsi" w:cstheme="majorHAnsi"/>
          <w:sz w:val="24"/>
          <w:szCs w:val="24"/>
        </w:rPr>
      </w:pPr>
      <w:r w:rsidRPr="00DB7E74">
        <w:rPr>
          <w:rFonts w:asciiTheme="majorHAnsi" w:hAnsiTheme="majorHAnsi" w:cstheme="majorHAnsi"/>
          <w:b/>
          <w:sz w:val="24"/>
          <w:szCs w:val="24"/>
        </w:rPr>
        <w:t>Guiding institutions</w:t>
      </w:r>
      <w:r w:rsidRPr="00DB7E74">
        <w:rPr>
          <w:rFonts w:asciiTheme="majorHAnsi" w:hAnsiTheme="majorHAnsi" w:cstheme="majorHAnsi"/>
          <w:sz w:val="24"/>
          <w:szCs w:val="24"/>
        </w:rPr>
        <w:t xml:space="preserve">. Can you identify a key organization or coordination platform that took leadership on the issue?  </w:t>
      </w:r>
    </w:p>
    <w:p w14:paraId="6C536F41" w14:textId="77777777" w:rsidR="0051418A" w:rsidRPr="00DB7E74" w:rsidRDefault="003D2CC9" w:rsidP="0051418A">
      <w:pPr>
        <w:pStyle w:val="ListParagraph"/>
        <w:numPr>
          <w:ilvl w:val="0"/>
          <w:numId w:val="8"/>
        </w:numPr>
        <w:spacing w:after="120" w:line="240" w:lineRule="auto"/>
        <w:ind w:left="425" w:hanging="425"/>
        <w:contextualSpacing w:val="0"/>
        <w:rPr>
          <w:rFonts w:asciiTheme="majorHAnsi" w:hAnsiTheme="majorHAnsi" w:cstheme="majorHAnsi"/>
          <w:sz w:val="24"/>
          <w:szCs w:val="24"/>
        </w:rPr>
      </w:pPr>
      <w:r w:rsidRPr="00DB7E74">
        <w:rPr>
          <w:rFonts w:asciiTheme="majorHAnsi" w:hAnsiTheme="majorHAnsi" w:cstheme="majorHAnsi"/>
          <w:b/>
          <w:sz w:val="24"/>
          <w:szCs w:val="24"/>
        </w:rPr>
        <w:t>Leadership</w:t>
      </w:r>
      <w:r w:rsidRPr="00DB7E74">
        <w:rPr>
          <w:rFonts w:asciiTheme="majorHAnsi" w:hAnsiTheme="majorHAnsi" w:cstheme="majorHAnsi"/>
          <w:sz w:val="24"/>
          <w:szCs w:val="24"/>
        </w:rPr>
        <w:t xml:space="preserve">. Were there key champions (individuals or </w:t>
      </w:r>
      <w:proofErr w:type="spellStart"/>
      <w:r w:rsidRPr="00DB7E74">
        <w:rPr>
          <w:rFonts w:asciiTheme="majorHAnsi" w:hAnsiTheme="majorHAnsi" w:cstheme="majorHAnsi"/>
          <w:sz w:val="24"/>
          <w:szCs w:val="24"/>
        </w:rPr>
        <w:t>organisations</w:t>
      </w:r>
      <w:proofErr w:type="spellEnd"/>
      <w:r w:rsidRPr="00DB7E74">
        <w:rPr>
          <w:rFonts w:asciiTheme="majorHAnsi" w:hAnsiTheme="majorHAnsi" w:cstheme="majorHAnsi"/>
          <w:sz w:val="24"/>
          <w:szCs w:val="24"/>
        </w:rPr>
        <w:t>) for the issue and/or policy?</w:t>
      </w:r>
    </w:p>
    <w:p w14:paraId="77B76E88" w14:textId="77777777" w:rsidR="0051418A" w:rsidRPr="00DB7E74" w:rsidRDefault="003D2CC9" w:rsidP="0051418A">
      <w:pPr>
        <w:pStyle w:val="ListParagraph"/>
        <w:numPr>
          <w:ilvl w:val="0"/>
          <w:numId w:val="8"/>
        </w:numPr>
        <w:spacing w:after="120" w:line="240" w:lineRule="auto"/>
        <w:ind w:left="425" w:hanging="425"/>
        <w:contextualSpacing w:val="0"/>
        <w:rPr>
          <w:rFonts w:asciiTheme="majorHAnsi" w:hAnsiTheme="majorHAnsi" w:cstheme="majorHAnsi"/>
          <w:sz w:val="24"/>
          <w:szCs w:val="24"/>
        </w:rPr>
      </w:pPr>
      <w:r w:rsidRPr="00DB7E74">
        <w:rPr>
          <w:rFonts w:asciiTheme="majorHAnsi" w:hAnsiTheme="majorHAnsi" w:cstheme="majorHAnsi"/>
          <w:b/>
          <w:sz w:val="24"/>
          <w:szCs w:val="24"/>
        </w:rPr>
        <w:t>Civil society</w:t>
      </w:r>
      <w:r w:rsidRPr="00DB7E74">
        <w:rPr>
          <w:rFonts w:asciiTheme="majorHAnsi" w:hAnsiTheme="majorHAnsi" w:cstheme="majorHAnsi"/>
          <w:sz w:val="24"/>
          <w:szCs w:val="24"/>
        </w:rPr>
        <w:t>. Is it mobilized around the issue or policy?</w:t>
      </w:r>
    </w:p>
    <w:p w14:paraId="274FC7BC" w14:textId="0D650682" w:rsidR="00B225FC" w:rsidRPr="00DB7E74" w:rsidRDefault="003D2CC9" w:rsidP="0051418A">
      <w:pPr>
        <w:pStyle w:val="ListParagraph"/>
        <w:numPr>
          <w:ilvl w:val="0"/>
          <w:numId w:val="8"/>
        </w:numPr>
        <w:spacing w:after="120" w:line="240" w:lineRule="auto"/>
        <w:ind w:left="426" w:hanging="426"/>
        <w:rPr>
          <w:rFonts w:asciiTheme="majorHAnsi" w:hAnsiTheme="majorHAnsi" w:cstheme="majorHAnsi"/>
          <w:sz w:val="24"/>
          <w:szCs w:val="24"/>
        </w:rPr>
      </w:pPr>
      <w:r w:rsidRPr="00DB7E74">
        <w:rPr>
          <w:rFonts w:asciiTheme="majorHAnsi" w:hAnsiTheme="majorHAnsi" w:cstheme="majorHAnsi"/>
          <w:b/>
          <w:sz w:val="24"/>
          <w:szCs w:val="24"/>
        </w:rPr>
        <w:t>International actors</w:t>
      </w:r>
      <w:r w:rsidRPr="00DB7E74">
        <w:rPr>
          <w:rFonts w:asciiTheme="majorHAnsi" w:hAnsiTheme="majorHAnsi" w:cstheme="majorHAnsi"/>
          <w:sz w:val="24"/>
          <w:szCs w:val="24"/>
        </w:rPr>
        <w:t xml:space="preserve">. Were there any that played a particular role? </w:t>
      </w:r>
    </w:p>
    <w:p w14:paraId="3AAE4646" w14:textId="77777777" w:rsidR="00B225FC" w:rsidRPr="00DB7E74" w:rsidRDefault="00B225FC" w:rsidP="00346B4E">
      <w:pPr>
        <w:spacing w:after="120" w:line="240" w:lineRule="auto"/>
        <w:contextualSpacing/>
        <w:rPr>
          <w:rFonts w:asciiTheme="majorHAnsi" w:hAnsiTheme="majorHAnsi" w:cstheme="majorHAnsi"/>
          <w:i/>
          <w:sz w:val="24"/>
          <w:szCs w:val="24"/>
        </w:rPr>
      </w:pPr>
    </w:p>
    <w:p w14:paraId="4ACAB023" w14:textId="34FC20FE" w:rsidR="00B225FC" w:rsidRPr="00DB7E74" w:rsidRDefault="00EB3760" w:rsidP="00346B4E">
      <w:pPr>
        <w:spacing w:after="120" w:line="240" w:lineRule="auto"/>
        <w:contextualSpacing/>
        <w:rPr>
          <w:rFonts w:asciiTheme="majorHAnsi" w:hAnsiTheme="majorHAnsi" w:cstheme="majorHAnsi"/>
          <w:b/>
          <w:iCs/>
          <w:sz w:val="24"/>
          <w:szCs w:val="24"/>
          <w:u w:val="single"/>
        </w:rPr>
      </w:pPr>
      <w:r w:rsidRPr="00DB7E74">
        <w:rPr>
          <w:rFonts w:asciiTheme="majorHAnsi" w:hAnsiTheme="majorHAnsi" w:cstheme="majorHAnsi"/>
          <w:b/>
          <w:iCs/>
          <w:sz w:val="24"/>
          <w:szCs w:val="24"/>
        </w:rPr>
        <w:t>Framing</w:t>
      </w:r>
      <w:r w:rsidRPr="00DB7E74">
        <w:rPr>
          <w:rFonts w:asciiTheme="majorHAnsi" w:hAnsiTheme="majorHAnsi" w:cstheme="majorHAnsi"/>
          <w:bCs/>
          <w:iCs/>
          <w:sz w:val="24"/>
          <w:szCs w:val="24"/>
        </w:rPr>
        <w:t xml:space="preserve"> – covering </w:t>
      </w:r>
      <w:r w:rsidR="00762C62" w:rsidRPr="00DB7E74">
        <w:rPr>
          <w:rFonts w:asciiTheme="majorHAnsi" w:hAnsiTheme="majorHAnsi" w:cstheme="majorHAnsi"/>
          <w:bCs/>
          <w:iCs/>
          <w:sz w:val="24"/>
          <w:szCs w:val="24"/>
          <w:u w:val="single"/>
        </w:rPr>
        <w:t>Knowledge, evidence and f</w:t>
      </w:r>
      <w:r w:rsidR="003D2CC9" w:rsidRPr="00DB7E74">
        <w:rPr>
          <w:rFonts w:asciiTheme="majorHAnsi" w:hAnsiTheme="majorHAnsi" w:cstheme="majorHAnsi"/>
          <w:bCs/>
          <w:iCs/>
          <w:sz w:val="24"/>
          <w:szCs w:val="24"/>
          <w:u w:val="single"/>
        </w:rPr>
        <w:t>raming</w:t>
      </w:r>
      <w:r w:rsidR="007E2A0D" w:rsidRPr="00DB7E74">
        <w:rPr>
          <w:rFonts w:asciiTheme="majorHAnsi" w:hAnsiTheme="majorHAnsi" w:cstheme="majorHAnsi"/>
          <w:bCs/>
          <w:iCs/>
          <w:sz w:val="24"/>
          <w:szCs w:val="24"/>
        </w:rPr>
        <w:t xml:space="preserve"> and </w:t>
      </w:r>
      <w:r w:rsidR="007E2A0D" w:rsidRPr="00DB7E74">
        <w:rPr>
          <w:rFonts w:asciiTheme="majorHAnsi" w:hAnsiTheme="majorHAnsi" w:cstheme="majorHAnsi"/>
          <w:bCs/>
          <w:iCs/>
          <w:sz w:val="24"/>
          <w:szCs w:val="24"/>
          <w:u w:val="single"/>
        </w:rPr>
        <w:t>Capacities and resources</w:t>
      </w:r>
    </w:p>
    <w:p w14:paraId="5CD41E35" w14:textId="77777777" w:rsidR="00B225FC" w:rsidRPr="00DB7E74" w:rsidRDefault="003D2CC9" w:rsidP="003619AC">
      <w:pPr>
        <w:pStyle w:val="ListParagraph"/>
        <w:numPr>
          <w:ilvl w:val="0"/>
          <w:numId w:val="4"/>
        </w:numPr>
        <w:spacing w:after="120" w:line="240" w:lineRule="auto"/>
        <w:ind w:left="357" w:hanging="357"/>
        <w:contextualSpacing w:val="0"/>
        <w:rPr>
          <w:rFonts w:asciiTheme="majorHAnsi" w:hAnsiTheme="majorHAnsi" w:cstheme="majorHAnsi"/>
          <w:sz w:val="24"/>
          <w:szCs w:val="24"/>
        </w:rPr>
      </w:pPr>
      <w:r w:rsidRPr="00DB7E74">
        <w:rPr>
          <w:rFonts w:asciiTheme="majorHAnsi" w:hAnsiTheme="majorHAnsi" w:cstheme="majorHAnsi"/>
          <w:sz w:val="24"/>
          <w:szCs w:val="24"/>
        </w:rPr>
        <w:t xml:space="preserve">What were the arguments used by the key actors about the importance of the problem and how to solve it? </w:t>
      </w:r>
    </w:p>
    <w:p w14:paraId="5097BBE2" w14:textId="4B9AE803" w:rsidR="00B225FC" w:rsidRPr="00DB7E74" w:rsidRDefault="003D2CC9" w:rsidP="003619AC">
      <w:pPr>
        <w:pStyle w:val="ListParagraph"/>
        <w:numPr>
          <w:ilvl w:val="0"/>
          <w:numId w:val="4"/>
        </w:numPr>
        <w:spacing w:after="120" w:line="240" w:lineRule="auto"/>
        <w:ind w:left="357" w:hanging="357"/>
        <w:contextualSpacing w:val="0"/>
        <w:rPr>
          <w:rFonts w:asciiTheme="majorHAnsi" w:hAnsiTheme="majorHAnsi" w:cstheme="majorHAnsi"/>
          <w:sz w:val="24"/>
          <w:szCs w:val="24"/>
        </w:rPr>
      </w:pPr>
      <w:r w:rsidRPr="00DB7E74">
        <w:rPr>
          <w:rFonts w:asciiTheme="majorHAnsi" w:hAnsiTheme="majorHAnsi" w:cstheme="majorHAnsi"/>
          <w:sz w:val="24"/>
          <w:szCs w:val="24"/>
        </w:rPr>
        <w:t>Is there a more or less common perception of the problem and or policy solution (</w:t>
      </w:r>
      <w:r w:rsidR="005E3C05" w:rsidRPr="00DB7E74">
        <w:rPr>
          <w:rFonts w:asciiTheme="majorHAnsi" w:hAnsiTheme="majorHAnsi" w:cstheme="majorHAnsi"/>
          <w:sz w:val="24"/>
          <w:szCs w:val="24"/>
        </w:rPr>
        <w:t>e.g.,</w:t>
      </w:r>
      <w:r w:rsidR="00346B4E" w:rsidRPr="00DB7E74">
        <w:rPr>
          <w:rFonts w:asciiTheme="majorHAnsi" w:hAnsiTheme="majorHAnsi" w:cstheme="majorHAnsi"/>
          <w:sz w:val="24"/>
          <w:szCs w:val="24"/>
        </w:rPr>
        <w:t xml:space="preserve"> </w:t>
      </w:r>
      <w:r w:rsidRPr="00DB7E74">
        <w:rPr>
          <w:rFonts w:asciiTheme="majorHAnsi" w:hAnsiTheme="majorHAnsi" w:cstheme="majorHAnsi"/>
          <w:sz w:val="24"/>
          <w:szCs w:val="24"/>
        </w:rPr>
        <w:t xml:space="preserve">for or against the policy)? </w:t>
      </w:r>
    </w:p>
    <w:p w14:paraId="680FA4C4" w14:textId="6C69B4AC" w:rsidR="00B225FC" w:rsidRPr="00DB7E74" w:rsidRDefault="003D2CC9" w:rsidP="00EB3760">
      <w:pPr>
        <w:pStyle w:val="ListParagraph"/>
        <w:numPr>
          <w:ilvl w:val="0"/>
          <w:numId w:val="5"/>
        </w:numPr>
        <w:spacing w:after="120" w:line="240" w:lineRule="auto"/>
        <w:ind w:left="357" w:hanging="357"/>
        <w:contextualSpacing w:val="0"/>
        <w:rPr>
          <w:rFonts w:asciiTheme="majorHAnsi" w:hAnsiTheme="majorHAnsi" w:cstheme="majorHAnsi"/>
          <w:sz w:val="24"/>
          <w:szCs w:val="24"/>
        </w:rPr>
      </w:pPr>
      <w:r w:rsidRPr="00DB7E74">
        <w:rPr>
          <w:rFonts w:asciiTheme="majorHAnsi" w:hAnsiTheme="majorHAnsi" w:cstheme="majorHAnsi"/>
          <w:sz w:val="24"/>
          <w:szCs w:val="24"/>
        </w:rPr>
        <w:t>What arguments and ideas were put forward in terms of policy beneficiaries or losers (</w:t>
      </w:r>
      <w:r w:rsidR="005E3C05" w:rsidRPr="00DB7E74">
        <w:rPr>
          <w:rFonts w:asciiTheme="majorHAnsi" w:hAnsiTheme="majorHAnsi" w:cstheme="majorHAnsi"/>
          <w:sz w:val="24"/>
          <w:szCs w:val="24"/>
        </w:rPr>
        <w:t>i.e.,</w:t>
      </w:r>
      <w:r w:rsidRPr="00DB7E74">
        <w:rPr>
          <w:rFonts w:asciiTheme="majorHAnsi" w:hAnsiTheme="majorHAnsi" w:cstheme="majorHAnsi"/>
          <w:sz w:val="24"/>
          <w:szCs w:val="24"/>
        </w:rPr>
        <w:t xml:space="preserve"> costs and benefits of the policy to particular communities and populations</w:t>
      </w:r>
      <w:r w:rsidR="00346B4E" w:rsidRPr="00DB7E74">
        <w:rPr>
          <w:rFonts w:asciiTheme="majorHAnsi" w:hAnsiTheme="majorHAnsi" w:cstheme="majorHAnsi"/>
          <w:sz w:val="24"/>
          <w:szCs w:val="24"/>
        </w:rPr>
        <w:t>)</w:t>
      </w:r>
      <w:r w:rsidRPr="00DB7E74">
        <w:rPr>
          <w:rFonts w:asciiTheme="majorHAnsi" w:hAnsiTheme="majorHAnsi" w:cstheme="majorHAnsi"/>
          <w:sz w:val="24"/>
          <w:szCs w:val="24"/>
        </w:rPr>
        <w:t>?</w:t>
      </w:r>
    </w:p>
    <w:p w14:paraId="5BB94586" w14:textId="77777777" w:rsidR="00346B4E" w:rsidRPr="00DB7E74" w:rsidRDefault="00346B4E" w:rsidP="00346B4E">
      <w:pPr>
        <w:spacing w:after="120" w:line="240" w:lineRule="auto"/>
        <w:contextualSpacing/>
        <w:rPr>
          <w:rFonts w:asciiTheme="majorHAnsi" w:hAnsiTheme="majorHAnsi" w:cstheme="majorHAnsi"/>
          <w:b/>
          <w:i/>
          <w:sz w:val="24"/>
          <w:szCs w:val="24"/>
        </w:rPr>
      </w:pPr>
    </w:p>
    <w:p w14:paraId="3B30E0F9" w14:textId="56D19209" w:rsidR="00B225FC" w:rsidRPr="00DB7E74" w:rsidRDefault="003D2CC9" w:rsidP="00346B4E">
      <w:pPr>
        <w:spacing w:after="120" w:line="240" w:lineRule="auto"/>
        <w:contextualSpacing/>
        <w:rPr>
          <w:rFonts w:asciiTheme="majorHAnsi" w:hAnsiTheme="majorHAnsi" w:cstheme="majorHAnsi"/>
          <w:bCs/>
          <w:iCs/>
          <w:sz w:val="24"/>
          <w:szCs w:val="24"/>
        </w:rPr>
      </w:pPr>
      <w:r w:rsidRPr="00DB7E74">
        <w:rPr>
          <w:rFonts w:asciiTheme="majorHAnsi" w:hAnsiTheme="majorHAnsi" w:cstheme="majorHAnsi"/>
          <w:b/>
          <w:iCs/>
          <w:sz w:val="24"/>
          <w:szCs w:val="24"/>
        </w:rPr>
        <w:t>Process</w:t>
      </w:r>
      <w:r w:rsidR="00751CD9" w:rsidRPr="00DB7E74">
        <w:rPr>
          <w:rFonts w:asciiTheme="majorHAnsi" w:hAnsiTheme="majorHAnsi" w:cstheme="majorHAnsi"/>
          <w:b/>
          <w:iCs/>
          <w:sz w:val="24"/>
          <w:szCs w:val="24"/>
        </w:rPr>
        <w:t xml:space="preserve"> and Budget allocation and implementation</w:t>
      </w:r>
      <w:r w:rsidR="00762C62" w:rsidRPr="00DB7E74">
        <w:rPr>
          <w:rFonts w:asciiTheme="majorHAnsi" w:hAnsiTheme="majorHAnsi" w:cstheme="majorHAnsi"/>
          <w:b/>
          <w:iCs/>
          <w:sz w:val="24"/>
          <w:szCs w:val="24"/>
        </w:rPr>
        <w:t xml:space="preserve"> </w:t>
      </w:r>
      <w:r w:rsidR="000372FC" w:rsidRPr="00DB7E74">
        <w:rPr>
          <w:rFonts w:asciiTheme="majorHAnsi" w:hAnsiTheme="majorHAnsi" w:cstheme="majorHAnsi"/>
          <w:b/>
          <w:iCs/>
          <w:sz w:val="24"/>
          <w:szCs w:val="24"/>
        </w:rPr>
        <w:t xml:space="preserve">– </w:t>
      </w:r>
      <w:r w:rsidR="000372FC" w:rsidRPr="00DB7E74">
        <w:rPr>
          <w:rFonts w:asciiTheme="majorHAnsi" w:hAnsiTheme="majorHAnsi" w:cstheme="majorHAnsi"/>
          <w:bCs/>
          <w:iCs/>
          <w:sz w:val="24"/>
          <w:szCs w:val="24"/>
        </w:rPr>
        <w:t xml:space="preserve">covering </w:t>
      </w:r>
      <w:r w:rsidR="000372FC" w:rsidRPr="00DB7E74">
        <w:rPr>
          <w:rFonts w:asciiTheme="majorHAnsi" w:hAnsiTheme="majorHAnsi" w:cstheme="majorHAnsi"/>
          <w:bCs/>
          <w:iCs/>
          <w:sz w:val="24"/>
          <w:szCs w:val="24"/>
          <w:u w:val="single"/>
        </w:rPr>
        <w:t>Capacities and resources</w:t>
      </w:r>
      <w:r w:rsidR="005E3C05" w:rsidRPr="00DB7E74">
        <w:rPr>
          <w:rFonts w:asciiTheme="majorHAnsi" w:hAnsiTheme="majorHAnsi" w:cstheme="majorHAnsi"/>
          <w:bCs/>
          <w:iCs/>
          <w:sz w:val="24"/>
          <w:szCs w:val="24"/>
        </w:rPr>
        <w:t xml:space="preserve"> and </w:t>
      </w:r>
      <w:r w:rsidR="005E3C05" w:rsidRPr="00DB7E74">
        <w:rPr>
          <w:rFonts w:asciiTheme="majorHAnsi" w:hAnsiTheme="majorHAnsi" w:cstheme="majorHAnsi"/>
          <w:bCs/>
          <w:iCs/>
          <w:sz w:val="24"/>
          <w:szCs w:val="24"/>
          <w:u w:val="single"/>
        </w:rPr>
        <w:t>Institutions</w:t>
      </w:r>
    </w:p>
    <w:p w14:paraId="5D338E44" w14:textId="77777777" w:rsidR="00B225FC" w:rsidRPr="00DB7E74" w:rsidRDefault="003D2CC9" w:rsidP="003619AC">
      <w:pPr>
        <w:pStyle w:val="ListParagraph"/>
        <w:numPr>
          <w:ilvl w:val="0"/>
          <w:numId w:val="5"/>
        </w:numPr>
        <w:spacing w:after="120" w:line="240" w:lineRule="auto"/>
        <w:ind w:left="357" w:hanging="357"/>
        <w:contextualSpacing w:val="0"/>
        <w:rPr>
          <w:rFonts w:asciiTheme="majorHAnsi" w:hAnsiTheme="majorHAnsi" w:cstheme="majorHAnsi"/>
          <w:sz w:val="24"/>
          <w:szCs w:val="24"/>
        </w:rPr>
      </w:pPr>
      <w:r w:rsidRPr="00DB7E74">
        <w:rPr>
          <w:rFonts w:asciiTheme="majorHAnsi" w:hAnsiTheme="majorHAnsi" w:cstheme="majorHAnsi"/>
          <w:sz w:val="24"/>
          <w:szCs w:val="24"/>
        </w:rPr>
        <w:t>What was the process through which the policy emerged?</w:t>
      </w:r>
    </w:p>
    <w:p w14:paraId="1DE5B06E" w14:textId="77777777" w:rsidR="00B225FC" w:rsidRPr="00DB7E74" w:rsidRDefault="003D2CC9" w:rsidP="003619AC">
      <w:pPr>
        <w:pStyle w:val="ListParagraph"/>
        <w:numPr>
          <w:ilvl w:val="0"/>
          <w:numId w:val="5"/>
        </w:numPr>
        <w:spacing w:after="120" w:line="240" w:lineRule="auto"/>
        <w:ind w:left="357" w:hanging="357"/>
        <w:contextualSpacing w:val="0"/>
        <w:rPr>
          <w:rFonts w:asciiTheme="majorHAnsi" w:hAnsiTheme="majorHAnsi" w:cstheme="majorHAnsi"/>
          <w:sz w:val="24"/>
          <w:szCs w:val="24"/>
        </w:rPr>
      </w:pPr>
      <w:r w:rsidRPr="00DB7E74">
        <w:rPr>
          <w:rFonts w:asciiTheme="majorHAnsi" w:hAnsiTheme="majorHAnsi" w:cstheme="majorHAnsi"/>
          <w:sz w:val="24"/>
          <w:szCs w:val="24"/>
        </w:rPr>
        <w:t>What was your role in the policy process?</w:t>
      </w:r>
    </w:p>
    <w:p w14:paraId="0FAE2AC1" w14:textId="40DC53BD" w:rsidR="00B225FC" w:rsidRPr="00DB7E74" w:rsidRDefault="003D2CC9" w:rsidP="003619AC">
      <w:pPr>
        <w:pStyle w:val="ListParagraph"/>
        <w:numPr>
          <w:ilvl w:val="0"/>
          <w:numId w:val="5"/>
        </w:numPr>
        <w:spacing w:after="120" w:line="240" w:lineRule="auto"/>
        <w:ind w:left="357" w:hanging="357"/>
        <w:contextualSpacing w:val="0"/>
        <w:rPr>
          <w:rFonts w:asciiTheme="majorHAnsi" w:hAnsiTheme="majorHAnsi" w:cstheme="majorHAnsi"/>
          <w:sz w:val="24"/>
          <w:szCs w:val="24"/>
        </w:rPr>
      </w:pPr>
      <w:r w:rsidRPr="00DB7E74">
        <w:rPr>
          <w:rFonts w:asciiTheme="majorHAnsi" w:hAnsiTheme="majorHAnsi" w:cstheme="majorHAnsi"/>
          <w:sz w:val="24"/>
          <w:szCs w:val="24"/>
        </w:rPr>
        <w:t>Who was the key driver?</w:t>
      </w:r>
    </w:p>
    <w:p w14:paraId="35026EA1" w14:textId="76A47B32" w:rsidR="00751CD9" w:rsidRPr="00DB7E74" w:rsidRDefault="00751CD9" w:rsidP="00EB3760">
      <w:pPr>
        <w:pStyle w:val="ListParagraph"/>
        <w:numPr>
          <w:ilvl w:val="0"/>
          <w:numId w:val="5"/>
        </w:numPr>
        <w:spacing w:after="120" w:line="240" w:lineRule="auto"/>
        <w:ind w:left="357" w:hanging="357"/>
        <w:contextualSpacing w:val="0"/>
        <w:rPr>
          <w:rFonts w:asciiTheme="majorHAnsi" w:hAnsiTheme="majorHAnsi" w:cstheme="majorHAnsi"/>
          <w:sz w:val="24"/>
          <w:szCs w:val="24"/>
        </w:rPr>
      </w:pPr>
      <w:r w:rsidRPr="00DB7E74">
        <w:rPr>
          <w:rFonts w:asciiTheme="majorHAnsi" w:hAnsiTheme="majorHAnsi" w:cstheme="majorHAnsi"/>
          <w:sz w:val="24"/>
          <w:szCs w:val="24"/>
        </w:rPr>
        <w:lastRenderedPageBreak/>
        <w:t>Can you tell me about the budget allocated for the</w:t>
      </w:r>
      <w:r w:rsidR="00EB3760" w:rsidRPr="00DB7E74">
        <w:rPr>
          <w:rFonts w:asciiTheme="majorHAnsi" w:hAnsiTheme="majorHAnsi" w:cstheme="majorHAnsi"/>
          <w:sz w:val="24"/>
          <w:szCs w:val="24"/>
        </w:rPr>
        <w:t xml:space="preserve"> policy and/or the</w:t>
      </w:r>
      <w:r w:rsidRPr="00DB7E74">
        <w:rPr>
          <w:rFonts w:asciiTheme="majorHAnsi" w:hAnsiTheme="majorHAnsi" w:cstheme="majorHAnsi"/>
          <w:sz w:val="24"/>
          <w:szCs w:val="24"/>
        </w:rPr>
        <w:t xml:space="preserve"> multi sectoral action plan on prevention and control of NCD?</w:t>
      </w:r>
    </w:p>
    <w:p w14:paraId="6C6FE9FA" w14:textId="50824C3B" w:rsidR="00751CD9" w:rsidRPr="00DB7E74" w:rsidRDefault="00751CD9" w:rsidP="00EB3760">
      <w:pPr>
        <w:pStyle w:val="ListParagraph"/>
        <w:numPr>
          <w:ilvl w:val="0"/>
          <w:numId w:val="5"/>
        </w:numPr>
        <w:spacing w:after="120" w:line="240" w:lineRule="auto"/>
        <w:ind w:left="357" w:hanging="357"/>
        <w:contextualSpacing w:val="0"/>
        <w:rPr>
          <w:rFonts w:asciiTheme="majorHAnsi" w:hAnsiTheme="majorHAnsi" w:cstheme="majorHAnsi"/>
          <w:sz w:val="24"/>
          <w:szCs w:val="24"/>
        </w:rPr>
      </w:pPr>
      <w:r w:rsidRPr="00DB7E74">
        <w:rPr>
          <w:rFonts w:asciiTheme="majorHAnsi" w:hAnsiTheme="majorHAnsi" w:cstheme="majorHAnsi"/>
          <w:sz w:val="24"/>
          <w:szCs w:val="24"/>
        </w:rPr>
        <w:t>What are your thoughts on implementation of the policy – and their effectiveness?</w:t>
      </w:r>
    </w:p>
    <w:p w14:paraId="3C04A055" w14:textId="42EB9A1F" w:rsidR="0051418A" w:rsidRDefault="0051418A"/>
    <w:sectPr w:rsidR="0051418A" w:rsidSect="00751CD9">
      <w:headerReference w:type="default" r:id="rId7"/>
      <w:footerReference w:type="default" r:id="rId8"/>
      <w:pgSz w:w="12240" w:h="15840"/>
      <w:pgMar w:top="1440" w:right="1440" w:bottom="1440" w:left="1440" w:header="340" w:footer="22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E232D0" w14:textId="77777777" w:rsidR="003319A3" w:rsidRDefault="003319A3">
      <w:pPr>
        <w:spacing w:after="0" w:line="240" w:lineRule="auto"/>
      </w:pPr>
      <w:r>
        <w:separator/>
      </w:r>
    </w:p>
  </w:endnote>
  <w:endnote w:type="continuationSeparator" w:id="0">
    <w:p w14:paraId="1D0311A7" w14:textId="77777777" w:rsidR="003319A3" w:rsidRDefault="003319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Helvetica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1A288F" w14:textId="739DC6E3" w:rsidR="00B225FC" w:rsidRDefault="00B225FC">
    <w:pPr>
      <w:pBdr>
        <w:top w:val="nil"/>
        <w:left w:val="nil"/>
        <w:bottom w:val="nil"/>
        <w:right w:val="nil"/>
        <w:between w:val="nil"/>
      </w:pBdr>
      <w:tabs>
        <w:tab w:val="center" w:pos="4513"/>
        <w:tab w:val="right" w:pos="9026"/>
      </w:tabs>
      <w:spacing w:after="0" w:line="240" w:lineRule="auto"/>
      <w:jc w:val="right"/>
      <w:rPr>
        <w:color w:val="000000"/>
      </w:rPr>
    </w:pPr>
  </w:p>
  <w:p w14:paraId="6792DF39" w14:textId="77777777" w:rsidR="00B225FC" w:rsidRDefault="00B225FC">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18F23F" w14:textId="77777777" w:rsidR="003319A3" w:rsidRDefault="003319A3">
      <w:pPr>
        <w:spacing w:after="0" w:line="240" w:lineRule="auto"/>
      </w:pPr>
      <w:r>
        <w:separator/>
      </w:r>
    </w:p>
  </w:footnote>
  <w:footnote w:type="continuationSeparator" w:id="0">
    <w:p w14:paraId="7C94BFB7" w14:textId="77777777" w:rsidR="003319A3" w:rsidRDefault="003319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41FE83" w14:textId="5B4F5394" w:rsidR="00346B4E" w:rsidRPr="00346B4E" w:rsidRDefault="0015025E" w:rsidP="00346B4E">
    <w:pPr>
      <w:jc w:val="right"/>
      <w:rPr>
        <w:b/>
        <w:color w:val="7F7F7F" w:themeColor="text1" w:themeTint="80"/>
      </w:rPr>
    </w:pPr>
    <w:r>
      <w:rPr>
        <w:b/>
        <w:color w:val="7F7F7F" w:themeColor="text1" w:themeTint="8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442A5"/>
    <w:multiLevelType w:val="hybridMultilevel"/>
    <w:tmpl w:val="0E1A36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606143C"/>
    <w:multiLevelType w:val="hybridMultilevel"/>
    <w:tmpl w:val="C5F020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4F32F3"/>
    <w:multiLevelType w:val="hybridMultilevel"/>
    <w:tmpl w:val="C9E635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AB80A5E"/>
    <w:multiLevelType w:val="hybridMultilevel"/>
    <w:tmpl w:val="7B90CFC8"/>
    <w:lvl w:ilvl="0" w:tplc="66C85E20">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AF82EFD"/>
    <w:multiLevelType w:val="hybridMultilevel"/>
    <w:tmpl w:val="C7B4DA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3087AAC"/>
    <w:multiLevelType w:val="hybridMultilevel"/>
    <w:tmpl w:val="DD267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A36A92"/>
    <w:multiLevelType w:val="hybridMultilevel"/>
    <w:tmpl w:val="76C4C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F642024"/>
    <w:multiLevelType w:val="hybridMultilevel"/>
    <w:tmpl w:val="423099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54717D"/>
    <w:multiLevelType w:val="hybridMultilevel"/>
    <w:tmpl w:val="A55AE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8A3258"/>
    <w:multiLevelType w:val="hybridMultilevel"/>
    <w:tmpl w:val="1B4E09CE"/>
    <w:lvl w:ilvl="0" w:tplc="9B966388">
      <w:start w:val="1"/>
      <w:numFmt w:val="bullet"/>
      <w:lvlText w:val=""/>
      <w:lvlJc w:val="left"/>
      <w:pPr>
        <w:ind w:left="720" w:hanging="360"/>
      </w:pPr>
      <w:rPr>
        <w:rFonts w:ascii="Wingdings 2" w:hAnsi="Wingdings 2"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252910"/>
    <w:multiLevelType w:val="hybridMultilevel"/>
    <w:tmpl w:val="0BF86E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6732233"/>
    <w:multiLevelType w:val="hybridMultilevel"/>
    <w:tmpl w:val="7E5AA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28E096A"/>
    <w:multiLevelType w:val="hybridMultilevel"/>
    <w:tmpl w:val="379A6BCC"/>
    <w:lvl w:ilvl="0" w:tplc="0E8447D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30732F7"/>
    <w:multiLevelType w:val="hybridMultilevel"/>
    <w:tmpl w:val="FC6C4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1"/>
  </w:num>
  <w:num w:numId="4">
    <w:abstractNumId w:val="4"/>
  </w:num>
  <w:num w:numId="5">
    <w:abstractNumId w:val="6"/>
  </w:num>
  <w:num w:numId="6">
    <w:abstractNumId w:val="10"/>
  </w:num>
  <w:num w:numId="7">
    <w:abstractNumId w:val="13"/>
  </w:num>
  <w:num w:numId="8">
    <w:abstractNumId w:val="3"/>
  </w:num>
  <w:num w:numId="9">
    <w:abstractNumId w:val="5"/>
  </w:num>
  <w:num w:numId="10">
    <w:abstractNumId w:val="12"/>
  </w:num>
  <w:num w:numId="11">
    <w:abstractNumId w:val="8"/>
  </w:num>
  <w:num w:numId="12">
    <w:abstractNumId w:val="9"/>
  </w:num>
  <w:num w:numId="13">
    <w:abstractNumId w:val="1"/>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8"/>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5FC"/>
    <w:rsid w:val="000372FC"/>
    <w:rsid w:val="000A586C"/>
    <w:rsid w:val="0011210B"/>
    <w:rsid w:val="0015025E"/>
    <w:rsid w:val="00183EB4"/>
    <w:rsid w:val="001C5EAF"/>
    <w:rsid w:val="001E6A97"/>
    <w:rsid w:val="00276017"/>
    <w:rsid w:val="00326F89"/>
    <w:rsid w:val="00331646"/>
    <w:rsid w:val="003319A3"/>
    <w:rsid w:val="00336784"/>
    <w:rsid w:val="00344CD1"/>
    <w:rsid w:val="00346B4E"/>
    <w:rsid w:val="003619AC"/>
    <w:rsid w:val="003B29F4"/>
    <w:rsid w:val="003D2CC9"/>
    <w:rsid w:val="00404D45"/>
    <w:rsid w:val="00495F75"/>
    <w:rsid w:val="004F0DEF"/>
    <w:rsid w:val="00505A92"/>
    <w:rsid w:val="0051418A"/>
    <w:rsid w:val="0058427D"/>
    <w:rsid w:val="00584CF0"/>
    <w:rsid w:val="005E3C05"/>
    <w:rsid w:val="00751CD9"/>
    <w:rsid w:val="00762C62"/>
    <w:rsid w:val="007C7CB8"/>
    <w:rsid w:val="007E2A0D"/>
    <w:rsid w:val="008609DC"/>
    <w:rsid w:val="008E7010"/>
    <w:rsid w:val="00967039"/>
    <w:rsid w:val="009F52C7"/>
    <w:rsid w:val="00A21008"/>
    <w:rsid w:val="00A6255F"/>
    <w:rsid w:val="00AA061F"/>
    <w:rsid w:val="00B225FC"/>
    <w:rsid w:val="00B850CE"/>
    <w:rsid w:val="00D82DF9"/>
    <w:rsid w:val="00DB7E74"/>
    <w:rsid w:val="00EB3760"/>
    <w:rsid w:val="00EC3A51"/>
    <w:rsid w:val="00F213D9"/>
    <w:rsid w:val="00FB3B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786A0"/>
  <w15:docId w15:val="{DE059ADD-8463-47EF-8F9C-F95268C6A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346B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6B4E"/>
  </w:style>
  <w:style w:type="paragraph" w:styleId="Footer">
    <w:name w:val="footer"/>
    <w:basedOn w:val="Normal"/>
    <w:link w:val="FooterChar"/>
    <w:uiPriority w:val="99"/>
    <w:unhideWhenUsed/>
    <w:rsid w:val="00346B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6B4E"/>
  </w:style>
  <w:style w:type="paragraph" w:styleId="ListParagraph">
    <w:name w:val="List Paragraph"/>
    <w:basedOn w:val="Normal"/>
    <w:uiPriority w:val="34"/>
    <w:qFormat/>
    <w:rsid w:val="00336784"/>
    <w:pPr>
      <w:ind w:left="720"/>
      <w:contextualSpacing/>
    </w:pPr>
  </w:style>
  <w:style w:type="table" w:styleId="TableGrid">
    <w:name w:val="Table Grid"/>
    <w:basedOn w:val="TableNormal"/>
    <w:uiPriority w:val="39"/>
    <w:rsid w:val="003619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51418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751CD9"/>
    <w:rPr>
      <w:sz w:val="16"/>
      <w:szCs w:val="16"/>
    </w:rPr>
  </w:style>
  <w:style w:type="paragraph" w:styleId="CommentText">
    <w:name w:val="annotation text"/>
    <w:basedOn w:val="Normal"/>
    <w:link w:val="CommentTextChar"/>
    <w:uiPriority w:val="99"/>
    <w:unhideWhenUsed/>
    <w:rsid w:val="00751CD9"/>
    <w:pPr>
      <w:spacing w:after="160" w:line="240" w:lineRule="auto"/>
    </w:pPr>
    <w:rPr>
      <w:rFonts w:asciiTheme="minorHAnsi" w:eastAsiaTheme="minorHAnsi" w:hAnsiTheme="minorHAnsi" w:cstheme="minorBidi"/>
      <w:sz w:val="20"/>
      <w:szCs w:val="20"/>
      <w:lang w:val="en-GB" w:eastAsia="en-US"/>
    </w:rPr>
  </w:style>
  <w:style w:type="character" w:customStyle="1" w:styleId="CommentTextChar">
    <w:name w:val="Comment Text Char"/>
    <w:basedOn w:val="DefaultParagraphFont"/>
    <w:link w:val="CommentText"/>
    <w:uiPriority w:val="99"/>
    <w:rsid w:val="00751CD9"/>
    <w:rPr>
      <w:rFonts w:asciiTheme="minorHAnsi" w:eastAsiaTheme="minorHAnsi" w:hAnsiTheme="minorHAnsi" w:cstheme="minorBidi"/>
      <w:sz w:val="20"/>
      <w:szCs w:val="20"/>
      <w:lang w:val="en-GB" w:eastAsia="en-US"/>
    </w:rPr>
  </w:style>
  <w:style w:type="paragraph" w:customStyle="1" w:styleId="EndNoteBibliography">
    <w:name w:val="EndNote Bibliography"/>
    <w:basedOn w:val="Normal"/>
    <w:link w:val="EndNoteBibliographyChar"/>
    <w:rsid w:val="00DB7E74"/>
    <w:pPr>
      <w:spacing w:after="160" w:line="240" w:lineRule="auto"/>
    </w:pPr>
    <w:rPr>
      <w:rFonts w:eastAsiaTheme="minorHAnsi"/>
      <w:noProof/>
      <w:lang w:eastAsia="en-US"/>
    </w:rPr>
  </w:style>
  <w:style w:type="character" w:customStyle="1" w:styleId="EndNoteBibliographyChar">
    <w:name w:val="EndNote Bibliography Char"/>
    <w:basedOn w:val="DefaultParagraphFont"/>
    <w:link w:val="EndNoteBibliography"/>
    <w:rsid w:val="00DB7E74"/>
    <w:rPr>
      <w:rFonts w:eastAsiaTheme="minorHAnsi"/>
      <w:noProof/>
      <w:lang w:eastAsia="en-US"/>
    </w:rPr>
  </w:style>
  <w:style w:type="character" w:customStyle="1" w:styleId="highwire-citation-authors">
    <w:name w:val="highwire-citation-authors"/>
    <w:basedOn w:val="DefaultParagraphFont"/>
    <w:rsid w:val="00344CD1"/>
  </w:style>
  <w:style w:type="character" w:customStyle="1" w:styleId="highwire-citation-author">
    <w:name w:val="highwire-citation-author"/>
    <w:basedOn w:val="DefaultParagraphFont"/>
    <w:rsid w:val="00344CD1"/>
  </w:style>
  <w:style w:type="character" w:customStyle="1" w:styleId="nlm-surname">
    <w:name w:val="nlm-surname"/>
    <w:basedOn w:val="DefaultParagraphFont"/>
    <w:rsid w:val="00344CD1"/>
  </w:style>
  <w:style w:type="character" w:customStyle="1" w:styleId="citation-et">
    <w:name w:val="citation-et"/>
    <w:basedOn w:val="DefaultParagraphFont"/>
    <w:rsid w:val="00344CD1"/>
  </w:style>
  <w:style w:type="character" w:customStyle="1" w:styleId="highwire-cite-metadata-journal">
    <w:name w:val="highwire-cite-metadata-journal"/>
    <w:basedOn w:val="DefaultParagraphFont"/>
    <w:rsid w:val="00344CD1"/>
  </w:style>
  <w:style w:type="character" w:customStyle="1" w:styleId="highwire-cite-metadata-year">
    <w:name w:val="highwire-cite-metadata-year"/>
    <w:basedOn w:val="DefaultParagraphFont"/>
    <w:rsid w:val="00344CD1"/>
  </w:style>
  <w:style w:type="character" w:customStyle="1" w:styleId="highwire-cite-metadata-volume">
    <w:name w:val="highwire-cite-metadata-volume"/>
    <w:basedOn w:val="DefaultParagraphFont"/>
    <w:rsid w:val="00344CD1"/>
  </w:style>
  <w:style w:type="character" w:customStyle="1" w:styleId="highwire-cite-metadata-pages">
    <w:name w:val="highwire-cite-metadata-pages"/>
    <w:basedOn w:val="DefaultParagraphFont"/>
    <w:rsid w:val="00344C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24332959">
      <w:bodyDiv w:val="1"/>
      <w:marLeft w:val="0"/>
      <w:marRight w:val="0"/>
      <w:marTop w:val="0"/>
      <w:marBottom w:val="0"/>
      <w:divBdr>
        <w:top w:val="none" w:sz="0" w:space="0" w:color="auto"/>
        <w:left w:val="none" w:sz="0" w:space="0" w:color="auto"/>
        <w:bottom w:val="none" w:sz="0" w:space="0" w:color="auto"/>
        <w:right w:val="none" w:sz="0" w:space="0" w:color="auto"/>
      </w:divBdr>
      <w:divsChild>
        <w:div w:id="602538788">
          <w:marLeft w:val="0"/>
          <w:marRight w:val="0"/>
          <w:marTop w:val="0"/>
          <w:marBottom w:val="0"/>
          <w:divBdr>
            <w:top w:val="none" w:sz="0" w:space="0" w:color="auto"/>
            <w:left w:val="none" w:sz="0" w:space="0" w:color="auto"/>
            <w:bottom w:val="none" w:sz="0" w:space="0" w:color="auto"/>
            <w:right w:val="none" w:sz="0" w:space="0" w:color="auto"/>
          </w:divBdr>
        </w:div>
        <w:div w:id="2023046248">
          <w:marLeft w:val="0"/>
          <w:marRight w:val="0"/>
          <w:marTop w:val="0"/>
          <w:marBottom w:val="0"/>
          <w:divBdr>
            <w:top w:val="none" w:sz="0" w:space="0" w:color="auto"/>
            <w:left w:val="none" w:sz="0" w:space="0" w:color="auto"/>
            <w:bottom w:val="none" w:sz="0" w:space="0" w:color="auto"/>
            <w:right w:val="none" w:sz="0" w:space="0" w:color="auto"/>
          </w:divBdr>
        </w:div>
        <w:div w:id="2826679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1244</Words>
  <Characters>7097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Hawkes, Sarah</cp:lastModifiedBy>
  <cp:revision>2</cp:revision>
  <dcterms:created xsi:type="dcterms:W3CDTF">2021-06-07T17:07:00Z</dcterms:created>
  <dcterms:modified xsi:type="dcterms:W3CDTF">2021-06-07T17:07:00Z</dcterms:modified>
</cp:coreProperties>
</file>