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00B" w:rsidRPr="00A53637" w:rsidRDefault="009B200B" w:rsidP="009B200B">
      <w:pPr>
        <w:jc w:val="center"/>
        <w:rPr>
          <w:b/>
        </w:rPr>
      </w:pPr>
      <w:r w:rsidRPr="00A53637">
        <w:rPr>
          <w:b/>
        </w:rPr>
        <w:t>The individual, place, and wellbeing – a network analysis</w:t>
      </w:r>
    </w:p>
    <w:p w:rsidR="009B200B" w:rsidRPr="00A53637" w:rsidRDefault="009B200B" w:rsidP="009B200B">
      <w:pPr>
        <w:rPr>
          <w:b/>
        </w:rPr>
      </w:pPr>
    </w:p>
    <w:p w:rsidR="009B200B" w:rsidRPr="00A53637" w:rsidRDefault="009B200B" w:rsidP="009B200B">
      <w:pPr>
        <w:jc w:val="center"/>
      </w:pPr>
    </w:p>
    <w:p w:rsidR="009B200B" w:rsidRPr="00A53637" w:rsidRDefault="009B200B" w:rsidP="009B200B">
      <w:pPr>
        <w:jc w:val="center"/>
      </w:pPr>
    </w:p>
    <w:p w:rsidR="00D92A43" w:rsidRPr="00A53637" w:rsidRDefault="009B200B" w:rsidP="009B200B">
      <w:pPr>
        <w:jc w:val="center"/>
      </w:pPr>
      <w:r w:rsidRPr="00A53637">
        <w:t>Supplementary materials</w:t>
      </w:r>
    </w:p>
    <w:p w:rsidR="009B200B" w:rsidRPr="00A53637" w:rsidRDefault="009B200B" w:rsidP="009B200B">
      <w:pPr>
        <w:jc w:val="center"/>
      </w:pPr>
    </w:p>
    <w:p w:rsidR="0093429C" w:rsidRPr="00A53637" w:rsidRDefault="0093429C">
      <w:pPr>
        <w:spacing w:after="160" w:line="259" w:lineRule="auto"/>
      </w:pPr>
    </w:p>
    <w:sdt>
      <w:sdtPr>
        <w:rPr>
          <w:rFonts w:ascii="Arial" w:eastAsiaTheme="minorHAnsi" w:hAnsi="Arial" w:cs="Arial"/>
          <w:color w:val="auto"/>
          <w:sz w:val="24"/>
          <w:szCs w:val="24"/>
          <w:lang w:val="en-GB"/>
        </w:rPr>
        <w:id w:val="-1698922374"/>
        <w:docPartObj>
          <w:docPartGallery w:val="Table of Contents"/>
          <w:docPartUnique/>
        </w:docPartObj>
      </w:sdtPr>
      <w:sdtEndPr>
        <w:rPr>
          <w:b/>
          <w:bCs/>
          <w:noProof/>
        </w:rPr>
      </w:sdtEndPr>
      <w:sdtContent>
        <w:p w:rsidR="00693F1F" w:rsidRPr="00A53637" w:rsidRDefault="00693F1F">
          <w:pPr>
            <w:pStyle w:val="TOCHeading"/>
            <w:rPr>
              <w:rFonts w:ascii="Arial" w:hAnsi="Arial" w:cs="Arial"/>
            </w:rPr>
          </w:pPr>
          <w:r w:rsidRPr="00A53637">
            <w:rPr>
              <w:rFonts w:ascii="Arial" w:hAnsi="Arial" w:cs="Arial"/>
            </w:rPr>
            <w:t>Contents</w:t>
          </w:r>
        </w:p>
        <w:p w:rsidR="000F33F4" w:rsidRDefault="00693F1F">
          <w:pPr>
            <w:pStyle w:val="TOC2"/>
            <w:tabs>
              <w:tab w:val="right" w:leader="dot" w:pos="9016"/>
            </w:tabs>
            <w:rPr>
              <w:rFonts w:asciiTheme="minorHAnsi" w:eastAsiaTheme="minorEastAsia" w:hAnsiTheme="minorHAnsi" w:cstheme="minorBidi"/>
              <w:noProof/>
              <w:sz w:val="22"/>
              <w:szCs w:val="22"/>
              <w:lang w:eastAsia="en-GB"/>
            </w:rPr>
          </w:pPr>
          <w:r w:rsidRPr="00A53637">
            <w:fldChar w:fldCharType="begin"/>
          </w:r>
          <w:r w:rsidRPr="00A53637">
            <w:instrText xml:space="preserve"> TOC \o "1-3" \h \z \u </w:instrText>
          </w:r>
          <w:r w:rsidRPr="00A53637">
            <w:fldChar w:fldCharType="separate"/>
          </w:r>
          <w:hyperlink w:anchor="_Toc63702553" w:history="1">
            <w:r w:rsidR="000F33F4" w:rsidRPr="00B00425">
              <w:rPr>
                <w:rStyle w:val="Hyperlink"/>
                <w:noProof/>
              </w:rPr>
              <w:t>Methods S1. Description of edge weight accuracy and centrality stability</w:t>
            </w:r>
            <w:r w:rsidR="000F33F4">
              <w:rPr>
                <w:noProof/>
                <w:webHidden/>
              </w:rPr>
              <w:tab/>
            </w:r>
            <w:r w:rsidR="000F33F4">
              <w:rPr>
                <w:noProof/>
                <w:webHidden/>
              </w:rPr>
              <w:fldChar w:fldCharType="begin"/>
            </w:r>
            <w:r w:rsidR="000F33F4">
              <w:rPr>
                <w:noProof/>
                <w:webHidden/>
              </w:rPr>
              <w:instrText xml:space="preserve"> PAGEREF _Toc63702553 \h </w:instrText>
            </w:r>
            <w:r w:rsidR="000F33F4">
              <w:rPr>
                <w:noProof/>
                <w:webHidden/>
              </w:rPr>
            </w:r>
            <w:r w:rsidR="000F33F4">
              <w:rPr>
                <w:noProof/>
                <w:webHidden/>
              </w:rPr>
              <w:fldChar w:fldCharType="separate"/>
            </w:r>
            <w:r w:rsidR="000F33F4">
              <w:rPr>
                <w:noProof/>
                <w:webHidden/>
              </w:rPr>
              <w:t>2</w:t>
            </w:r>
            <w:r w:rsidR="000F33F4">
              <w:rPr>
                <w:noProof/>
                <w:webHidden/>
              </w:rPr>
              <w:fldChar w:fldCharType="end"/>
            </w:r>
          </w:hyperlink>
        </w:p>
        <w:p w:rsidR="000F33F4" w:rsidRDefault="000F33F4">
          <w:pPr>
            <w:pStyle w:val="TOC2"/>
            <w:tabs>
              <w:tab w:val="right" w:leader="dot" w:pos="9016"/>
            </w:tabs>
            <w:rPr>
              <w:rFonts w:asciiTheme="minorHAnsi" w:eastAsiaTheme="minorEastAsia" w:hAnsiTheme="minorHAnsi" w:cstheme="minorBidi"/>
              <w:noProof/>
              <w:sz w:val="22"/>
              <w:szCs w:val="22"/>
              <w:lang w:eastAsia="en-GB"/>
            </w:rPr>
          </w:pPr>
          <w:hyperlink w:anchor="_Toc63702554" w:history="1">
            <w:r w:rsidRPr="00B00425">
              <w:rPr>
                <w:rStyle w:val="Hyperlink"/>
                <w:noProof/>
              </w:rPr>
              <w:t>Methods S2. Statement regarding licence of SWENWEBS</w:t>
            </w:r>
            <w:r>
              <w:rPr>
                <w:noProof/>
                <w:webHidden/>
              </w:rPr>
              <w:tab/>
            </w:r>
            <w:r>
              <w:rPr>
                <w:noProof/>
                <w:webHidden/>
              </w:rPr>
              <w:fldChar w:fldCharType="begin"/>
            </w:r>
            <w:r>
              <w:rPr>
                <w:noProof/>
                <w:webHidden/>
              </w:rPr>
              <w:instrText xml:space="preserve"> PAGEREF _Toc63702554 \h </w:instrText>
            </w:r>
            <w:r>
              <w:rPr>
                <w:noProof/>
                <w:webHidden/>
              </w:rPr>
            </w:r>
            <w:r>
              <w:rPr>
                <w:noProof/>
                <w:webHidden/>
              </w:rPr>
              <w:fldChar w:fldCharType="separate"/>
            </w:r>
            <w:r>
              <w:rPr>
                <w:noProof/>
                <w:webHidden/>
              </w:rPr>
              <w:t>3</w:t>
            </w:r>
            <w:r>
              <w:rPr>
                <w:noProof/>
                <w:webHidden/>
              </w:rPr>
              <w:fldChar w:fldCharType="end"/>
            </w:r>
          </w:hyperlink>
        </w:p>
        <w:p w:rsidR="000F33F4" w:rsidRDefault="000F33F4">
          <w:pPr>
            <w:pStyle w:val="TOC2"/>
            <w:tabs>
              <w:tab w:val="right" w:leader="dot" w:pos="9016"/>
            </w:tabs>
            <w:rPr>
              <w:rFonts w:asciiTheme="minorHAnsi" w:eastAsiaTheme="minorEastAsia" w:hAnsiTheme="minorHAnsi" w:cstheme="minorBidi"/>
              <w:noProof/>
              <w:sz w:val="22"/>
              <w:szCs w:val="22"/>
              <w:lang w:eastAsia="en-GB"/>
            </w:rPr>
          </w:pPr>
          <w:hyperlink w:anchor="_Toc63702555" w:history="1">
            <w:r w:rsidRPr="00B00425">
              <w:rPr>
                <w:rStyle w:val="Hyperlink"/>
                <w:noProof/>
              </w:rPr>
              <w:t>Figure S1. Results from edge weight accuracy and strength stability tests.</w:t>
            </w:r>
            <w:r>
              <w:rPr>
                <w:noProof/>
                <w:webHidden/>
              </w:rPr>
              <w:tab/>
            </w:r>
            <w:r>
              <w:rPr>
                <w:noProof/>
                <w:webHidden/>
              </w:rPr>
              <w:fldChar w:fldCharType="begin"/>
            </w:r>
            <w:r>
              <w:rPr>
                <w:noProof/>
                <w:webHidden/>
              </w:rPr>
              <w:instrText xml:space="preserve"> PAGEREF _Toc63702555 \h </w:instrText>
            </w:r>
            <w:r>
              <w:rPr>
                <w:noProof/>
                <w:webHidden/>
              </w:rPr>
            </w:r>
            <w:r>
              <w:rPr>
                <w:noProof/>
                <w:webHidden/>
              </w:rPr>
              <w:fldChar w:fldCharType="separate"/>
            </w:r>
            <w:r>
              <w:rPr>
                <w:noProof/>
                <w:webHidden/>
              </w:rPr>
              <w:t>4</w:t>
            </w:r>
            <w:r>
              <w:rPr>
                <w:noProof/>
                <w:webHidden/>
              </w:rPr>
              <w:fldChar w:fldCharType="end"/>
            </w:r>
          </w:hyperlink>
        </w:p>
        <w:p w:rsidR="000F33F4" w:rsidRDefault="000F33F4">
          <w:pPr>
            <w:pStyle w:val="TOC2"/>
            <w:tabs>
              <w:tab w:val="right" w:leader="dot" w:pos="9016"/>
            </w:tabs>
            <w:rPr>
              <w:rFonts w:asciiTheme="minorHAnsi" w:eastAsiaTheme="minorEastAsia" w:hAnsiTheme="minorHAnsi" w:cstheme="minorBidi"/>
              <w:noProof/>
              <w:sz w:val="22"/>
              <w:szCs w:val="22"/>
              <w:lang w:eastAsia="en-GB"/>
            </w:rPr>
          </w:pPr>
          <w:hyperlink w:anchor="_Toc63702556" w:history="1">
            <w:r w:rsidRPr="00B00425">
              <w:rPr>
                <w:rStyle w:val="Hyperlink"/>
                <w:noProof/>
              </w:rPr>
              <w:t>Figure S2. Network visualisation including demographic factors as nodes.</w:t>
            </w:r>
            <w:r>
              <w:rPr>
                <w:noProof/>
                <w:webHidden/>
              </w:rPr>
              <w:tab/>
            </w:r>
            <w:r>
              <w:rPr>
                <w:noProof/>
                <w:webHidden/>
              </w:rPr>
              <w:fldChar w:fldCharType="begin"/>
            </w:r>
            <w:r>
              <w:rPr>
                <w:noProof/>
                <w:webHidden/>
              </w:rPr>
              <w:instrText xml:space="preserve"> PAGEREF _Toc63702556 \h </w:instrText>
            </w:r>
            <w:r>
              <w:rPr>
                <w:noProof/>
                <w:webHidden/>
              </w:rPr>
            </w:r>
            <w:r>
              <w:rPr>
                <w:noProof/>
                <w:webHidden/>
              </w:rPr>
              <w:fldChar w:fldCharType="separate"/>
            </w:r>
            <w:r>
              <w:rPr>
                <w:noProof/>
                <w:webHidden/>
              </w:rPr>
              <w:t>5</w:t>
            </w:r>
            <w:r>
              <w:rPr>
                <w:noProof/>
                <w:webHidden/>
              </w:rPr>
              <w:fldChar w:fldCharType="end"/>
            </w:r>
          </w:hyperlink>
        </w:p>
        <w:p w:rsidR="000F33F4" w:rsidRDefault="000F33F4">
          <w:pPr>
            <w:pStyle w:val="TOC2"/>
            <w:tabs>
              <w:tab w:val="right" w:leader="dot" w:pos="9016"/>
            </w:tabs>
            <w:rPr>
              <w:rFonts w:asciiTheme="minorHAnsi" w:eastAsiaTheme="minorEastAsia" w:hAnsiTheme="minorHAnsi" w:cstheme="minorBidi"/>
              <w:noProof/>
              <w:sz w:val="22"/>
              <w:szCs w:val="22"/>
              <w:lang w:eastAsia="en-GB"/>
            </w:rPr>
          </w:pPr>
          <w:hyperlink w:anchor="_Toc63702557" w:history="1">
            <w:r w:rsidRPr="00B00425">
              <w:rPr>
                <w:rStyle w:val="Hyperlink"/>
                <w:noProof/>
              </w:rPr>
              <w:t>Figure S3. Strength values of full network including demographic covariates.</w:t>
            </w:r>
            <w:r>
              <w:rPr>
                <w:noProof/>
                <w:webHidden/>
              </w:rPr>
              <w:tab/>
            </w:r>
            <w:r>
              <w:rPr>
                <w:noProof/>
                <w:webHidden/>
              </w:rPr>
              <w:fldChar w:fldCharType="begin"/>
            </w:r>
            <w:r>
              <w:rPr>
                <w:noProof/>
                <w:webHidden/>
              </w:rPr>
              <w:instrText xml:space="preserve"> PAGEREF _Toc63702557 \h </w:instrText>
            </w:r>
            <w:r>
              <w:rPr>
                <w:noProof/>
                <w:webHidden/>
              </w:rPr>
            </w:r>
            <w:r>
              <w:rPr>
                <w:noProof/>
                <w:webHidden/>
              </w:rPr>
              <w:fldChar w:fldCharType="separate"/>
            </w:r>
            <w:r>
              <w:rPr>
                <w:noProof/>
                <w:webHidden/>
              </w:rPr>
              <w:t>6</w:t>
            </w:r>
            <w:r>
              <w:rPr>
                <w:noProof/>
                <w:webHidden/>
              </w:rPr>
              <w:fldChar w:fldCharType="end"/>
            </w:r>
          </w:hyperlink>
        </w:p>
        <w:p w:rsidR="000F33F4" w:rsidRDefault="000F33F4">
          <w:pPr>
            <w:pStyle w:val="TOC2"/>
            <w:tabs>
              <w:tab w:val="right" w:leader="dot" w:pos="9016"/>
            </w:tabs>
            <w:rPr>
              <w:rFonts w:asciiTheme="minorHAnsi" w:eastAsiaTheme="minorEastAsia" w:hAnsiTheme="minorHAnsi" w:cstheme="minorBidi"/>
              <w:noProof/>
              <w:sz w:val="22"/>
              <w:szCs w:val="22"/>
              <w:lang w:eastAsia="en-GB"/>
            </w:rPr>
          </w:pPr>
          <w:hyperlink w:anchor="_Toc63702558" w:history="1">
            <w:r w:rsidRPr="00B00425">
              <w:rPr>
                <w:rStyle w:val="Hyperlink"/>
                <w:rFonts w:eastAsia="Times New Roman"/>
                <w:noProof/>
                <w:lang w:eastAsia="en-GB"/>
              </w:rPr>
              <w:t>Table S2. Nonzero-edges connected to overall wellbeing node</w:t>
            </w:r>
            <w:r>
              <w:rPr>
                <w:noProof/>
                <w:webHidden/>
              </w:rPr>
              <w:tab/>
            </w:r>
            <w:r>
              <w:rPr>
                <w:noProof/>
                <w:webHidden/>
              </w:rPr>
              <w:fldChar w:fldCharType="begin"/>
            </w:r>
            <w:r>
              <w:rPr>
                <w:noProof/>
                <w:webHidden/>
              </w:rPr>
              <w:instrText xml:space="preserve"> PAGEREF _Toc63702558 \h </w:instrText>
            </w:r>
            <w:r>
              <w:rPr>
                <w:noProof/>
                <w:webHidden/>
              </w:rPr>
            </w:r>
            <w:r>
              <w:rPr>
                <w:noProof/>
                <w:webHidden/>
              </w:rPr>
              <w:fldChar w:fldCharType="separate"/>
            </w:r>
            <w:r>
              <w:rPr>
                <w:noProof/>
                <w:webHidden/>
              </w:rPr>
              <w:t>7</w:t>
            </w:r>
            <w:r>
              <w:rPr>
                <w:noProof/>
                <w:webHidden/>
              </w:rPr>
              <w:fldChar w:fldCharType="end"/>
            </w:r>
          </w:hyperlink>
        </w:p>
        <w:p w:rsidR="000F33F4" w:rsidRDefault="000F33F4">
          <w:pPr>
            <w:pStyle w:val="TOC2"/>
            <w:tabs>
              <w:tab w:val="right" w:leader="dot" w:pos="9016"/>
            </w:tabs>
            <w:rPr>
              <w:rFonts w:asciiTheme="minorHAnsi" w:eastAsiaTheme="minorEastAsia" w:hAnsiTheme="minorHAnsi" w:cstheme="minorBidi"/>
              <w:noProof/>
              <w:sz w:val="22"/>
              <w:szCs w:val="22"/>
              <w:lang w:eastAsia="en-GB"/>
            </w:rPr>
          </w:pPr>
          <w:hyperlink w:anchor="_Toc63702559" w:history="1">
            <w:r w:rsidRPr="00B00425">
              <w:rPr>
                <w:rStyle w:val="Hyperlink"/>
                <w:rFonts w:eastAsia="Times New Roman"/>
                <w:noProof/>
                <w:lang w:eastAsia="en-GB"/>
              </w:rPr>
              <w:t>Table S3. Nonzero-edges connected to specific wellbeing nodes</w:t>
            </w:r>
            <w:r>
              <w:rPr>
                <w:noProof/>
                <w:webHidden/>
              </w:rPr>
              <w:tab/>
            </w:r>
            <w:r>
              <w:rPr>
                <w:noProof/>
                <w:webHidden/>
              </w:rPr>
              <w:fldChar w:fldCharType="begin"/>
            </w:r>
            <w:r>
              <w:rPr>
                <w:noProof/>
                <w:webHidden/>
              </w:rPr>
              <w:instrText xml:space="preserve"> PAGEREF _Toc63702559 \h </w:instrText>
            </w:r>
            <w:r>
              <w:rPr>
                <w:noProof/>
                <w:webHidden/>
              </w:rPr>
            </w:r>
            <w:r>
              <w:rPr>
                <w:noProof/>
                <w:webHidden/>
              </w:rPr>
              <w:fldChar w:fldCharType="separate"/>
            </w:r>
            <w:r>
              <w:rPr>
                <w:noProof/>
                <w:webHidden/>
              </w:rPr>
              <w:t>8</w:t>
            </w:r>
            <w:r>
              <w:rPr>
                <w:noProof/>
                <w:webHidden/>
              </w:rPr>
              <w:fldChar w:fldCharType="end"/>
            </w:r>
          </w:hyperlink>
        </w:p>
        <w:p w:rsidR="00693F1F" w:rsidRPr="00A53637" w:rsidRDefault="00693F1F">
          <w:r w:rsidRPr="00A53637">
            <w:rPr>
              <w:b/>
              <w:bCs/>
              <w:noProof/>
            </w:rPr>
            <w:fldChar w:fldCharType="end"/>
          </w:r>
        </w:p>
      </w:sdtContent>
    </w:sdt>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pPr>
        <w:spacing w:after="160" w:line="259" w:lineRule="auto"/>
      </w:pPr>
    </w:p>
    <w:p w:rsidR="0093429C" w:rsidRPr="00A53637" w:rsidRDefault="0093429C" w:rsidP="00AC69E9">
      <w:pPr>
        <w:pStyle w:val="Heading2"/>
        <w:rPr>
          <w:rFonts w:ascii="Arial" w:hAnsi="Arial" w:cs="Arial"/>
        </w:rPr>
      </w:pPr>
      <w:bookmarkStart w:id="0" w:name="_Toc63702553"/>
      <w:r w:rsidRPr="00A53637">
        <w:rPr>
          <w:rFonts w:ascii="Arial" w:hAnsi="Arial" w:cs="Arial"/>
        </w:rPr>
        <w:t>Methods S1. Description of edge weight accuracy and centrality stability</w:t>
      </w:r>
      <w:bookmarkEnd w:id="0"/>
    </w:p>
    <w:p w:rsidR="00A53637" w:rsidRDefault="00AC69E9" w:rsidP="00693F1F">
      <w:pPr>
        <w:spacing w:after="160" w:line="480" w:lineRule="auto"/>
      </w:pPr>
      <w:r w:rsidRPr="00A53637">
        <w:t>Edge weight accuracy refers to the degree of confidence with which we can interpret the ranking of the edge weights (strongest to weakest). To assess the accuracy of the networks, bootstrapped 95% confidence intervals (CIs) were calculated for each edge, and the results plotted. A lack of overlap between confidence intervals indicates a significant difference in the strength of two edges (</w:t>
      </w:r>
      <w:proofErr w:type="spellStart"/>
      <w:r w:rsidRPr="00A53637">
        <w:t>Epskamp</w:t>
      </w:r>
      <w:proofErr w:type="spellEnd"/>
      <w:r w:rsidRPr="00A53637">
        <w:t xml:space="preserve">, </w:t>
      </w:r>
      <w:proofErr w:type="spellStart"/>
      <w:r w:rsidRPr="00A53637">
        <w:t>Borsboom</w:t>
      </w:r>
      <w:proofErr w:type="spellEnd"/>
      <w:r w:rsidRPr="00A53637">
        <w:t>, &amp; Fried, 2018). Centrality stability refers to the reliability of the rank ordering of the centrality indices. This was examined using the case-dropping subset bootstrap method (</w:t>
      </w:r>
      <w:proofErr w:type="spellStart"/>
      <w:r w:rsidRPr="00A53637">
        <w:t>Epskamp</w:t>
      </w:r>
      <w:proofErr w:type="spellEnd"/>
      <w:r w:rsidRPr="00A53637">
        <w:t xml:space="preserve">, </w:t>
      </w:r>
      <w:proofErr w:type="spellStart"/>
      <w:r w:rsidRPr="00A53637">
        <w:t>Borsboom</w:t>
      </w:r>
      <w:proofErr w:type="spellEnd"/>
      <w:r w:rsidRPr="00A53637">
        <w:t>, &amp; Fried, 2018); networks were re-estimated using increasingly smaller subsets of the original sample, and correlations between the original centrality indices and the subset centrality indices were calculated. A small-to-moderate decrease in correlation as participants are removed suggests that the order of centrality is relatively stable/reliable. This can be quantified in the form of the correlation stability coefficient, with values above 0.7 deemed to reflect high centrality reliability, and values between 0.25 and 0.7 denoting moderate reliability (</w:t>
      </w:r>
      <w:proofErr w:type="spellStart"/>
      <w:r w:rsidRPr="00A53637">
        <w:t>Epskamp</w:t>
      </w:r>
      <w:proofErr w:type="spellEnd"/>
      <w:r w:rsidRPr="00A53637">
        <w:t xml:space="preserve">, </w:t>
      </w:r>
      <w:proofErr w:type="spellStart"/>
      <w:r w:rsidRPr="00A53637">
        <w:t>Borsboom</w:t>
      </w:r>
      <w:proofErr w:type="spellEnd"/>
      <w:r w:rsidRPr="00A53637">
        <w:t>, &amp; Fried, 2018). Accuracy and reliability analyses were conducted using the R package ‘</w:t>
      </w:r>
      <w:proofErr w:type="spellStart"/>
      <w:r w:rsidRPr="00A53637">
        <w:t>bootnet</w:t>
      </w:r>
      <w:proofErr w:type="spellEnd"/>
      <w:r w:rsidRPr="00A53637">
        <w:t>’, based on 5,000 bootstrapped samples (</w:t>
      </w:r>
      <w:proofErr w:type="spellStart"/>
      <w:r w:rsidRPr="00A53637">
        <w:t>Epskamp</w:t>
      </w:r>
      <w:proofErr w:type="spellEnd"/>
      <w:r w:rsidRPr="00A53637">
        <w:t xml:space="preserve">, </w:t>
      </w:r>
      <w:proofErr w:type="spellStart"/>
      <w:r w:rsidRPr="00A53637">
        <w:t>Borsboom</w:t>
      </w:r>
      <w:proofErr w:type="spellEnd"/>
      <w:r w:rsidRPr="00A53637">
        <w:t>, &amp; Fried, 2018).</w:t>
      </w:r>
    </w:p>
    <w:p w:rsidR="005316CB" w:rsidRDefault="005316CB" w:rsidP="00693F1F">
      <w:pPr>
        <w:spacing w:after="160" w:line="480" w:lineRule="auto"/>
      </w:pPr>
    </w:p>
    <w:p w:rsidR="005316CB" w:rsidRPr="00A53637" w:rsidRDefault="005316CB" w:rsidP="00693F1F">
      <w:pPr>
        <w:spacing w:after="160" w:line="480" w:lineRule="auto"/>
      </w:pPr>
    </w:p>
    <w:p w:rsidR="00A53637" w:rsidRPr="00A53637" w:rsidRDefault="00A53637" w:rsidP="00693F1F">
      <w:pPr>
        <w:spacing w:after="160" w:line="480" w:lineRule="auto"/>
      </w:pPr>
    </w:p>
    <w:p w:rsidR="00A53637" w:rsidRPr="00A53637" w:rsidRDefault="00A53637" w:rsidP="00693F1F">
      <w:pPr>
        <w:spacing w:after="160" w:line="480" w:lineRule="auto"/>
      </w:pPr>
    </w:p>
    <w:p w:rsidR="00A53637" w:rsidRPr="00A53637" w:rsidRDefault="00A53637" w:rsidP="00693F1F">
      <w:pPr>
        <w:spacing w:after="160" w:line="480" w:lineRule="auto"/>
      </w:pPr>
    </w:p>
    <w:p w:rsidR="005316CB" w:rsidRPr="00A53637" w:rsidRDefault="005316CB" w:rsidP="005316CB">
      <w:pPr>
        <w:pStyle w:val="Heading2"/>
        <w:rPr>
          <w:rFonts w:ascii="Arial" w:hAnsi="Arial" w:cs="Arial"/>
        </w:rPr>
      </w:pPr>
      <w:bookmarkStart w:id="1" w:name="_Toc63702554"/>
      <w:r w:rsidRPr="00A53637">
        <w:rPr>
          <w:rFonts w:ascii="Arial" w:hAnsi="Arial" w:cs="Arial"/>
        </w:rPr>
        <w:t>Methods S</w:t>
      </w:r>
      <w:r>
        <w:rPr>
          <w:rFonts w:ascii="Arial" w:hAnsi="Arial" w:cs="Arial"/>
        </w:rPr>
        <w:t>2</w:t>
      </w:r>
      <w:r w:rsidRPr="00A53637">
        <w:rPr>
          <w:rFonts w:ascii="Arial" w:hAnsi="Arial" w:cs="Arial"/>
        </w:rPr>
        <w:t xml:space="preserve">. </w:t>
      </w:r>
      <w:r>
        <w:rPr>
          <w:rFonts w:ascii="Arial" w:hAnsi="Arial" w:cs="Arial"/>
        </w:rPr>
        <w:t>Statement regarding licence of SWENWEBS</w:t>
      </w:r>
      <w:bookmarkEnd w:id="1"/>
      <w:r>
        <w:rPr>
          <w:rFonts w:ascii="Arial" w:hAnsi="Arial" w:cs="Arial"/>
        </w:rPr>
        <w:t xml:space="preserve">  </w:t>
      </w:r>
    </w:p>
    <w:p w:rsidR="005316CB" w:rsidRDefault="005316CB" w:rsidP="005316CB">
      <w:pPr>
        <w:spacing w:after="160" w:line="480" w:lineRule="auto"/>
      </w:pPr>
    </w:p>
    <w:p w:rsidR="005316CB" w:rsidRDefault="005316CB" w:rsidP="005316CB">
      <w:pPr>
        <w:spacing w:after="160" w:line="480" w:lineRule="auto"/>
      </w:pPr>
      <w:r>
        <w:t xml:space="preserve">The SWEMWBS is free to use if permission is sought from (https://warwick.ac.uk/fac/sci/med/research/platform/wemwbs/using), which was received by the </w:t>
      </w:r>
      <w:r w:rsidRPr="005316CB">
        <w:t>NIHR CLAHRC NWC</w:t>
      </w:r>
      <w:r>
        <w:t xml:space="preserve"> in 2015. SWEMWBS is protected by copyright:</w:t>
      </w:r>
    </w:p>
    <w:p w:rsidR="00A53637" w:rsidRPr="00A53637" w:rsidRDefault="005316CB" w:rsidP="005316CB">
      <w:pPr>
        <w:spacing w:after="160" w:line="480" w:lineRule="auto"/>
        <w:sectPr w:rsidR="00A53637" w:rsidRPr="00A53637">
          <w:pgSz w:w="11906" w:h="16838"/>
          <w:pgMar w:top="1440" w:right="1440" w:bottom="1440" w:left="1440" w:header="708" w:footer="708" w:gutter="0"/>
          <w:cols w:space="708"/>
          <w:docGrid w:linePitch="360"/>
        </w:sectPr>
      </w:pPr>
      <w:r>
        <w:t xml:space="preserve"> “Short Warwick Edinburgh Mental Wellbeing Scale (SWEMWBS) © NHS Health Scotland, University of Warwick and University of Edinburgh, 2008, all rights reserved.”</w:t>
      </w:r>
    </w:p>
    <w:p w:rsidR="00A53637" w:rsidRPr="00A53637" w:rsidRDefault="00A53637" w:rsidP="00A53637">
      <w:r w:rsidRPr="00A53637">
        <w:rPr>
          <w:noProof/>
          <w:lang w:eastAsia="en-GB"/>
        </w:rPr>
        <w:lastRenderedPageBreak/>
        <w:drawing>
          <wp:inline distT="0" distB="0" distL="0" distR="0" wp14:anchorId="3C18A1B6" wp14:editId="18009E75">
            <wp:extent cx="5153025" cy="4087275"/>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4918" cy="4112572"/>
                    </a:xfrm>
                    <a:prstGeom prst="rect">
                      <a:avLst/>
                    </a:prstGeom>
                    <a:noFill/>
                  </pic:spPr>
                </pic:pic>
              </a:graphicData>
            </a:graphic>
          </wp:inline>
        </w:drawing>
      </w:r>
    </w:p>
    <w:p w:rsidR="00A53637" w:rsidRPr="00A53637" w:rsidRDefault="00A53637" w:rsidP="00A53637">
      <w:bookmarkStart w:id="2" w:name="_Toc63702555"/>
      <w:r w:rsidRPr="00A53637">
        <w:rPr>
          <w:rStyle w:val="Heading2Char"/>
          <w:rFonts w:ascii="Arial" w:hAnsi="Arial" w:cs="Arial"/>
        </w:rPr>
        <w:t>Figure S1. Results from edge weight accuracy and strength stability tests.</w:t>
      </w:r>
      <w:bookmarkEnd w:id="2"/>
      <w:r w:rsidRPr="00A53637">
        <w:t xml:space="preserve"> Correlation stability coefficients all above recommended value of 0.7. Panel A = overlapping confidence intervals in network with overall wellbeing score node. Panel B = overlapping confidence intervals in network with individual SWEMWBS items. Panel C = correlation of centrality measures from random subsets with those of full sample (overall wellbeing node). Panel D = correlation of centrality measures from random subsets with those of full sample (individual SWEMWBS items). </w:t>
      </w:r>
    </w:p>
    <w:p w:rsidR="009B200B" w:rsidRPr="00A53637" w:rsidRDefault="009B200B" w:rsidP="00693F1F">
      <w:pPr>
        <w:spacing w:after="160" w:line="480" w:lineRule="auto"/>
      </w:pPr>
      <w:r w:rsidRPr="00A53637">
        <w:br w:type="page"/>
      </w:r>
    </w:p>
    <w:p w:rsidR="0093429C" w:rsidRPr="00A53637" w:rsidRDefault="0093429C" w:rsidP="009B200B">
      <w:pPr>
        <w:sectPr w:rsidR="0093429C" w:rsidRPr="00A53637" w:rsidSect="00A53637">
          <w:pgSz w:w="16838" w:h="11906" w:orient="landscape"/>
          <w:pgMar w:top="1440" w:right="1440" w:bottom="1440" w:left="1440" w:header="708" w:footer="708" w:gutter="0"/>
          <w:cols w:space="708"/>
          <w:docGrid w:linePitch="360"/>
        </w:sectPr>
      </w:pPr>
    </w:p>
    <w:p w:rsidR="009B200B" w:rsidRPr="00A53637" w:rsidRDefault="0093429C" w:rsidP="009B200B">
      <w:r w:rsidRPr="00A53637">
        <w:rPr>
          <w:noProof/>
          <w:lang w:eastAsia="en-GB"/>
        </w:rPr>
        <w:lastRenderedPageBreak/>
        <w:drawing>
          <wp:inline distT="0" distB="0" distL="0" distR="0" wp14:anchorId="068C3C16" wp14:editId="4CE9CD44">
            <wp:extent cx="7410450" cy="48947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1799" t="17727" r="25050" b="8116"/>
                    <a:stretch/>
                  </pic:blipFill>
                  <pic:spPr bwMode="auto">
                    <a:xfrm>
                      <a:off x="0" y="0"/>
                      <a:ext cx="7432512" cy="4909371"/>
                    </a:xfrm>
                    <a:prstGeom prst="rect">
                      <a:avLst/>
                    </a:prstGeom>
                    <a:ln>
                      <a:noFill/>
                    </a:ln>
                    <a:extLst>
                      <a:ext uri="{53640926-AAD7-44D8-BBD7-CCE9431645EC}">
                        <a14:shadowObscured xmlns:a14="http://schemas.microsoft.com/office/drawing/2010/main"/>
                      </a:ext>
                    </a:extLst>
                  </pic:spPr>
                </pic:pic>
              </a:graphicData>
            </a:graphic>
          </wp:inline>
        </w:drawing>
      </w:r>
    </w:p>
    <w:p w:rsidR="00693F1F" w:rsidRPr="00A53637" w:rsidRDefault="0093429C" w:rsidP="00AC69E9">
      <w:pPr>
        <w:pStyle w:val="Heading2"/>
        <w:rPr>
          <w:rFonts w:ascii="Arial" w:hAnsi="Arial" w:cs="Arial"/>
        </w:rPr>
      </w:pPr>
      <w:bookmarkStart w:id="3" w:name="_Toc63702556"/>
      <w:r w:rsidRPr="00A53637">
        <w:rPr>
          <w:rFonts w:ascii="Arial" w:hAnsi="Arial" w:cs="Arial"/>
        </w:rPr>
        <w:t>Figure S</w:t>
      </w:r>
      <w:r w:rsidR="00A53637" w:rsidRPr="00A53637">
        <w:rPr>
          <w:rFonts w:ascii="Arial" w:hAnsi="Arial" w:cs="Arial"/>
        </w:rPr>
        <w:t>2</w:t>
      </w:r>
      <w:r w:rsidRPr="00A53637">
        <w:rPr>
          <w:rFonts w:ascii="Arial" w:hAnsi="Arial" w:cs="Arial"/>
        </w:rPr>
        <w:t>. Network visualisation including demographic factors as nodes.</w:t>
      </w:r>
      <w:bookmarkEnd w:id="3"/>
      <w:r w:rsidRPr="00A53637">
        <w:rPr>
          <w:rFonts w:ascii="Arial" w:hAnsi="Arial" w:cs="Arial"/>
        </w:rPr>
        <w:t xml:space="preserve"> </w:t>
      </w:r>
    </w:p>
    <w:p w:rsidR="00693F1F" w:rsidRPr="00A53637" w:rsidRDefault="00693F1F">
      <w:pPr>
        <w:spacing w:after="160" w:line="259" w:lineRule="auto"/>
        <w:rPr>
          <w:rFonts w:eastAsiaTheme="majorEastAsia"/>
          <w:color w:val="2E74B5" w:themeColor="accent1" w:themeShade="BF"/>
          <w:sz w:val="26"/>
          <w:szCs w:val="26"/>
        </w:rPr>
      </w:pPr>
      <w:r w:rsidRPr="00A53637">
        <w:br w:type="page"/>
      </w:r>
    </w:p>
    <w:p w:rsidR="00693F1F" w:rsidRPr="00A53637" w:rsidRDefault="00693F1F" w:rsidP="00693F1F">
      <w:r w:rsidRPr="00A53637">
        <w:rPr>
          <w:noProof/>
          <w:lang w:eastAsia="en-GB"/>
        </w:rPr>
        <w:lastRenderedPageBreak/>
        <w:drawing>
          <wp:inline distT="0" distB="0" distL="0" distR="0" wp14:anchorId="76D22DD7" wp14:editId="05C64615">
            <wp:extent cx="5173067" cy="507682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741" t="12993" r="33049" b="6381"/>
                    <a:stretch/>
                  </pic:blipFill>
                  <pic:spPr bwMode="auto">
                    <a:xfrm>
                      <a:off x="0" y="0"/>
                      <a:ext cx="5175756" cy="5079464"/>
                    </a:xfrm>
                    <a:prstGeom prst="rect">
                      <a:avLst/>
                    </a:prstGeom>
                    <a:ln>
                      <a:noFill/>
                    </a:ln>
                    <a:extLst>
                      <a:ext uri="{53640926-AAD7-44D8-BBD7-CCE9431645EC}">
                        <a14:shadowObscured xmlns:a14="http://schemas.microsoft.com/office/drawing/2010/main"/>
                      </a:ext>
                    </a:extLst>
                  </pic:spPr>
                </pic:pic>
              </a:graphicData>
            </a:graphic>
          </wp:inline>
        </w:drawing>
      </w:r>
    </w:p>
    <w:p w:rsidR="00693F1F" w:rsidRPr="00A53637" w:rsidRDefault="00693F1F" w:rsidP="00693F1F">
      <w:pPr>
        <w:pStyle w:val="Heading2"/>
        <w:rPr>
          <w:rFonts w:ascii="Arial" w:hAnsi="Arial" w:cs="Arial"/>
        </w:rPr>
      </w:pPr>
      <w:bookmarkStart w:id="4" w:name="_Toc63702557"/>
      <w:r w:rsidRPr="00A53637">
        <w:rPr>
          <w:rFonts w:ascii="Arial" w:hAnsi="Arial" w:cs="Arial"/>
        </w:rPr>
        <w:t>Figure S</w:t>
      </w:r>
      <w:r w:rsidR="00A53637" w:rsidRPr="00A53637">
        <w:rPr>
          <w:rFonts w:ascii="Arial" w:hAnsi="Arial" w:cs="Arial"/>
        </w:rPr>
        <w:t>3</w:t>
      </w:r>
      <w:r w:rsidRPr="00A53637">
        <w:rPr>
          <w:rFonts w:ascii="Arial" w:hAnsi="Arial" w:cs="Arial"/>
        </w:rPr>
        <w:t>. Strength values of full network including demographic covariates.</w:t>
      </w:r>
      <w:bookmarkEnd w:id="4"/>
      <w:r w:rsidRPr="00A53637">
        <w:rPr>
          <w:rFonts w:ascii="Arial" w:hAnsi="Arial" w:cs="Arial"/>
        </w:rPr>
        <w:t xml:space="preserve"> </w:t>
      </w:r>
    </w:p>
    <w:p w:rsidR="00B249D0" w:rsidRDefault="00B249D0" w:rsidP="00A53637"/>
    <w:tbl>
      <w:tblPr>
        <w:tblW w:w="10348" w:type="dxa"/>
        <w:tblLayout w:type="fixed"/>
        <w:tblLook w:val="04A0" w:firstRow="1" w:lastRow="0" w:firstColumn="1" w:lastColumn="0" w:noHBand="0" w:noVBand="1"/>
      </w:tblPr>
      <w:tblGrid>
        <w:gridCol w:w="6521"/>
        <w:gridCol w:w="2551"/>
        <w:gridCol w:w="1276"/>
      </w:tblGrid>
      <w:tr w:rsidR="00855006" w:rsidRPr="00E170CA" w:rsidTr="00EA274F">
        <w:trPr>
          <w:trHeight w:val="330"/>
        </w:trPr>
        <w:tc>
          <w:tcPr>
            <w:tcW w:w="9072" w:type="dxa"/>
            <w:gridSpan w:val="2"/>
            <w:tcBorders>
              <w:top w:val="nil"/>
              <w:left w:val="nil"/>
              <w:bottom w:val="single" w:sz="8" w:space="0" w:color="auto"/>
              <w:right w:val="nil"/>
            </w:tcBorders>
            <w:shd w:val="clear" w:color="auto" w:fill="auto"/>
            <w:noWrap/>
            <w:vAlign w:val="center"/>
            <w:hideMark/>
          </w:tcPr>
          <w:p w:rsidR="00855006" w:rsidRPr="00E170CA" w:rsidRDefault="00855006" w:rsidP="00855006">
            <w:pPr>
              <w:pStyle w:val="Heading2"/>
              <w:rPr>
                <w:rFonts w:eastAsia="Times New Roman"/>
                <w:lang w:eastAsia="en-GB"/>
              </w:rPr>
            </w:pPr>
            <w:bookmarkStart w:id="5" w:name="_Toc63702558"/>
            <w:r w:rsidRPr="00E170CA">
              <w:rPr>
                <w:rFonts w:eastAsia="Times New Roman"/>
                <w:lang w:eastAsia="en-GB"/>
              </w:rPr>
              <w:lastRenderedPageBreak/>
              <w:t xml:space="preserve">Table </w:t>
            </w:r>
            <w:r>
              <w:rPr>
                <w:rFonts w:eastAsia="Times New Roman"/>
                <w:lang w:eastAsia="en-GB"/>
              </w:rPr>
              <w:t>S2</w:t>
            </w:r>
            <w:r w:rsidRPr="00E170CA">
              <w:rPr>
                <w:rFonts w:eastAsia="Times New Roman"/>
                <w:lang w:eastAsia="en-GB"/>
              </w:rPr>
              <w:t>. Nonzero-edges connected to overall wellbeing node</w:t>
            </w:r>
            <w:bookmarkEnd w:id="5"/>
            <w:r w:rsidRPr="00E170CA">
              <w:rPr>
                <w:rFonts w:eastAsia="Times New Roman"/>
                <w:lang w:eastAsia="en-GB"/>
              </w:rPr>
              <w:t xml:space="preserve"> </w:t>
            </w:r>
          </w:p>
        </w:tc>
        <w:tc>
          <w:tcPr>
            <w:tcW w:w="1276" w:type="dxa"/>
            <w:tcBorders>
              <w:top w:val="nil"/>
              <w:left w:val="nil"/>
              <w:bottom w:val="single" w:sz="8" w:space="0" w:color="auto"/>
              <w:right w:val="nil"/>
            </w:tcBorders>
            <w:shd w:val="clear" w:color="auto" w:fill="auto"/>
            <w:noWrap/>
            <w:vAlign w:val="center"/>
            <w:hideMark/>
          </w:tcPr>
          <w:p w:rsidR="00855006" w:rsidRPr="00E170CA" w:rsidRDefault="00855006" w:rsidP="00855006">
            <w:pPr>
              <w:rPr>
                <w:rFonts w:eastAsia="Times New Roman"/>
                <w:b/>
                <w:bCs/>
                <w:color w:val="000000"/>
                <w:lang w:eastAsia="en-GB"/>
              </w:rPr>
            </w:pPr>
            <w:r w:rsidRPr="00E170CA">
              <w:rPr>
                <w:rFonts w:eastAsia="Times New Roman"/>
                <w:b/>
                <w:bCs/>
                <w:color w:val="000000"/>
                <w:lang w:eastAsia="en-GB"/>
              </w:rPr>
              <w:t> </w:t>
            </w:r>
          </w:p>
        </w:tc>
      </w:tr>
      <w:tr w:rsidR="00855006" w:rsidRPr="00E170CA" w:rsidTr="00EA274F">
        <w:trPr>
          <w:trHeight w:val="330"/>
        </w:trPr>
        <w:tc>
          <w:tcPr>
            <w:tcW w:w="6521" w:type="dxa"/>
            <w:tcBorders>
              <w:top w:val="nil"/>
              <w:left w:val="nil"/>
              <w:bottom w:val="single" w:sz="8" w:space="0" w:color="auto"/>
              <w:right w:val="nil"/>
            </w:tcBorders>
            <w:shd w:val="clear" w:color="auto" w:fill="auto"/>
            <w:noWrap/>
            <w:vAlign w:val="center"/>
            <w:hideMark/>
          </w:tcPr>
          <w:p w:rsidR="00855006" w:rsidRPr="00E170CA" w:rsidRDefault="00855006" w:rsidP="00855006">
            <w:pPr>
              <w:rPr>
                <w:rFonts w:eastAsia="Times New Roman"/>
                <w:b/>
                <w:bCs/>
                <w:color w:val="000000"/>
                <w:lang w:eastAsia="en-GB"/>
              </w:rPr>
            </w:pPr>
            <w:r w:rsidRPr="00E170CA">
              <w:rPr>
                <w:rFonts w:eastAsia="Times New Roman"/>
                <w:b/>
                <w:bCs/>
                <w:color w:val="000000"/>
                <w:lang w:eastAsia="en-GB"/>
              </w:rPr>
              <w:t>Node</w:t>
            </w:r>
          </w:p>
        </w:tc>
        <w:tc>
          <w:tcPr>
            <w:tcW w:w="2551" w:type="dxa"/>
            <w:tcBorders>
              <w:top w:val="nil"/>
              <w:left w:val="nil"/>
              <w:bottom w:val="single" w:sz="8" w:space="0" w:color="auto"/>
              <w:right w:val="nil"/>
            </w:tcBorders>
            <w:shd w:val="clear" w:color="auto" w:fill="auto"/>
            <w:noWrap/>
            <w:vAlign w:val="center"/>
            <w:hideMark/>
          </w:tcPr>
          <w:p w:rsidR="00855006" w:rsidRPr="00E170CA" w:rsidRDefault="00855006" w:rsidP="00855006">
            <w:pPr>
              <w:rPr>
                <w:rFonts w:eastAsia="Times New Roman"/>
                <w:b/>
                <w:bCs/>
                <w:color w:val="000000"/>
                <w:lang w:eastAsia="en-GB"/>
              </w:rPr>
            </w:pPr>
            <w:r w:rsidRPr="00E170CA">
              <w:rPr>
                <w:rFonts w:eastAsia="Times New Roman"/>
                <w:b/>
                <w:bCs/>
                <w:color w:val="000000"/>
                <w:lang w:eastAsia="en-GB"/>
              </w:rPr>
              <w:t>Characteristic type</w:t>
            </w:r>
          </w:p>
        </w:tc>
        <w:tc>
          <w:tcPr>
            <w:tcW w:w="1276" w:type="dxa"/>
            <w:tcBorders>
              <w:top w:val="nil"/>
              <w:left w:val="nil"/>
              <w:bottom w:val="single" w:sz="8" w:space="0" w:color="auto"/>
              <w:right w:val="nil"/>
            </w:tcBorders>
            <w:shd w:val="clear" w:color="auto" w:fill="auto"/>
            <w:noWrap/>
            <w:vAlign w:val="center"/>
            <w:hideMark/>
          </w:tcPr>
          <w:p w:rsidR="00855006" w:rsidRPr="00E170CA" w:rsidRDefault="00855006" w:rsidP="00855006">
            <w:pPr>
              <w:rPr>
                <w:rFonts w:eastAsia="Times New Roman"/>
                <w:b/>
                <w:bCs/>
                <w:color w:val="000000"/>
                <w:lang w:eastAsia="en-GB"/>
              </w:rPr>
            </w:pPr>
            <w:r w:rsidRPr="00E170CA">
              <w:rPr>
                <w:rFonts w:eastAsia="Times New Roman"/>
                <w:b/>
                <w:bCs/>
                <w:color w:val="000000"/>
                <w:lang w:eastAsia="en-GB"/>
              </w:rPr>
              <w:t>Weight</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Finances (0 = Doing well/getting by; 1 = struggling)</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Individual</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-0.30</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Pr>
                <w:rFonts w:eastAsia="Times New Roman"/>
                <w:color w:val="000000"/>
                <w:lang w:eastAsia="en-GB"/>
              </w:rPr>
              <w:t>Subjective</w:t>
            </w:r>
            <w:r w:rsidRPr="00E170CA">
              <w:rPr>
                <w:rFonts w:eastAsia="Times New Roman"/>
                <w:color w:val="000000"/>
                <w:lang w:eastAsia="en-GB"/>
              </w:rPr>
              <w:t xml:space="preserve"> health (higher = better self-reported health)</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Individual</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0.29</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Social support/friendships (higher = more support)</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Individual</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0.09</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Greenspace usage (higher = more usage)</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Place</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0.08</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Marital status (0 = married; 1 = else)</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Individual</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-0.06</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Housing condition (higher = greater disrepair)</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Place</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-0.06</w:t>
            </w:r>
          </w:p>
        </w:tc>
      </w:tr>
      <w:tr w:rsidR="00855006" w:rsidRPr="00E170CA" w:rsidTr="00EA274F">
        <w:trPr>
          <w:trHeight w:val="300"/>
        </w:trPr>
        <w:tc>
          <w:tcPr>
            <w:tcW w:w="652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Civic agency (0= no engagement; 1= engagement)</w:t>
            </w:r>
          </w:p>
        </w:tc>
        <w:tc>
          <w:tcPr>
            <w:tcW w:w="2551" w:type="dxa"/>
            <w:tcBorders>
              <w:top w:val="nil"/>
              <w:left w:val="nil"/>
              <w:bottom w:val="nil"/>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Place</w:t>
            </w:r>
          </w:p>
        </w:tc>
        <w:tc>
          <w:tcPr>
            <w:tcW w:w="1276" w:type="dxa"/>
            <w:tcBorders>
              <w:top w:val="nil"/>
              <w:left w:val="nil"/>
              <w:bottom w:val="nil"/>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0.05</w:t>
            </w:r>
          </w:p>
        </w:tc>
      </w:tr>
      <w:tr w:rsidR="00855006" w:rsidRPr="00E170CA" w:rsidTr="00EA274F">
        <w:trPr>
          <w:trHeight w:val="315"/>
        </w:trPr>
        <w:tc>
          <w:tcPr>
            <w:tcW w:w="6521" w:type="dxa"/>
            <w:tcBorders>
              <w:top w:val="nil"/>
              <w:left w:val="nil"/>
              <w:bottom w:val="single" w:sz="8" w:space="0" w:color="auto"/>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Neighbourhood cohesion (higher = greater cohesion)</w:t>
            </w:r>
          </w:p>
        </w:tc>
        <w:tc>
          <w:tcPr>
            <w:tcW w:w="2551" w:type="dxa"/>
            <w:tcBorders>
              <w:top w:val="nil"/>
              <w:left w:val="nil"/>
              <w:bottom w:val="single" w:sz="8" w:space="0" w:color="auto"/>
              <w:right w:val="nil"/>
            </w:tcBorders>
            <w:shd w:val="clear" w:color="auto" w:fill="auto"/>
            <w:noWrap/>
            <w:vAlign w:val="center"/>
            <w:hideMark/>
          </w:tcPr>
          <w:p w:rsidR="00855006" w:rsidRPr="00E170CA" w:rsidRDefault="00855006" w:rsidP="00855006">
            <w:pPr>
              <w:rPr>
                <w:rFonts w:eastAsia="Times New Roman"/>
                <w:color w:val="000000"/>
                <w:lang w:eastAsia="en-GB"/>
              </w:rPr>
            </w:pPr>
            <w:r w:rsidRPr="00E170CA">
              <w:rPr>
                <w:rFonts w:eastAsia="Times New Roman"/>
                <w:color w:val="000000"/>
                <w:lang w:eastAsia="en-GB"/>
              </w:rPr>
              <w:t>Place</w:t>
            </w:r>
          </w:p>
        </w:tc>
        <w:tc>
          <w:tcPr>
            <w:tcW w:w="1276" w:type="dxa"/>
            <w:tcBorders>
              <w:top w:val="nil"/>
              <w:left w:val="nil"/>
              <w:bottom w:val="single" w:sz="8" w:space="0" w:color="auto"/>
              <w:right w:val="nil"/>
            </w:tcBorders>
            <w:shd w:val="clear" w:color="auto" w:fill="auto"/>
            <w:noWrap/>
            <w:vAlign w:val="center"/>
            <w:hideMark/>
          </w:tcPr>
          <w:p w:rsidR="00855006" w:rsidRPr="00E170CA" w:rsidRDefault="00855006" w:rsidP="00855006">
            <w:pPr>
              <w:jc w:val="right"/>
              <w:rPr>
                <w:rFonts w:eastAsia="Times New Roman"/>
                <w:color w:val="000000"/>
                <w:lang w:eastAsia="en-GB"/>
              </w:rPr>
            </w:pPr>
            <w:r w:rsidRPr="00E170CA">
              <w:rPr>
                <w:rFonts w:eastAsia="Times New Roman"/>
                <w:color w:val="000000"/>
                <w:lang w:eastAsia="en-GB"/>
              </w:rPr>
              <w:t>0.05</w:t>
            </w:r>
          </w:p>
        </w:tc>
      </w:tr>
    </w:tbl>
    <w:p w:rsidR="00662169" w:rsidRDefault="00662169">
      <w:pPr>
        <w:spacing w:after="160" w:line="259" w:lineRule="auto"/>
      </w:pPr>
      <w:r w:rsidRPr="00662169">
        <w:rPr>
          <w:i/>
        </w:rPr>
        <w:t>Note</w:t>
      </w:r>
      <w:r>
        <w:t>. Edge weights are th</w:t>
      </w:r>
      <w:bookmarkStart w:id="6" w:name="_GoBack"/>
      <w:bookmarkEnd w:id="6"/>
      <w:r>
        <w:t xml:space="preserve">e arithmetic mean of regression coefficients between two nodes </w:t>
      </w:r>
    </w:p>
    <w:p w:rsidR="00855006" w:rsidRDefault="00662169">
      <w:pPr>
        <w:spacing w:after="160" w:line="259" w:lineRule="auto"/>
      </w:pPr>
      <w:r>
        <w:t>(</w:t>
      </w:r>
      <w:proofErr w:type="spellStart"/>
      <w:proofErr w:type="gramStart"/>
      <w:r>
        <w:t>e.g</w:t>
      </w:r>
      <w:proofErr w:type="spellEnd"/>
      <w:proofErr w:type="gramEnd"/>
      <w:r>
        <w:t xml:space="preserve"> mean of wellbeing </w:t>
      </w:r>
      <w:r>
        <w:sym w:font="Symbol" w:char="F0AE"/>
      </w:r>
      <w:r>
        <w:t xml:space="preserve"> finance and finance </w:t>
      </w:r>
      <w:r>
        <w:sym w:font="Symbol" w:char="F0AE"/>
      </w:r>
      <w:r>
        <w:t xml:space="preserve"> wellbeing)</w:t>
      </w:r>
      <w:r w:rsidR="00855006">
        <w:br w:type="page"/>
      </w:r>
    </w:p>
    <w:tbl>
      <w:tblPr>
        <w:tblW w:w="13951" w:type="dxa"/>
        <w:tblLook w:val="04A0" w:firstRow="1" w:lastRow="0" w:firstColumn="1" w:lastColumn="0" w:noHBand="0" w:noVBand="1"/>
      </w:tblPr>
      <w:tblGrid>
        <w:gridCol w:w="4962"/>
        <w:gridCol w:w="1837"/>
        <w:gridCol w:w="1418"/>
        <w:gridCol w:w="992"/>
        <w:gridCol w:w="1137"/>
        <w:gridCol w:w="1723"/>
        <w:gridCol w:w="1882"/>
      </w:tblGrid>
      <w:tr w:rsidR="00855006" w:rsidRPr="00855006" w:rsidTr="00EA274F">
        <w:trPr>
          <w:trHeight w:val="330"/>
        </w:trPr>
        <w:tc>
          <w:tcPr>
            <w:tcW w:w="13951" w:type="dxa"/>
            <w:gridSpan w:val="7"/>
            <w:tcBorders>
              <w:bottom w:val="single" w:sz="4" w:space="0" w:color="auto"/>
            </w:tcBorders>
            <w:shd w:val="clear" w:color="auto" w:fill="auto"/>
            <w:noWrap/>
            <w:vAlign w:val="center"/>
            <w:hideMark/>
          </w:tcPr>
          <w:p w:rsidR="00855006" w:rsidRPr="00855006" w:rsidRDefault="00855006" w:rsidP="00855006">
            <w:pPr>
              <w:pStyle w:val="Heading2"/>
              <w:rPr>
                <w:rFonts w:eastAsia="Times New Roman"/>
                <w:lang w:eastAsia="en-GB"/>
              </w:rPr>
            </w:pPr>
            <w:bookmarkStart w:id="7" w:name="_Toc63702559"/>
            <w:r w:rsidRPr="00855006">
              <w:rPr>
                <w:rFonts w:eastAsia="Times New Roman"/>
                <w:lang w:eastAsia="en-GB"/>
              </w:rPr>
              <w:lastRenderedPageBreak/>
              <w:t xml:space="preserve">Table </w:t>
            </w:r>
            <w:r>
              <w:rPr>
                <w:rFonts w:eastAsia="Times New Roman"/>
                <w:lang w:eastAsia="en-GB"/>
              </w:rPr>
              <w:t>S3</w:t>
            </w:r>
            <w:r w:rsidRPr="00855006">
              <w:rPr>
                <w:rFonts w:eastAsia="Times New Roman"/>
                <w:lang w:eastAsia="en-GB"/>
              </w:rPr>
              <w:t>. Nonzero-edges connected to specific wellbeing nodes</w:t>
            </w:r>
            <w:bookmarkEnd w:id="7"/>
            <w:r w:rsidRPr="00855006">
              <w:rPr>
                <w:rFonts w:eastAsia="Times New Roman"/>
                <w:lang w:eastAsia="en-GB"/>
              </w:rPr>
              <w:t xml:space="preserve"> </w:t>
            </w:r>
          </w:p>
        </w:tc>
      </w:tr>
      <w:tr w:rsidR="00855006" w:rsidRPr="00855006" w:rsidTr="00EA274F">
        <w:trPr>
          <w:trHeight w:val="300"/>
        </w:trPr>
        <w:tc>
          <w:tcPr>
            <w:tcW w:w="4962"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p>
        </w:tc>
        <w:tc>
          <w:tcPr>
            <w:tcW w:w="1837"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r w:rsidRPr="00855006">
              <w:rPr>
                <w:rFonts w:eastAsia="Times New Roman"/>
                <w:b/>
                <w:bCs/>
                <w:color w:val="000000"/>
                <w:lang w:eastAsia="en-GB"/>
              </w:rPr>
              <w:t>Characteristic type</w:t>
            </w:r>
          </w:p>
        </w:tc>
        <w:tc>
          <w:tcPr>
            <w:tcW w:w="1418"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r w:rsidRPr="00855006">
              <w:rPr>
                <w:rFonts w:eastAsia="Times New Roman"/>
                <w:b/>
                <w:bCs/>
                <w:color w:val="000000"/>
                <w:lang w:eastAsia="en-GB"/>
              </w:rPr>
              <w:t>Optimistic</w:t>
            </w:r>
          </w:p>
        </w:tc>
        <w:tc>
          <w:tcPr>
            <w:tcW w:w="992"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r w:rsidRPr="00855006">
              <w:rPr>
                <w:rFonts w:eastAsia="Times New Roman"/>
                <w:b/>
                <w:bCs/>
                <w:color w:val="000000"/>
                <w:lang w:eastAsia="en-GB"/>
              </w:rPr>
              <w:t>Useful</w:t>
            </w:r>
          </w:p>
        </w:tc>
        <w:tc>
          <w:tcPr>
            <w:tcW w:w="1137"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r w:rsidRPr="00855006">
              <w:rPr>
                <w:rFonts w:eastAsia="Times New Roman"/>
                <w:b/>
                <w:bCs/>
                <w:color w:val="000000"/>
                <w:lang w:eastAsia="en-GB"/>
              </w:rPr>
              <w:t>Relaxed</w:t>
            </w:r>
          </w:p>
        </w:tc>
        <w:tc>
          <w:tcPr>
            <w:tcW w:w="1723"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r w:rsidRPr="00855006">
              <w:rPr>
                <w:rFonts w:eastAsia="Times New Roman"/>
                <w:b/>
                <w:bCs/>
                <w:color w:val="000000"/>
                <w:lang w:eastAsia="en-GB"/>
              </w:rPr>
              <w:t>Dealing with problems</w:t>
            </w:r>
          </w:p>
        </w:tc>
        <w:tc>
          <w:tcPr>
            <w:tcW w:w="1882" w:type="dxa"/>
            <w:tcBorders>
              <w:top w:val="single" w:sz="4" w:space="0" w:color="auto"/>
              <w:bottom w:val="single" w:sz="4" w:space="0" w:color="auto"/>
            </w:tcBorders>
            <w:shd w:val="clear" w:color="auto" w:fill="auto"/>
            <w:noWrap/>
            <w:hideMark/>
          </w:tcPr>
          <w:p w:rsidR="00855006" w:rsidRPr="00855006" w:rsidRDefault="00855006" w:rsidP="00855006">
            <w:pPr>
              <w:rPr>
                <w:rFonts w:eastAsia="Times New Roman"/>
                <w:b/>
                <w:bCs/>
                <w:color w:val="000000"/>
                <w:lang w:eastAsia="en-GB"/>
              </w:rPr>
            </w:pPr>
            <w:r w:rsidRPr="00855006">
              <w:rPr>
                <w:rFonts w:eastAsia="Times New Roman"/>
                <w:b/>
                <w:bCs/>
                <w:color w:val="000000"/>
                <w:lang w:eastAsia="en-GB"/>
              </w:rPr>
              <w:t>Closeness</w:t>
            </w:r>
          </w:p>
        </w:tc>
      </w:tr>
      <w:tr w:rsidR="00855006" w:rsidRPr="00855006" w:rsidTr="00EA274F">
        <w:trPr>
          <w:trHeight w:val="300"/>
        </w:trPr>
        <w:tc>
          <w:tcPr>
            <w:tcW w:w="4962" w:type="dxa"/>
            <w:tcBorders>
              <w:top w:val="single" w:sz="4" w:space="0" w:color="auto"/>
            </w:tcBorders>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Employment (0 = currently employed; else = 1)</w:t>
            </w:r>
          </w:p>
        </w:tc>
        <w:tc>
          <w:tcPr>
            <w:tcW w:w="1837" w:type="dxa"/>
            <w:tcBorders>
              <w:top w:val="single" w:sz="4" w:space="0" w:color="auto"/>
            </w:tcBorders>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tcBorders>
              <w:top w:val="single" w:sz="4" w:space="0" w:color="auto"/>
            </w:tcBorders>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-0.03</w:t>
            </w:r>
          </w:p>
        </w:tc>
        <w:tc>
          <w:tcPr>
            <w:tcW w:w="992" w:type="dxa"/>
            <w:tcBorders>
              <w:top w:val="single" w:sz="4" w:space="0" w:color="auto"/>
            </w:tcBorders>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-0.06</w:t>
            </w:r>
          </w:p>
        </w:tc>
        <w:tc>
          <w:tcPr>
            <w:tcW w:w="1137" w:type="dxa"/>
            <w:tcBorders>
              <w:top w:val="single" w:sz="4" w:space="0" w:color="auto"/>
            </w:tcBorders>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-0.07</w:t>
            </w:r>
          </w:p>
        </w:tc>
        <w:tc>
          <w:tcPr>
            <w:tcW w:w="1723" w:type="dxa"/>
            <w:tcBorders>
              <w:top w:val="single" w:sz="4" w:space="0" w:color="auto"/>
            </w:tcBorders>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tcBorders>
              <w:top w:val="single" w:sz="4" w:space="0" w:color="auto"/>
            </w:tcBorders>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 xml:space="preserve">Religiosity (higher = greater religiosity) </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0.03</w:t>
            </w: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t>Marital status (0 = married; 1 = else)</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shd w:val="clear" w:color="auto" w:fill="auto"/>
            <w:noWrap/>
            <w:hideMark/>
          </w:tcPr>
          <w:p w:rsidR="00855006" w:rsidRPr="00855006" w:rsidRDefault="00855006" w:rsidP="00855006">
            <w:pPr>
              <w:jc w:val="right"/>
              <w:rPr>
                <w:rFonts w:eastAsia="Times New Roman"/>
                <w:color w:val="000000"/>
                <w:lang w:eastAsia="en-GB"/>
              </w:rPr>
            </w:pP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-0.08</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Education (0 = less than degree; 1 = degree)</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0.09</w:t>
            </w: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Caring responsibility (0 = none; 1 = 1+ hours per week)</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-0.05</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Social support/friendships (higher = more support)</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0.15</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Neighbourhood cohesiveness (higher = greater cohesion)</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Place</w:t>
            </w:r>
          </w:p>
        </w:tc>
        <w:tc>
          <w:tcPr>
            <w:tcW w:w="1418"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0.08</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Greenspace usage (higher = greater usage)</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Place</w:t>
            </w:r>
          </w:p>
        </w:tc>
        <w:tc>
          <w:tcPr>
            <w:tcW w:w="1418"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99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0.05</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0.03</w:t>
            </w:r>
          </w:p>
        </w:tc>
      </w:tr>
      <w:tr w:rsidR="00855006" w:rsidRPr="00855006" w:rsidTr="00EA274F">
        <w:trPr>
          <w:trHeight w:val="300"/>
        </w:trPr>
        <w:tc>
          <w:tcPr>
            <w:tcW w:w="4962"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Civic agency (0= no engagement; 1= engagement)</w:t>
            </w:r>
          </w:p>
        </w:tc>
        <w:tc>
          <w:tcPr>
            <w:tcW w:w="1837" w:type="dxa"/>
            <w:shd w:val="clear" w:color="auto" w:fill="auto"/>
            <w:noWrap/>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Place</w:t>
            </w:r>
          </w:p>
        </w:tc>
        <w:tc>
          <w:tcPr>
            <w:tcW w:w="1418"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0.09</w:t>
            </w:r>
          </w:p>
        </w:tc>
        <w:tc>
          <w:tcPr>
            <w:tcW w:w="99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723"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882" w:type="dxa"/>
            <w:shd w:val="clear" w:color="auto" w:fill="auto"/>
            <w:noWrap/>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r w:rsidR="00855006" w:rsidRPr="00855006" w:rsidTr="00EA274F">
        <w:trPr>
          <w:trHeight w:val="300"/>
        </w:trPr>
        <w:tc>
          <w:tcPr>
            <w:tcW w:w="4962" w:type="dxa"/>
            <w:shd w:val="clear" w:color="auto" w:fill="auto"/>
            <w:noWrap/>
            <w:vAlign w:val="bottom"/>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Struggling financially (0 = Doing well/getting by; 1 = struggling)</w:t>
            </w:r>
          </w:p>
        </w:tc>
        <w:tc>
          <w:tcPr>
            <w:tcW w:w="1837" w:type="dxa"/>
            <w:shd w:val="clear" w:color="auto" w:fill="auto"/>
            <w:noWrap/>
            <w:vAlign w:val="bottom"/>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shd w:val="clear" w:color="auto" w:fill="auto"/>
            <w:noWrap/>
            <w:vAlign w:val="bottom"/>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992" w:type="dxa"/>
            <w:shd w:val="clear" w:color="auto" w:fill="auto"/>
            <w:noWrap/>
            <w:vAlign w:val="bottom"/>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1137" w:type="dxa"/>
            <w:shd w:val="clear" w:color="auto" w:fill="auto"/>
            <w:noWrap/>
            <w:vAlign w:val="bottom"/>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-0.16</w:t>
            </w:r>
          </w:p>
        </w:tc>
        <w:tc>
          <w:tcPr>
            <w:tcW w:w="1723" w:type="dxa"/>
            <w:shd w:val="clear" w:color="auto" w:fill="auto"/>
            <w:noWrap/>
            <w:vAlign w:val="bottom"/>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-0.05</w:t>
            </w:r>
          </w:p>
        </w:tc>
        <w:tc>
          <w:tcPr>
            <w:tcW w:w="1882" w:type="dxa"/>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r w:rsidR="00855006" w:rsidRPr="00855006" w:rsidTr="00EA274F">
        <w:trPr>
          <w:trHeight w:val="300"/>
        </w:trPr>
        <w:tc>
          <w:tcPr>
            <w:tcW w:w="4962" w:type="dxa"/>
            <w:tcBorders>
              <w:bottom w:val="single" w:sz="4" w:space="0" w:color="auto"/>
            </w:tcBorders>
            <w:shd w:val="clear" w:color="auto" w:fill="auto"/>
            <w:noWrap/>
            <w:vAlign w:val="bottom"/>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lastRenderedPageBreak/>
              <w:t>Subjective health (higher = better self-reported health)</w:t>
            </w:r>
          </w:p>
        </w:tc>
        <w:tc>
          <w:tcPr>
            <w:tcW w:w="1837" w:type="dxa"/>
            <w:tcBorders>
              <w:bottom w:val="single" w:sz="4" w:space="0" w:color="auto"/>
            </w:tcBorders>
            <w:shd w:val="clear" w:color="auto" w:fill="auto"/>
            <w:noWrap/>
            <w:vAlign w:val="bottom"/>
            <w:hideMark/>
          </w:tcPr>
          <w:p w:rsidR="00855006" w:rsidRPr="00855006" w:rsidRDefault="00855006" w:rsidP="00855006">
            <w:pPr>
              <w:rPr>
                <w:rFonts w:eastAsia="Times New Roman"/>
                <w:color w:val="000000"/>
                <w:lang w:eastAsia="en-GB"/>
              </w:rPr>
            </w:pPr>
            <w:r w:rsidRPr="00855006">
              <w:rPr>
                <w:rFonts w:eastAsia="Times New Roman"/>
                <w:color w:val="000000"/>
                <w:lang w:eastAsia="en-GB"/>
              </w:rPr>
              <w:t>Individual</w:t>
            </w:r>
          </w:p>
        </w:tc>
        <w:tc>
          <w:tcPr>
            <w:tcW w:w="1418" w:type="dxa"/>
            <w:tcBorders>
              <w:bottom w:val="single" w:sz="4" w:space="0" w:color="auto"/>
            </w:tcBorders>
            <w:shd w:val="clear" w:color="auto" w:fill="auto"/>
            <w:noWrap/>
            <w:vAlign w:val="bottom"/>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c>
          <w:tcPr>
            <w:tcW w:w="992" w:type="dxa"/>
            <w:tcBorders>
              <w:bottom w:val="single" w:sz="4" w:space="0" w:color="auto"/>
            </w:tcBorders>
            <w:shd w:val="clear" w:color="auto" w:fill="auto"/>
            <w:noWrap/>
            <w:vAlign w:val="bottom"/>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0.11</w:t>
            </w:r>
          </w:p>
        </w:tc>
        <w:tc>
          <w:tcPr>
            <w:tcW w:w="1137" w:type="dxa"/>
            <w:tcBorders>
              <w:bottom w:val="single" w:sz="4" w:space="0" w:color="auto"/>
            </w:tcBorders>
            <w:shd w:val="clear" w:color="auto" w:fill="auto"/>
            <w:noWrap/>
            <w:vAlign w:val="bottom"/>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0.09</w:t>
            </w:r>
          </w:p>
        </w:tc>
        <w:tc>
          <w:tcPr>
            <w:tcW w:w="1723" w:type="dxa"/>
            <w:tcBorders>
              <w:bottom w:val="single" w:sz="4" w:space="0" w:color="auto"/>
            </w:tcBorders>
            <w:shd w:val="clear" w:color="auto" w:fill="auto"/>
            <w:noWrap/>
            <w:vAlign w:val="bottom"/>
            <w:hideMark/>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0.04</w:t>
            </w:r>
          </w:p>
        </w:tc>
        <w:tc>
          <w:tcPr>
            <w:tcW w:w="1882" w:type="dxa"/>
            <w:tcBorders>
              <w:bottom w:val="single" w:sz="4" w:space="0" w:color="auto"/>
            </w:tcBorders>
            <w:shd w:val="clear" w:color="auto" w:fill="auto"/>
            <w:noWrap/>
          </w:tcPr>
          <w:p w:rsidR="00855006" w:rsidRPr="00855006" w:rsidRDefault="00855006" w:rsidP="00855006">
            <w:pPr>
              <w:jc w:val="right"/>
              <w:rPr>
                <w:rFonts w:eastAsia="Times New Roman"/>
                <w:color w:val="000000"/>
                <w:lang w:eastAsia="en-GB"/>
              </w:rPr>
            </w:pPr>
            <w:r w:rsidRPr="00855006">
              <w:rPr>
                <w:rFonts w:eastAsia="Times New Roman"/>
                <w:color w:val="000000"/>
                <w:lang w:eastAsia="en-GB"/>
              </w:rPr>
              <w:t>-</w:t>
            </w:r>
          </w:p>
        </w:tc>
      </w:tr>
    </w:tbl>
    <w:p w:rsidR="00855006" w:rsidRDefault="00662169" w:rsidP="00662169">
      <w:pPr>
        <w:spacing w:after="160" w:line="259" w:lineRule="auto"/>
      </w:pPr>
      <w:r w:rsidRPr="00662169">
        <w:rPr>
          <w:i/>
        </w:rPr>
        <w:t>Note</w:t>
      </w:r>
      <w:r>
        <w:t>. Edge weight</w:t>
      </w:r>
      <w:r>
        <w:t>s</w:t>
      </w:r>
      <w:r>
        <w:t xml:space="preserve"> are the arithmetic mean of regression coefficients between two nodes</w:t>
      </w:r>
      <w:r>
        <w:t xml:space="preserve"> </w:t>
      </w:r>
      <w:r>
        <w:t>(</w:t>
      </w:r>
      <w:proofErr w:type="spellStart"/>
      <w:r>
        <w:t>e.g</w:t>
      </w:r>
      <w:proofErr w:type="spellEnd"/>
      <w:r>
        <w:t xml:space="preserve"> mean of </w:t>
      </w:r>
      <w:r>
        <w:t>employment</w:t>
      </w:r>
      <w:r>
        <w:t xml:space="preserve"> </w:t>
      </w:r>
      <w:r>
        <w:sym w:font="Symbol" w:char="F0AE"/>
      </w:r>
      <w:r>
        <w:t xml:space="preserve"> </w:t>
      </w:r>
      <w:r>
        <w:t>optimistic</w:t>
      </w:r>
      <w:r>
        <w:t xml:space="preserve"> and </w:t>
      </w:r>
      <w:r>
        <w:t>optimistic</w:t>
      </w:r>
      <w:r>
        <w:t xml:space="preserve"> </w:t>
      </w:r>
      <w:r>
        <w:sym w:font="Symbol" w:char="F0AE"/>
      </w:r>
      <w:r>
        <w:t xml:space="preserve"> </w:t>
      </w:r>
      <w:r>
        <w:t>employment</w:t>
      </w:r>
      <w:r>
        <w:t>)</w:t>
      </w:r>
    </w:p>
    <w:p w:rsidR="00855006" w:rsidRDefault="00855006" w:rsidP="00A53637"/>
    <w:p w:rsidR="00855006" w:rsidRDefault="00855006" w:rsidP="00A53637"/>
    <w:p w:rsidR="00855006" w:rsidRDefault="00855006" w:rsidP="00A53637"/>
    <w:p w:rsidR="00855006" w:rsidRDefault="00855006" w:rsidP="00A53637"/>
    <w:p w:rsidR="00855006" w:rsidRDefault="00855006" w:rsidP="00A53637"/>
    <w:p w:rsidR="00855006" w:rsidRDefault="00855006" w:rsidP="00A53637"/>
    <w:p w:rsidR="00855006" w:rsidRDefault="00855006" w:rsidP="00A53637"/>
    <w:p w:rsidR="00855006" w:rsidRDefault="00855006" w:rsidP="00A53637"/>
    <w:p w:rsidR="00855006" w:rsidRDefault="00855006" w:rsidP="00A53637"/>
    <w:p w:rsidR="00855006" w:rsidRPr="00A53637" w:rsidRDefault="00855006" w:rsidP="00A53637"/>
    <w:sectPr w:rsidR="00855006" w:rsidRPr="00A53637" w:rsidSect="00A53637">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00B"/>
    <w:rsid w:val="000F33F4"/>
    <w:rsid w:val="00417808"/>
    <w:rsid w:val="0044457D"/>
    <w:rsid w:val="005316CB"/>
    <w:rsid w:val="00662169"/>
    <w:rsid w:val="00693F1F"/>
    <w:rsid w:val="00855006"/>
    <w:rsid w:val="0093429C"/>
    <w:rsid w:val="009A2792"/>
    <w:rsid w:val="009B200B"/>
    <w:rsid w:val="00A53637"/>
    <w:rsid w:val="00AC69E9"/>
    <w:rsid w:val="00B249D0"/>
    <w:rsid w:val="00D92A43"/>
    <w:rsid w:val="00E50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B0B5"/>
  <w15:chartTrackingRefBased/>
  <w15:docId w15:val="{710E1A81-6F0B-46CF-A726-8EF3FD10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00B"/>
    <w:pPr>
      <w:spacing w:after="0" w:line="360" w:lineRule="auto"/>
    </w:pPr>
  </w:style>
  <w:style w:type="paragraph" w:styleId="Heading1">
    <w:name w:val="heading 1"/>
    <w:basedOn w:val="Normal"/>
    <w:next w:val="Normal"/>
    <w:link w:val="Heading1Char"/>
    <w:uiPriority w:val="9"/>
    <w:qFormat/>
    <w:rsid w:val="00693F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69E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69E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93F1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93F1F"/>
    <w:pPr>
      <w:spacing w:line="259" w:lineRule="auto"/>
      <w:outlineLvl w:val="9"/>
    </w:pPr>
    <w:rPr>
      <w:lang w:val="en-US"/>
    </w:rPr>
  </w:style>
  <w:style w:type="paragraph" w:styleId="TOC2">
    <w:name w:val="toc 2"/>
    <w:basedOn w:val="Normal"/>
    <w:next w:val="Normal"/>
    <w:autoRedefine/>
    <w:uiPriority w:val="39"/>
    <w:unhideWhenUsed/>
    <w:rsid w:val="00693F1F"/>
    <w:pPr>
      <w:spacing w:after="100"/>
      <w:ind w:left="240"/>
    </w:pPr>
  </w:style>
  <w:style w:type="character" w:styleId="Hyperlink">
    <w:name w:val="Hyperlink"/>
    <w:basedOn w:val="DefaultParagraphFont"/>
    <w:uiPriority w:val="99"/>
    <w:unhideWhenUsed/>
    <w:rsid w:val="00693F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406AB-1082-4193-BA10-76222F01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McElroy, Eoin</dc:creator>
  <cp:keywords/>
  <dc:description/>
  <cp:lastModifiedBy>McElroy, Eoin</cp:lastModifiedBy>
  <cp:revision>9</cp:revision>
  <dcterms:created xsi:type="dcterms:W3CDTF">2020-06-16T15:30:00Z</dcterms:created>
  <dcterms:modified xsi:type="dcterms:W3CDTF">2021-02-08T19:05:00Z</dcterms:modified>
</cp:coreProperties>
</file>