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3BDCA" w14:textId="77777777" w:rsidR="00BF0F1A" w:rsidRPr="00092721" w:rsidRDefault="00BF0F1A" w:rsidP="00BF0F1A">
      <w:pPr>
        <w:rPr>
          <w:rFonts w:ascii="Times New Roman" w:hAnsi="Times New Roman" w:cs="Times New Roman"/>
          <w:b/>
        </w:rPr>
      </w:pPr>
      <w:r>
        <w:rPr>
          <w:rFonts w:ascii="Times New Roman" w:hAnsi="Times New Roman" w:cs="Times New Roman"/>
          <w:b/>
        </w:rPr>
        <w:t>Supplementary File 2: Study characteristics, conclusions and q</w:t>
      </w:r>
      <w:r w:rsidRPr="00092721">
        <w:rPr>
          <w:rFonts w:ascii="Times New Roman" w:hAnsi="Times New Roman" w:cs="Times New Roman"/>
          <w:b/>
        </w:rPr>
        <w:t>uality assessment</w:t>
      </w:r>
    </w:p>
    <w:p w14:paraId="7C64E272" w14:textId="77777777" w:rsidR="00BF0F1A" w:rsidRDefault="00BF0F1A" w:rsidP="00BF0F1A">
      <w:pPr>
        <w:rPr>
          <w:rFonts w:ascii="Times New Roman" w:hAnsi="Times New Roman" w:cs="Times New Roman"/>
        </w:rPr>
      </w:pPr>
      <w:r>
        <w:rPr>
          <w:rFonts w:ascii="Times New Roman" w:hAnsi="Times New Roman" w:cs="Times New Roman"/>
        </w:rPr>
        <w:t xml:space="preserve">The following table presents study characteristics, conclusions and quality assessment for all papers included in the review. </w:t>
      </w:r>
      <w:r w:rsidRPr="00A67106">
        <w:rPr>
          <w:rFonts w:ascii="Times New Roman" w:hAnsi="Times New Roman" w:cs="Times New Roman"/>
        </w:rPr>
        <w:t>The</w:t>
      </w:r>
      <w:r>
        <w:rPr>
          <w:rFonts w:ascii="Times New Roman" w:hAnsi="Times New Roman" w:cs="Times New Roman"/>
        </w:rPr>
        <w:t xml:space="preserve"> Over</w:t>
      </w:r>
      <w:r w:rsidRPr="00A67106">
        <w:rPr>
          <w:rFonts w:ascii="Times New Roman" w:hAnsi="Times New Roman" w:cs="Times New Roman"/>
        </w:rPr>
        <w:t xml:space="preserve">view Quality Assessment Questionnaire (OQAQ) was used to quality assess systematic reviews and meta-analyses included in </w:t>
      </w:r>
      <w:r>
        <w:rPr>
          <w:rFonts w:ascii="Times New Roman" w:hAnsi="Times New Roman" w:cs="Times New Roman"/>
        </w:rPr>
        <w:t>the</w:t>
      </w:r>
      <w:r w:rsidRPr="00A67106">
        <w:rPr>
          <w:rFonts w:ascii="Times New Roman" w:hAnsi="Times New Roman" w:cs="Times New Roman"/>
        </w:rPr>
        <w:t xml:space="preserve"> review. The OQAQ has 9 questions (see </w:t>
      </w:r>
      <w:r>
        <w:rPr>
          <w:rFonts w:ascii="Times New Roman" w:hAnsi="Times New Roman" w:cs="Times New Roman"/>
        </w:rPr>
        <w:t xml:space="preserve">A-I </w:t>
      </w:r>
      <w:r w:rsidRPr="00A67106">
        <w:rPr>
          <w:rFonts w:ascii="Times New Roman" w:hAnsi="Times New Roman" w:cs="Times New Roman"/>
        </w:rPr>
        <w:t>below), with each assessment question rated with, “yes</w:t>
      </w:r>
      <w:r>
        <w:rPr>
          <w:rFonts w:ascii="Times New Roman" w:hAnsi="Times New Roman" w:cs="Times New Roman"/>
        </w:rPr>
        <w:t xml:space="preserve"> (Y)</w:t>
      </w:r>
      <w:r w:rsidRPr="00A67106">
        <w:rPr>
          <w:rFonts w:ascii="Times New Roman" w:hAnsi="Times New Roman" w:cs="Times New Roman"/>
        </w:rPr>
        <w:t>”, “partially</w:t>
      </w:r>
      <w:r>
        <w:rPr>
          <w:rFonts w:ascii="Times New Roman" w:hAnsi="Times New Roman" w:cs="Times New Roman"/>
        </w:rPr>
        <w:t xml:space="preserve"> (P)</w:t>
      </w:r>
      <w:r w:rsidRPr="00A67106">
        <w:rPr>
          <w:rFonts w:ascii="Times New Roman" w:hAnsi="Times New Roman" w:cs="Times New Roman"/>
        </w:rPr>
        <w:t>”, “can’t tell</w:t>
      </w:r>
      <w:r>
        <w:rPr>
          <w:rFonts w:ascii="Times New Roman" w:hAnsi="Times New Roman" w:cs="Times New Roman"/>
        </w:rPr>
        <w:t xml:space="preserve"> (CT)</w:t>
      </w:r>
      <w:r w:rsidRPr="00A67106">
        <w:rPr>
          <w:rFonts w:ascii="Times New Roman" w:hAnsi="Times New Roman" w:cs="Times New Roman"/>
        </w:rPr>
        <w:t>” or “no</w:t>
      </w:r>
      <w:r>
        <w:rPr>
          <w:rFonts w:ascii="Times New Roman" w:hAnsi="Times New Roman" w:cs="Times New Roman"/>
        </w:rPr>
        <w:t xml:space="preserve"> (N)</w:t>
      </w:r>
      <w:r w:rsidRPr="00A67106">
        <w:rPr>
          <w:rFonts w:ascii="Times New Roman" w:hAnsi="Times New Roman" w:cs="Times New Roman"/>
        </w:rPr>
        <w:t>”</w:t>
      </w:r>
      <w:r>
        <w:rPr>
          <w:rFonts w:ascii="Times New Roman" w:hAnsi="Times New Roman" w:cs="Times New Roman"/>
        </w:rPr>
        <w:t xml:space="preserve">. There is also </w:t>
      </w:r>
      <w:r w:rsidRPr="00A67106">
        <w:rPr>
          <w:rFonts w:ascii="Times New Roman" w:hAnsi="Times New Roman" w:cs="Times New Roman"/>
        </w:rPr>
        <w:t xml:space="preserve">an overall assessment score </w:t>
      </w:r>
      <w:r>
        <w:rPr>
          <w:rFonts w:ascii="Times New Roman" w:hAnsi="Times New Roman" w:cs="Times New Roman"/>
        </w:rPr>
        <w:t xml:space="preserve">(J) </w:t>
      </w:r>
      <w:r w:rsidRPr="00A67106">
        <w:rPr>
          <w:rFonts w:ascii="Times New Roman" w:hAnsi="Times New Roman" w:cs="Times New Roman"/>
        </w:rPr>
        <w:t xml:space="preserve">of the scientific quality of the paper, where one equates to “extensive flaws” and seven equates to “minimal flaws”. </w:t>
      </w:r>
    </w:p>
    <w:p w14:paraId="4550171D"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search methods reported?</w:t>
      </w:r>
    </w:p>
    <w:p w14:paraId="2C939C5D"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Was the search comprehensive?</w:t>
      </w:r>
    </w:p>
    <w:p w14:paraId="35E253AF"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the inclusion criteria reported?</w:t>
      </w:r>
    </w:p>
    <w:p w14:paraId="46B12762"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Was selection bias avoided?</w:t>
      </w:r>
    </w:p>
    <w:p w14:paraId="1540A708"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the validity criteria reported?</w:t>
      </w:r>
    </w:p>
    <w:p w14:paraId="6C549BDF"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Was validity assessed appropriately?</w:t>
      </w:r>
    </w:p>
    <w:p w14:paraId="04EC9C2C"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methods used to combine studies reported?</w:t>
      </w:r>
    </w:p>
    <w:p w14:paraId="042FF5AA"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findings combined appropriately?</w:t>
      </w:r>
    </w:p>
    <w:p w14:paraId="3EF03EA5" w14:textId="77777777" w:rsidR="00BF0F1A"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Were conclusions supported by the reported data?</w:t>
      </w:r>
    </w:p>
    <w:p w14:paraId="21A00926" w14:textId="77777777" w:rsidR="00BF0F1A" w:rsidRPr="00343039" w:rsidRDefault="00BF0F1A" w:rsidP="00BF0F1A">
      <w:pPr>
        <w:pStyle w:val="ListParagraph"/>
        <w:numPr>
          <w:ilvl w:val="0"/>
          <w:numId w:val="5"/>
        </w:numPr>
        <w:tabs>
          <w:tab w:val="left" w:pos="2127"/>
        </w:tabs>
        <w:spacing w:after="0"/>
        <w:ind w:left="426" w:hanging="426"/>
        <w:rPr>
          <w:rFonts w:ascii="Times New Roman" w:hAnsi="Times New Roman" w:cs="Times New Roman"/>
        </w:rPr>
      </w:pPr>
      <w:r w:rsidRPr="00343039">
        <w:rPr>
          <w:rFonts w:ascii="Times New Roman" w:hAnsi="Times New Roman" w:cs="Times New Roman"/>
        </w:rPr>
        <w:t>What was the overall scientific quality of the overview?*</w:t>
      </w:r>
    </w:p>
    <w:p w14:paraId="138BBC0B" w14:textId="77777777" w:rsidR="00BF0F1A" w:rsidRDefault="00BF0F1A" w:rsidP="00BF0F1A">
      <w:pPr>
        <w:tabs>
          <w:tab w:val="left" w:pos="2127"/>
        </w:tabs>
        <w:rPr>
          <w:rFonts w:ascii="Times New Roman" w:hAnsi="Times New Roman" w:cs="Times New Roman"/>
          <w:b/>
          <w:bCs/>
        </w:rPr>
      </w:pPr>
    </w:p>
    <w:p w14:paraId="72B99F2D" w14:textId="77777777" w:rsidR="00BF0F1A" w:rsidRPr="00F31309" w:rsidRDefault="00BF0F1A" w:rsidP="00BF0F1A">
      <w:pPr>
        <w:spacing w:after="0"/>
        <w:rPr>
          <w:rFonts w:ascii="Times New Roman" w:hAnsi="Times New Roman" w:cs="Times New Roman"/>
          <w:b/>
          <w:bCs/>
        </w:rPr>
      </w:pPr>
      <w:r w:rsidRPr="00F31309">
        <w:rPr>
          <w:rFonts w:ascii="Times New Roman" w:hAnsi="Times New Roman" w:cs="Times New Roman"/>
          <w:b/>
          <w:bCs/>
        </w:rPr>
        <w:t xml:space="preserve">Study characteristics, conclusions and quality assessment </w:t>
      </w:r>
      <w:r w:rsidRPr="00F31309">
        <w:rPr>
          <w:rFonts w:ascii="Times New Roman" w:hAnsi="Times New Roman" w:cs="Times New Roman"/>
          <w:b/>
        </w:rPr>
        <w:t>for all included systematic reviews and meta-analyses</w:t>
      </w:r>
    </w:p>
    <w:tbl>
      <w:tblPr>
        <w:tblW w:w="14459" w:type="dxa"/>
        <w:tblInd w:w="-284"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702"/>
        <w:gridCol w:w="567"/>
        <w:gridCol w:w="1276"/>
        <w:gridCol w:w="1275"/>
        <w:gridCol w:w="2126"/>
        <w:gridCol w:w="8"/>
        <w:gridCol w:w="3678"/>
        <w:gridCol w:w="425"/>
        <w:gridCol w:w="284"/>
        <w:gridCol w:w="283"/>
        <w:gridCol w:w="284"/>
        <w:gridCol w:w="425"/>
        <w:gridCol w:w="283"/>
        <w:gridCol w:w="426"/>
        <w:gridCol w:w="567"/>
        <w:gridCol w:w="283"/>
        <w:gridCol w:w="284"/>
        <w:gridCol w:w="283"/>
      </w:tblGrid>
      <w:tr w:rsidR="00BF0F1A" w:rsidRPr="00DE5914" w14:paraId="5F07AE49" w14:textId="77777777" w:rsidTr="009B07DB">
        <w:trPr>
          <w:trHeight w:val="217"/>
          <w:tblHeader/>
        </w:trPr>
        <w:tc>
          <w:tcPr>
            <w:tcW w:w="1702" w:type="dxa"/>
            <w:shd w:val="clear" w:color="auto" w:fill="auto"/>
          </w:tcPr>
          <w:p w14:paraId="561C6F7E" w14:textId="77777777" w:rsidR="00BF0F1A" w:rsidRPr="00DE12FF" w:rsidRDefault="00BF0F1A" w:rsidP="009B07DB">
            <w:pPr>
              <w:spacing w:after="0"/>
              <w:jc w:val="center"/>
              <w:rPr>
                <w:rFonts w:ascii="Times New Roman" w:hAnsi="Times New Roman" w:cs="Times New Roman"/>
                <w:sz w:val="20"/>
                <w:szCs w:val="20"/>
              </w:rPr>
            </w:pPr>
          </w:p>
        </w:tc>
        <w:tc>
          <w:tcPr>
            <w:tcW w:w="5252" w:type="dxa"/>
            <w:gridSpan w:val="5"/>
            <w:shd w:val="clear" w:color="auto" w:fill="auto"/>
          </w:tcPr>
          <w:p w14:paraId="1BEE0F37" w14:textId="77777777" w:rsidR="00BF0F1A" w:rsidRPr="00DE12FF" w:rsidRDefault="00BF0F1A" w:rsidP="009B07DB">
            <w:pPr>
              <w:spacing w:after="0"/>
              <w:jc w:val="center"/>
              <w:rPr>
                <w:rFonts w:ascii="Times New Roman" w:hAnsi="Times New Roman" w:cs="Times New Roman"/>
                <w:b/>
                <w:sz w:val="20"/>
                <w:szCs w:val="20"/>
              </w:rPr>
            </w:pPr>
            <w:r w:rsidRPr="00DE12FF">
              <w:rPr>
                <w:rFonts w:ascii="Times New Roman" w:hAnsi="Times New Roman" w:cs="Times New Roman"/>
                <w:b/>
                <w:sz w:val="20"/>
                <w:szCs w:val="20"/>
              </w:rPr>
              <w:t>Study characteristics</w:t>
            </w:r>
          </w:p>
        </w:tc>
        <w:tc>
          <w:tcPr>
            <w:tcW w:w="4103" w:type="dxa"/>
            <w:gridSpan w:val="2"/>
            <w:tcBorders>
              <w:right w:val="single" w:sz="4" w:space="0" w:color="auto"/>
            </w:tcBorders>
            <w:shd w:val="clear" w:color="auto" w:fill="auto"/>
          </w:tcPr>
          <w:p w14:paraId="16CA6DAD" w14:textId="77777777" w:rsidR="00BF0F1A" w:rsidRPr="00DE12FF" w:rsidRDefault="00BF0F1A" w:rsidP="009B07DB">
            <w:pPr>
              <w:tabs>
                <w:tab w:val="left" w:pos="584"/>
                <w:tab w:val="center" w:pos="733"/>
              </w:tabs>
              <w:spacing w:after="0"/>
              <w:ind w:hanging="97"/>
              <w:jc w:val="center"/>
              <w:rPr>
                <w:rFonts w:ascii="Times New Roman" w:hAnsi="Times New Roman" w:cs="Times New Roman"/>
                <w:b/>
                <w:sz w:val="20"/>
                <w:szCs w:val="20"/>
              </w:rPr>
            </w:pPr>
            <w:r>
              <w:rPr>
                <w:rFonts w:ascii="Times New Roman" w:hAnsi="Times New Roman" w:cs="Times New Roman"/>
                <w:b/>
                <w:sz w:val="20"/>
                <w:szCs w:val="20"/>
              </w:rPr>
              <w:t>Conclusion</w:t>
            </w:r>
          </w:p>
        </w:tc>
        <w:tc>
          <w:tcPr>
            <w:tcW w:w="3402" w:type="dxa"/>
            <w:gridSpan w:val="10"/>
            <w:tcBorders>
              <w:left w:val="single" w:sz="4" w:space="0" w:color="auto"/>
            </w:tcBorders>
            <w:shd w:val="clear" w:color="auto" w:fill="auto"/>
          </w:tcPr>
          <w:p w14:paraId="6EDE3E44" w14:textId="77777777" w:rsidR="00BF0F1A" w:rsidRPr="00DE12FF" w:rsidRDefault="00BF0F1A" w:rsidP="009B07DB">
            <w:pPr>
              <w:tabs>
                <w:tab w:val="left" w:pos="584"/>
                <w:tab w:val="center" w:pos="733"/>
              </w:tabs>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Quality assessment</w:t>
            </w:r>
          </w:p>
        </w:tc>
      </w:tr>
      <w:tr w:rsidR="00BF0F1A" w:rsidRPr="00DE5914" w14:paraId="39B4D4D8" w14:textId="77777777" w:rsidTr="009B07DB">
        <w:trPr>
          <w:trHeight w:val="217"/>
          <w:tblHeader/>
        </w:trPr>
        <w:tc>
          <w:tcPr>
            <w:tcW w:w="1702" w:type="dxa"/>
            <w:shd w:val="clear" w:color="auto" w:fill="auto"/>
          </w:tcPr>
          <w:p w14:paraId="44B622D3" w14:textId="77777777" w:rsidR="00BF0F1A" w:rsidRPr="003B3BD4" w:rsidRDefault="00BF0F1A" w:rsidP="009B07DB">
            <w:pPr>
              <w:spacing w:after="0"/>
              <w:jc w:val="center"/>
              <w:rPr>
                <w:rFonts w:ascii="Times New Roman" w:hAnsi="Times New Roman" w:cs="Times New Roman"/>
                <w:b/>
                <w:sz w:val="20"/>
                <w:szCs w:val="20"/>
              </w:rPr>
            </w:pPr>
            <w:r w:rsidRPr="003B3BD4">
              <w:rPr>
                <w:rFonts w:ascii="Times New Roman" w:hAnsi="Times New Roman" w:cs="Times New Roman"/>
                <w:b/>
                <w:sz w:val="20"/>
                <w:szCs w:val="20"/>
              </w:rPr>
              <w:t>Author, year</w:t>
            </w:r>
          </w:p>
        </w:tc>
        <w:tc>
          <w:tcPr>
            <w:tcW w:w="567" w:type="dxa"/>
            <w:shd w:val="clear" w:color="auto" w:fill="auto"/>
          </w:tcPr>
          <w:p w14:paraId="1A62DF9B" w14:textId="77777777" w:rsidR="00BF0F1A" w:rsidRPr="00DE12FF" w:rsidRDefault="00BF0F1A" w:rsidP="009B07DB">
            <w:pPr>
              <w:spacing w:after="0"/>
              <w:jc w:val="center"/>
              <w:rPr>
                <w:rFonts w:ascii="Times New Roman" w:hAnsi="Times New Roman" w:cs="Times New Roman"/>
                <w:b/>
                <w:sz w:val="20"/>
                <w:szCs w:val="20"/>
              </w:rPr>
            </w:pPr>
            <w:r w:rsidRPr="00DE12FF">
              <w:rPr>
                <w:rFonts w:ascii="Times New Roman" w:hAnsi="Times New Roman" w:cs="Times New Roman"/>
                <w:b/>
                <w:sz w:val="20"/>
                <w:szCs w:val="20"/>
              </w:rPr>
              <w:t>MA</w:t>
            </w:r>
          </w:p>
        </w:tc>
        <w:tc>
          <w:tcPr>
            <w:tcW w:w="1276" w:type="dxa"/>
            <w:shd w:val="clear" w:color="auto" w:fill="auto"/>
          </w:tcPr>
          <w:p w14:paraId="5E2906D0" w14:textId="77777777" w:rsidR="00BF0F1A" w:rsidRPr="00DE12FF" w:rsidRDefault="00BF0F1A" w:rsidP="009B07DB">
            <w:pPr>
              <w:spacing w:after="0"/>
              <w:rPr>
                <w:rFonts w:ascii="Times New Roman" w:hAnsi="Times New Roman" w:cs="Times New Roman"/>
                <w:b/>
                <w:sz w:val="20"/>
                <w:szCs w:val="20"/>
              </w:rPr>
            </w:pPr>
            <w:r w:rsidRPr="00DE12FF">
              <w:rPr>
                <w:rFonts w:ascii="Times New Roman" w:hAnsi="Times New Roman" w:cs="Times New Roman"/>
                <w:b/>
                <w:sz w:val="20"/>
                <w:szCs w:val="20"/>
              </w:rPr>
              <w:t>Country</w:t>
            </w:r>
          </w:p>
        </w:tc>
        <w:tc>
          <w:tcPr>
            <w:tcW w:w="1275" w:type="dxa"/>
            <w:shd w:val="clear" w:color="auto" w:fill="auto"/>
          </w:tcPr>
          <w:p w14:paraId="66F73AAB" w14:textId="77777777" w:rsidR="00BF0F1A" w:rsidRPr="00DE12FF" w:rsidRDefault="00BF0F1A" w:rsidP="009B07DB">
            <w:pPr>
              <w:spacing w:after="0"/>
              <w:rPr>
                <w:rFonts w:ascii="Times New Roman" w:hAnsi="Times New Roman" w:cs="Times New Roman"/>
                <w:b/>
                <w:sz w:val="20"/>
                <w:szCs w:val="20"/>
              </w:rPr>
            </w:pPr>
            <w:r w:rsidRPr="00DE12FF">
              <w:rPr>
                <w:rFonts w:ascii="Times New Roman" w:hAnsi="Times New Roman" w:cs="Times New Roman"/>
                <w:b/>
                <w:sz w:val="20"/>
                <w:szCs w:val="20"/>
              </w:rPr>
              <w:t>Disease</w:t>
            </w:r>
          </w:p>
        </w:tc>
        <w:tc>
          <w:tcPr>
            <w:tcW w:w="2126" w:type="dxa"/>
            <w:shd w:val="clear" w:color="auto" w:fill="auto"/>
          </w:tcPr>
          <w:p w14:paraId="35929B8C" w14:textId="77777777" w:rsidR="00BF0F1A" w:rsidRPr="00DE12FF" w:rsidRDefault="00BF0F1A" w:rsidP="009B07DB">
            <w:pPr>
              <w:spacing w:after="0"/>
              <w:jc w:val="center"/>
              <w:rPr>
                <w:rFonts w:ascii="Times New Roman" w:hAnsi="Times New Roman" w:cs="Times New Roman"/>
                <w:b/>
                <w:sz w:val="20"/>
                <w:szCs w:val="20"/>
              </w:rPr>
            </w:pPr>
            <w:r w:rsidRPr="00DE12FF">
              <w:rPr>
                <w:rFonts w:ascii="Times New Roman" w:hAnsi="Times New Roman" w:cs="Times New Roman"/>
                <w:b/>
                <w:sz w:val="20"/>
                <w:szCs w:val="20"/>
              </w:rPr>
              <w:t>Population (</w:t>
            </w:r>
            <w:r w:rsidRPr="00DE12FF">
              <w:rPr>
                <w:rFonts w:ascii="Times New Roman" w:hAnsi="Times New Roman" w:cs="Times New Roman"/>
                <w:b/>
                <w:i/>
                <w:sz w:val="20"/>
                <w:szCs w:val="20"/>
              </w:rPr>
              <w:t>any age restriction</w:t>
            </w:r>
            <w:r w:rsidRPr="00DE12FF">
              <w:rPr>
                <w:rFonts w:ascii="Times New Roman" w:hAnsi="Times New Roman" w:cs="Times New Roman"/>
                <w:b/>
                <w:sz w:val="20"/>
                <w:szCs w:val="20"/>
              </w:rPr>
              <w:t>)</w:t>
            </w:r>
          </w:p>
        </w:tc>
        <w:tc>
          <w:tcPr>
            <w:tcW w:w="4111" w:type="dxa"/>
            <w:gridSpan w:val="3"/>
            <w:tcBorders>
              <w:right w:val="single" w:sz="4" w:space="0" w:color="auto"/>
            </w:tcBorders>
            <w:shd w:val="clear" w:color="auto" w:fill="auto"/>
          </w:tcPr>
          <w:p w14:paraId="54661323" w14:textId="77777777" w:rsidR="00BF0F1A" w:rsidRPr="00DE12FF" w:rsidRDefault="00BF0F1A" w:rsidP="009B07DB">
            <w:pPr>
              <w:spacing w:after="0"/>
              <w:jc w:val="center"/>
              <w:rPr>
                <w:rFonts w:ascii="Times New Roman" w:hAnsi="Times New Roman" w:cs="Times New Roman"/>
                <w:b/>
                <w:sz w:val="20"/>
                <w:szCs w:val="20"/>
              </w:rPr>
            </w:pPr>
            <w:r>
              <w:rPr>
                <w:rFonts w:ascii="Times New Roman" w:hAnsi="Times New Roman" w:cs="Times New Roman"/>
                <w:b/>
                <w:sz w:val="20"/>
                <w:szCs w:val="20"/>
              </w:rPr>
              <w:t>Main conclusions relating to risk factors and overall effect direction*</w:t>
            </w:r>
          </w:p>
        </w:tc>
        <w:tc>
          <w:tcPr>
            <w:tcW w:w="284" w:type="dxa"/>
            <w:tcBorders>
              <w:left w:val="single" w:sz="4" w:space="0" w:color="auto"/>
            </w:tcBorders>
            <w:shd w:val="clear" w:color="auto" w:fill="auto"/>
          </w:tcPr>
          <w:p w14:paraId="6AF91847"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A</w:t>
            </w:r>
          </w:p>
        </w:tc>
        <w:tc>
          <w:tcPr>
            <w:tcW w:w="283" w:type="dxa"/>
            <w:shd w:val="clear" w:color="auto" w:fill="auto"/>
          </w:tcPr>
          <w:p w14:paraId="71255194"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B</w:t>
            </w:r>
          </w:p>
        </w:tc>
        <w:tc>
          <w:tcPr>
            <w:tcW w:w="284" w:type="dxa"/>
            <w:shd w:val="clear" w:color="auto" w:fill="auto"/>
          </w:tcPr>
          <w:p w14:paraId="3FB78949"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C</w:t>
            </w:r>
          </w:p>
        </w:tc>
        <w:tc>
          <w:tcPr>
            <w:tcW w:w="425" w:type="dxa"/>
            <w:shd w:val="clear" w:color="auto" w:fill="auto"/>
          </w:tcPr>
          <w:p w14:paraId="7F1A8C5C"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D</w:t>
            </w:r>
          </w:p>
        </w:tc>
        <w:tc>
          <w:tcPr>
            <w:tcW w:w="283" w:type="dxa"/>
            <w:shd w:val="clear" w:color="auto" w:fill="auto"/>
          </w:tcPr>
          <w:p w14:paraId="38879344"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E</w:t>
            </w:r>
          </w:p>
        </w:tc>
        <w:tc>
          <w:tcPr>
            <w:tcW w:w="426" w:type="dxa"/>
            <w:shd w:val="clear" w:color="auto" w:fill="auto"/>
          </w:tcPr>
          <w:p w14:paraId="44297CA2"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F</w:t>
            </w:r>
          </w:p>
        </w:tc>
        <w:tc>
          <w:tcPr>
            <w:tcW w:w="567" w:type="dxa"/>
            <w:shd w:val="clear" w:color="auto" w:fill="auto"/>
          </w:tcPr>
          <w:p w14:paraId="069F2008"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G</w:t>
            </w:r>
          </w:p>
        </w:tc>
        <w:tc>
          <w:tcPr>
            <w:tcW w:w="283" w:type="dxa"/>
            <w:shd w:val="clear" w:color="auto" w:fill="auto"/>
          </w:tcPr>
          <w:p w14:paraId="219C89D5"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H</w:t>
            </w:r>
          </w:p>
        </w:tc>
        <w:tc>
          <w:tcPr>
            <w:tcW w:w="284" w:type="dxa"/>
            <w:shd w:val="clear" w:color="auto" w:fill="auto"/>
          </w:tcPr>
          <w:p w14:paraId="0D606954" w14:textId="77777777" w:rsidR="00BF0F1A" w:rsidRPr="00DE12FF" w:rsidRDefault="00BF0F1A" w:rsidP="009B07DB">
            <w:pPr>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I</w:t>
            </w:r>
          </w:p>
        </w:tc>
        <w:tc>
          <w:tcPr>
            <w:tcW w:w="283" w:type="dxa"/>
            <w:shd w:val="clear" w:color="auto" w:fill="auto"/>
          </w:tcPr>
          <w:p w14:paraId="46B570CA" w14:textId="77777777" w:rsidR="00BF0F1A" w:rsidRPr="00DE12FF" w:rsidRDefault="00BF0F1A" w:rsidP="009B07DB">
            <w:pPr>
              <w:tabs>
                <w:tab w:val="left" w:pos="584"/>
                <w:tab w:val="center" w:pos="733"/>
              </w:tabs>
              <w:spacing w:after="0"/>
              <w:ind w:hanging="97"/>
              <w:jc w:val="center"/>
              <w:rPr>
                <w:rFonts w:ascii="Times New Roman" w:hAnsi="Times New Roman" w:cs="Times New Roman"/>
                <w:b/>
                <w:sz w:val="20"/>
                <w:szCs w:val="20"/>
              </w:rPr>
            </w:pPr>
            <w:r w:rsidRPr="00DE12FF">
              <w:rPr>
                <w:rFonts w:ascii="Times New Roman" w:hAnsi="Times New Roman" w:cs="Times New Roman"/>
                <w:b/>
                <w:sz w:val="20"/>
                <w:szCs w:val="20"/>
              </w:rPr>
              <w:t>J</w:t>
            </w:r>
          </w:p>
        </w:tc>
      </w:tr>
      <w:tr w:rsidR="00BF0F1A" w:rsidRPr="00DE5914" w14:paraId="2372F537" w14:textId="77777777" w:rsidTr="009B07DB">
        <w:trPr>
          <w:trHeight w:val="289"/>
        </w:trPr>
        <w:tc>
          <w:tcPr>
            <w:tcW w:w="1702" w:type="dxa"/>
          </w:tcPr>
          <w:p w14:paraId="695625AD" w14:textId="77777777" w:rsidR="00BF0F1A" w:rsidRPr="00057B1B" w:rsidRDefault="00BF0F1A" w:rsidP="009B07DB">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Aisyah</w:t>
            </w:r>
            <w:proofErr w:type="spellEnd"/>
            <w:r>
              <w:rPr>
                <w:rFonts w:ascii="Times New Roman" w:hAnsi="Times New Roman" w:cs="Times New Roman"/>
                <w:sz w:val="20"/>
                <w:szCs w:val="20"/>
              </w:rPr>
              <w:t xml:space="preserve"> et al., 2017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{"citationItems":[{"id":"ITEM-1","itemData":{"DOI":"http://dx.doi.org/10.1111/jvh.12866","ISSN":"13520504","abstract":"New advances in the treatment of hepatitis C provide high levels of sustained viral response but their expense limits availability in publicly funded health systems. The aim of this review was to estimate the proportion of patients who will spontaneously clear HCV, to identify factors that are associated with clearance and to support better targeting of directly acting antivirals. We searched Ovid EMBASE, Ovid MEDLINE and PubMed from 1 January 1994 to 30 June 2015 for studies reporting hepatitis C spontaneous clearance and/or demographic, clinical and behavioural factors associated with clearance. We undertook meta‐analyses to estimate the odds of clearance for each predictor. Forty‐three studies met the inclusion criteria, representing 20 110 individuals, and 6 of these studies included sufficient data to estimate spontaneous clearance. The proportion achieving clearance within 3, 6, 12 and 24 months following infection were, respectively, 19.8% (95% CI: 2.6%‐47.5%), 27.9% (95% CI: 17.2%‐41.8%), 36.1% (95% CI: 23.5%‐50.9%) and 37.1% (95% CI: 23.7%‐52.8%). Individuals who had not spontaneously cleared by 12 months were unlikely to do so. The likelihood of spontaneous clearance was lower in males and individuals with HIV co‐infection, the absence of HBV co‐infection, asymptomatic infection, black or nonindigenous race, nongenotype 1 infection, older age and alcohol or drug problems. This study suggests that patients continue to spontaneously clear HCV for at least 12 months following initial infection. However, injecting drug users are comparatively less likely to achieve clearance; thus, they should be considered a priority for early treatment given the continuing risks that these individuals pose for onwards transmission.","author":[{"dropping-particle":"","family":"Aisyah","given":"D N","non-dropping-particle":"","parse-names":false,"suffix":""},{"dropping-particle":"","family":"Shallcross","given":"L","non-dropping-particle":"","parse-names":false,"suffix":""},{"dropping-particle":"","family":"Hully","given":"A J","non-dropping-particle":"","parse-names":false,"suffix":""},{"dropping-particle":"","family":"O'Brien","given":"A","non-dropping-particle":"","parse-names":false,"suffix":""},{"dropping-particle":"","family":"Hayward","given":"A","non-dropping-particle":"","parse-names":false,"suffix":""}],"container-title":"Journal of Viral Hepatitis","id":"ITEM-1","issued":{"date-parts":[["2018"]]},"language":"English","note":"Copyright - Copyright © 2018 John Wiley &amp;amp; Sons Ltd\n\nLast updated - 2019-06-24","page":"680-698","publisher":"Wiley Subscription Services, Inc.","publisher-place":"UCL Infectious Disease Informatics, Farr Institute of Health Informatics, London, UK; Faculty of Public Health, Universitas Indonesia, Depok, Indonesia ; UCL Infectious Disease Informatics, Farr Institute of Health Informatics, London, UK ; Kings College","title":"Assessing hepatitis C spontaneous clearance and understanding associated factors—A systematic review and meta‐analysis","type":"article-journal","volume":"25"},"uris":["http://www.mendeley.com/documents/?uuid=01b735a2-1b25-4ab4-9824-b7b140cec92d"]}],"mendeley":{"formattedCitation":"(39)","plainTextFormattedCitation":"(39)","previouslyFormattedCitation":"(39)"},"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(39)</w:t>
            </w:r>
            <w:r>
              <w:rPr>
                <w:rFonts w:ascii="Times New Roman" w:hAnsi="Times New Roman" w:cs="Times New Roman"/>
                <w:sz w:val="20"/>
                <w:szCs w:val="20"/>
              </w:rPr>
              <w:fldChar w:fldCharType="end"/>
            </w:r>
          </w:p>
        </w:tc>
        <w:tc>
          <w:tcPr>
            <w:tcW w:w="567" w:type="dxa"/>
          </w:tcPr>
          <w:p w14:paraId="28F05B6E"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7F04EE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Global </w:t>
            </w:r>
          </w:p>
        </w:tc>
        <w:tc>
          <w:tcPr>
            <w:tcW w:w="1275" w:type="dxa"/>
          </w:tcPr>
          <w:p w14:paraId="491083E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19A142C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untreated HCV </w:t>
            </w:r>
            <w:r w:rsidRPr="00057B1B">
              <w:rPr>
                <w:rFonts w:ascii="Times New Roman" w:hAnsi="Times New Roman" w:cs="Times New Roman"/>
                <w:i/>
                <w:sz w:val="20"/>
                <w:szCs w:val="20"/>
              </w:rPr>
              <w:t>(adults)</w:t>
            </w:r>
          </w:p>
        </w:tc>
        <w:tc>
          <w:tcPr>
            <w:tcW w:w="3686" w:type="dxa"/>
            <w:gridSpan w:val="2"/>
          </w:tcPr>
          <w:p w14:paraId="5A8AE065"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Injecting drug users</w:t>
            </w:r>
            <w:r w:rsidRPr="00700670">
              <w:rPr>
                <w:rFonts w:ascii="Times New Roman" w:hAnsi="Times New Roman" w:cs="Times New Roman"/>
                <w:sz w:val="20"/>
                <w:szCs w:val="20"/>
              </w:rPr>
              <w:t xml:space="preserve"> or those with </w:t>
            </w:r>
            <w:r w:rsidRPr="00700670">
              <w:rPr>
                <w:rFonts w:ascii="Times New Roman" w:hAnsi="Times New Roman" w:cs="Times New Roman"/>
                <w:b/>
                <w:sz w:val="20"/>
                <w:szCs w:val="20"/>
              </w:rPr>
              <w:t>excess alcohol use</w:t>
            </w:r>
            <w:r w:rsidRPr="00700670">
              <w:rPr>
                <w:rFonts w:ascii="Times New Roman" w:hAnsi="Times New Roman" w:cs="Times New Roman"/>
                <w:sz w:val="20"/>
                <w:szCs w:val="20"/>
              </w:rPr>
              <w:t xml:space="preserve"> were more likely to not spontaneously clear HCV. </w:t>
            </w:r>
          </w:p>
        </w:tc>
        <w:tc>
          <w:tcPr>
            <w:tcW w:w="425" w:type="dxa"/>
            <w:tcBorders>
              <w:right w:val="single" w:sz="4" w:space="0" w:color="auto"/>
            </w:tcBorders>
          </w:tcPr>
          <w:p w14:paraId="1CCF6D5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5CA1821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B09432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D6277A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596046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7330A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1C14941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C81551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8AA82C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067552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73A524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7207D2F" w14:textId="77777777" w:rsidTr="009B07DB">
        <w:tc>
          <w:tcPr>
            <w:tcW w:w="1702" w:type="dxa"/>
          </w:tcPr>
          <w:p w14:paraId="0C35F1C9"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Al </w:t>
            </w:r>
            <w:proofErr w:type="spellStart"/>
            <w:r>
              <w:rPr>
                <w:rFonts w:ascii="Times New Roman" w:hAnsi="Times New Roman" w:cs="Times New Roman"/>
                <w:sz w:val="20"/>
                <w:szCs w:val="20"/>
              </w:rPr>
              <w:t>Kanaani</w:t>
            </w:r>
            <w:proofErr w:type="spellEnd"/>
            <w:r>
              <w:rPr>
                <w:rFonts w:ascii="Times New Roman" w:hAnsi="Times New Roman" w:cs="Times New Roman"/>
                <w:sz w:val="20"/>
                <w:szCs w:val="20"/>
              </w:rPr>
              <w:t xml:space="preserv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{"citationItems":[{"id":"ITEM-1","itemData":{"DOI":"http://dx.doi.org/10.1098/rsos.180257","ISSN":"2054-5703, 2054-5703","abstract":"To characterize hepatitis C virus (HCV) epidemiology in Pakistan and estimate the pooled mean HCV antibody prevalence in different risk populations, we systematically reviewed all available records of HCV incidence and/or prevalence from 1989 to 2016, as informed by the Cochrane Collaboration Handbook. This systematic review was reported following the PRISMA guidelines. Populations were classified into six categories based on the risk of exposure to HCV infection. Meta-analyses were performed using DerSimonian and Laird random-effects models with inverse variance weighting. The search identified one HCV incidence study and 341 prevalence measures/strata. Meta-analyses estimated the pooled mean HCV prevalence at 6.2% among the general population, 34.5% among high-risk clinical populations, 12.8% among populations at intermediate risk, 16.9% among special clinical populations, 55.9% among populations with liver-related conditions and 53.6% among people who inject drugs. Most reported risk factors in analytical epidemiologic studies related to healthcare procedures. Pakistan is enduring an HCV epidemic of historical proportions-one in every 20 Pakistanis is infected. HCV plays a major role in liver disease burden in this country, and HCV prevalence is high in all-risk populations. Most transmission appears to be driven by healthcare procedures. HCV treatment and prevention must become a national priority.","author":[{"dropping-particle":"","family":"Kanaani","given":"Zaina","non-dropping-particle":"Al","parse-names":false,"suffix":""},{"dropping-particle":"","family":"Mahmud","given":"Sarwat","non-dropping-particle":"","parse-names":false,"suffix":""},{"dropping-particle":"","family":"Kouyoumjian","given":"Silva P","non-dropping-particle":"","parse-names":false,"suffix":""},{"dropping-particle":"","family":"Abu-Raddad","given":"Laith J","non-dropping-particle":"","parse-names":false,"suffix":""}],"container-title":"Royal Society open science","id":"ITEM-1","issued":{"date-parts":[["2018"]]},"language":"English","note":"Date created - 2018-05-17\n\nDate revised - 2020-09-30\n\nGenetic sequence - 10.6084/m9.figshare.c.4047080; figshare\n\nSuppNotes - Conflict of Interest: The authors have no competing interests to declare. Cited By: Trop Doct. 1997 Apr;27(2):105 [9133797] Sex Transm Infect. 2009 Apr;85 Suppl 2:ii17-22 [19307346] J Viral Hepat. 2012 Aug;19(8):560-7 [22762140] J Med Virol. 2018 Jan;90(1):131-141 [28842995] Public Health. 2006 Sep;120(9):824-33 [16876212] J Coll Physicians Surg Pak. 2005 Nov;15(11):716-9 [16300710] J Ayub Med Coll Abbottabad. 2010 Jul-Sep;22(3):149-51 [22338442] J Ayub Med Coll Abbottabad. 2012 Jul-Dec;24(3-4):138-40 [24669635] Epidemiol Infect. 1997 Dec;119(3):349-56 [9440439] J Pak Med Assoc. 2004 Mar;54(3):135 [15129873] Lancet. 2016 Sep 10;388(10049):1081-1088 [27394647] PLoS One. 2015 Mar 24;10(3):e0121873 [25803848] J Coll Physicians Surg Pak. 2010 Apr;20(4):266-70 [20392405] J Pak Med Assoc. 2015 Nov;65(11):1161-3 [26564284] J Dig Dis. 2008 May;9(2):95-103 [18419643] Trop Gastroenterol. 2008 Oct-Dec;29(4):210-6 [19323090] Harm Reduct J. 2007 Feb 10;4:7 [17291354] J Pak Med Assoc. 2010 Dec;60(12):1069-71 [21381568] BMC Infect Dis. 2013 Jun 24;13:288 [23799878] J Coll Physicians Surg Pak. 2005 Jun;15(6):326-8 [15924834] Int J Infect Dis. 2010 Sep;14 Suppl 3:e60-6 [20189863] Public Health. 2000 Sep;114(5):413-5 [11035468] BMC Health Serv Res. 2011 May 24;11:122 [21609480] Int J Med Sci. 2006;3(2):47-52 [16614742] J Med Screen. 2010;17(4):214-6 [21258133] Turk J Haematol. 2013 Jun;30(2):163-7 [24385780] J Coll Physicians Surg Pak. 2009 Apr;19(4):228-31 [19356337] Clin Appl Thromb Hemost. 2011 Nov-Dec;17(6):651-5 [21406412] Eur J Public Health. 2011 Oct;21(5):638-42 [20601693] Sci Rep. 2018 Jan 9;8(1):150 [29317673] J Pak Med Assoc. 2013 Jun;63(6):798-802 [23901694] Bull World Health Organ. 1999;77(10):789-800 [10593026] Afr Health Sci. 2014 Dec;14(4):810-5 [25834487] PLoS One. 2016 Feb 22;11(2):e0149966 [26900839] Virol J. 2011 Apr 01;8:154 [21457531] Libyan J Med. 2008 Jun 01;3(2):66-70 [21499460] Int J Prev Med. 2010 Fall;1(4):252-6 [21566781] J Coll Physicians Surg Pak. 2003 Jan;13(1):15-8 [12685968] Crit Rev Eukaryot Gene Expr. 2017;27(1):63-77 [28436333] Infect Dis Clin North Am. 2000 Sep;14(3):761-84 [10987119] J Obstet Gynaecol Res. 2009 Jun;35(3):533-8 [19527395] J Ayub Med Coll Abbottabad. 2009 Apr-Jun;21(2):107-9 [20524483] PLoS One. 2015 Aug 21;10(8):e0135281 [26296200] Pak J Med Sci. 2013 Apr;29(2):505-8 [24353565] Transfusion. 2014 Jun;54(6):1652-9 [24383918] Liver Int. 2011 Jul;31 Suppl 2:30-60 [21651702] PLoS One. 2013 Jul 29;8(7):e69803 [23922806] World J Gastroenterol. 2007 May 7;13(17):2436-41 [17552026] Int J Infect Dis. 2016 May;46:116-25 [26996460] PLoS One. 2013;8(2):e56008 [23418493] BMC Infect Dis. 2008 Apr 10;8:43 [18402660] N Engl J Med. 2001 Jul 5;345(1):41-52 [11439948] J Viral Hepat. 2018 Jan 18;:null [29345847] PLoS Med. 2014 Jun 17;11(6):e1001663 [24937136] J Int AIDS Soc. 2018 Mar;21(3):e25102 [29577623] Virol J. 2014 Jul 12;11:127 [25016473] J Viral Hepat. 2017 Jun;24(6):486-495 [28039923] Arch Public Health. 2012 Apr 26;70(1):9 [22958798] Transfusion. 2007 Jan;47(1):74-9 [17207233] J Viral Hepat. 2017 Dec;24(12 ):1177-1183 [28662284] Lancet Infect Dis. 2005 Sep;5(9):558-67 [16122679] J Pak Med Assoc. 2002 Sep;52(9):398-402 [12532573] PLoS One. 2017 Oct 31;12 (10 ):e0187177 [29088252] Science. 1989 Apr 21;244(4902):359-62 [2523562] Virol J. 2011 Jun 28;8:327 [21711541] Asian Pac J Cancer Prev. 2016;17 (1):235-8 [26838216] Int J Infect Dis. 2007 Sep;11(5):407-12 [17331775] Hepatology. 2014 Oct;60(4):1150-9 [24913187] J Pak Med Assoc. 2000 Aug;50(8):269-70 [10992712] East Mediterr Health J. 2008 Jul-Aug;14(4):791-7 [19166161] Southeast Asian J Trop Med Public Health. 1996 Dec;27(4):703-6 [9253870] BMC Infect Dis. 2006 Jun 23;6:101 [16792819] Trop Doct. 2011 Jan;41(1):23-5 [20940290] J Ayub Med Coll Abbottabad. 2009 Oct-Dec;21(4):83-6 [21067033] J Clin Microbiol. 1999 Jun;37(6):2061-3 [10325381] Lancet. 2004 Nov 20-26;364(9448):1843-4 [15565744] Hepatol Int. 2011 Jun;5(2):677-80 [21484109] Virol J. 2010 Nov 05;7:304 [21054842] BMC Infect Dis. 2009 May 29;9:78 [19480683] Harm Reduct J. 2006 Aug 16;3:26 [16914042] Proc Natl Acad Sci U S A. 2010 Aug 17;107(33):14757-62 [20696911] Int J Infect Dis. 2015 Nov;40:54-63 [26417880] Virol J. 2011;8:438 [21920054] MMWR Morb Mortal Wkly Rep. 2011 Oct 14;60(40):1385-90 [21993343] J Ayub Med Coll Abbottabad. 2010 Jul-Sep;22(3):192-6 [22338454] J Ayub Med Coll Abbottabad. 2014 Oct-Dec;26(4):437-40 [25672159] Saudi Med J. 2007 Mar;28(3):390-5 [17334466] Adv Virol. 2014;2014:606201 [24715902] Virol J. 2010 Nov 22;7:334 [21092143] Epidemiol Infect. 2012 Apr;140(4):716-23 [21672295] Transfusion. 2015 Jul;55(7):1803-11 [25648663] J Pak Med Assoc. 2002 Jul;52(7):280-3 [12481656] J Transl Med. 2012 Jan 31;10:20 [22293125] J Ayub Med Coll Abbottabad. 2015 Jan-Mar;27(1):155-7 [26182764] Epidemiol Infect. 2017 Nov;145(15):3243-3263 [28988562] Blood Transfus. 2014 Oct;12(4):452-7 [24960645] J Ayub Med Coll Abbottabad. 2011 Apr-Jun;23(2):59-62 [24800344] Clin Microbiol Infect. 2011 Feb;17(2):107-15 [21091831] J Coll Physicians Surg Pak. 2005 Jan;15(1):11-4 [15670516] Pak J Med Sci. 2014 Nov-Dec;30(6):1327-30 [25674133] Indian J Pediatr. 1994 Sep-Oct;61(5):545-9 [7538098] J Viral Hepat. 2010 May;17(5):317-26 [20002559] J Viral Hepat. 2015 Jan;22 Suppl 1:1-5 [25560838] J Ayub Med Coll Abbottabad. 2009 Apr-Jun;21(2):4-7 [20524457] J Pak Med Assoc. 2010 Oct;60(10):853-7 [21381619] Virol J. 2013 Mar 13;10:83 [23497435] J Coll Physicians Surg Pak. 2012 Sep;22(9):610-1 [22980623] J Clin Gastroenterol. 2001 Nov-Dec;33(5):407-11 [11606859] Bull World Health Organ. 2000;78(8):956-63 [10994278] J Public Health Policy. 2008 Jul;29(2):207-25 [18523475] East Mediterr Health J. 2006 Nov;12(6):735-41 [17333817] J Ayub Med Coll Abbottabad. 2008 Jul-Sep;20(3):27-9 [19610509] Trop Doct. 2007 Jan;37(1):43-5 [17326891] Am J Trop Med Hyg. 2017 Dec;97(6):1920-1928 [29141707] J Ayub Med Coll Abbottabad. 2010 Jan-Mar;22(1):13-6 [21409894] Virol J. 2011 Jul 26;8:364 [21787436] Hepatology. 2015 Mar;61(3):834-42 [25366418] Sci Rep. 2018 Jan 26;8(1):1661 [29374178] J Clin Gastroenterol. 2005 Mar;39(3):243-6 [15718868] Hepatology. 2013 Apr;57(4):1333-42 [23172780] East Mediterr Health J. 2010;16 Suppl:S15-23 [21495584] PLoS Med. 2009 Jul 21;6(7):e1000097 [19621072] Ann Intern Med. 2006 May 16;144(10):705-14 [16702586] J Coll Physicians Surg Pak. 2009 Mar;19(3):179-82 [19268019]\n\nLast updated - 2020-09-30","page":"180257","publisher-place":"Infectious Disease Epidemiology Group, Weill Cornell Medicine-Qatar, Qatar Foundation - Education City, PO Box 24144, Doha, Qatar.","title":"The epidemiology of hepatitis C virus in Pakistan: systematic review and meta-analyses.","type":"article-journal","volume":"5"},"uris":["http://www.mendeley.com/documents/?uuid=339e7e2c-6e56-4059-86b1-4502819177bd"]}],"mendeley":{"formattedCitation":"(46)","plainTextFormattedCitation":"(46)","previouslyFormattedCitation":"(46)"},"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(46)</w:t>
            </w:r>
            <w:r>
              <w:rPr>
                <w:rFonts w:ascii="Times New Roman" w:hAnsi="Times New Roman" w:cs="Times New Roman"/>
                <w:sz w:val="20"/>
                <w:szCs w:val="20"/>
              </w:rPr>
              <w:fldChar w:fldCharType="end"/>
            </w:r>
          </w:p>
        </w:tc>
        <w:tc>
          <w:tcPr>
            <w:tcW w:w="567" w:type="dxa"/>
          </w:tcPr>
          <w:p w14:paraId="0C89655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E0192B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Pakistan</w:t>
            </w:r>
          </w:p>
        </w:tc>
        <w:tc>
          <w:tcPr>
            <w:tcW w:w="1275" w:type="dxa"/>
          </w:tcPr>
          <w:p w14:paraId="6D668E0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1264C0E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PWID and general population</w:t>
            </w:r>
          </w:p>
        </w:tc>
        <w:tc>
          <w:tcPr>
            <w:tcW w:w="3686" w:type="dxa"/>
            <w:gridSpan w:val="2"/>
          </w:tcPr>
          <w:p w14:paraId="3E48FD5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Results indicated a high HCV prevalence among </w:t>
            </w:r>
            <w:r w:rsidRPr="00700670">
              <w:rPr>
                <w:rFonts w:ascii="Times New Roman" w:hAnsi="Times New Roman" w:cs="Times New Roman"/>
                <w:b/>
                <w:sz w:val="20"/>
                <w:szCs w:val="20"/>
              </w:rPr>
              <w:t>PWID</w:t>
            </w:r>
            <w:r w:rsidRPr="00700670">
              <w:rPr>
                <w:rFonts w:ascii="Times New Roman" w:hAnsi="Times New Roman" w:cs="Times New Roman"/>
                <w:sz w:val="20"/>
                <w:szCs w:val="20"/>
              </w:rPr>
              <w:t>.</w:t>
            </w:r>
          </w:p>
        </w:tc>
        <w:tc>
          <w:tcPr>
            <w:tcW w:w="425" w:type="dxa"/>
            <w:tcBorders>
              <w:right w:val="single" w:sz="4" w:space="0" w:color="auto"/>
            </w:tcBorders>
          </w:tcPr>
          <w:p w14:paraId="112AC40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0AEEB7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18C843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6B9AE4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5C5F309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4AD7A1B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4D63BE4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06885B2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81CBB9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1551E9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98464E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66D91B8C" w14:textId="77777777" w:rsidTr="009B07DB">
        <w:tc>
          <w:tcPr>
            <w:tcW w:w="1702" w:type="dxa"/>
          </w:tcPr>
          <w:p w14:paraId="646F70FA"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Alqahtani</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{"citationItems":[{"id":"ITEM-1","itemData":{"DOI":"http://dx.doi.org/10.1371/journal.pone.0233147","abstract":"Background Coronavirus disease 2019 (COVID-19) is an evolving infectious disease that dramatically spread all over the world in the early part of 2020. No studies have yet summarized the potential severity and mortality risks caused by COVID-19 in patients with chronic obstructive pulmonary disease (COPD), and we update information in smokers. Methods We systematically searched electronic databases from inception to March 24, 2020. Data were extracted by two independent authors in accordance with the Preferred Reporting Items for Systematic Reviews and Meta-Analyses guidelines. Study quality was assessed using a modified version of the Newcastle-Ottawa Scale. We synthesized a narrative from eligible studies and conducted a meta-analysis using a random-effects model to calculate pooled prevalence rates and 95% confidence intervals (95%CI). Results In total, 123 abstracts were screened and 61 full-text manuscripts were reviewed. A total of 15 studies met the inclusion criteria, which included a total of 2473 confirmed COVID-19 patients. All studies were included in the meta-analysis. The crude case fatality rate of COVID-19 was 7.4%. The pooled prevalence rates of COPD patients and smokers in COVID-19 cases were 2% (95% CI, 1%–3%) and 9% (95% CI, 4%–14%) respectively. COPD patients were at a higher risk of more severe disease (risk of severity = 63%, (22/35) compared to patients without COPD 33.4% (409/1224) [calculated RR, 1.88 (95% CI, 1.4–2.4)]. This was associated with higher mortality (60%). Our results showed that 22% (31/139) of current smokers and 46% (13/28) of ex-smokers had severe complications. The calculated RR showed that current smokers were 1.45 times more likely [95% CI: 1.03–2.04] to have severe complications compared to former and never smokers. Current smokers also had a higher mortality rate of 38.5%. Conclusion Although COPD prevalence in COVID-19 cases was low in current reports, COVID-19 infection was associated with substantial severity and mortality rates in COPD. Compared to former and never smokers, current smokers were at greater risk of severe complications and higher mortality rate. Effective preventive measures are required to reduce COVID-19 risk in COPD patients and current smokers.","author":[{"dropping-particle":"","family":"Alqahtani","given":"Jaber S","non-dropping-particle":"","parse-names":false,"suffix":""},{"dropping-particle":"","family":"Oyelade","given":"Tope","non-dropping-particle":"","parse-names":false,"suffix":""},{"dropping-particle":"","family":"Aldhahir","given":"Abdulelah M","non-dropping-particle":"","parse-names":false,"suffix":""},{"dropping-particle":"","family":"Alghamdi","given":"Saeed M","non-dropping-particle":"","parse-names":false,"suffix":""},{"dropping-particle":"","family":"Almehmadi","given":"Mater","non-dropping-particle":"","parse-names":false,"suffix":""},{"dropping-particle":"","family":"Alqahtani","given":"Abdullah S","non-dropping-particle":"","parse-names":false,"suffix":""},{"dropping-particle":"","family":"Quaderi","given":"Shumonta","non-dropping-particle":"","parse-names":false,"suffix":""},{"dropping-particle":"","family":"Mandal","given":"Swapna","non-dropping-particle":"","parse-names":false,"suffix":""},{"dropping-particle":"","family":"Hurst","given":"John R","non-dropping-particle":"","parse-names":false,"suffix":""}],"container-title":"PLoS One","id":"ITEM-1","issued":{"date-parts":[["2020"]]},"language":"English","note":"Copyright - © 2020 Alqahtani et al. This is an open access article distributed under the terms of the Creative Commons Attribution License: http://creativecommons.org/licenses/by/4.0/ (the “License”), which permits unrestricted use, distribution, and reproduction in any medium, provided the original author and source are credited. Notwithstanding the ProQuest Terms and Conditions, you may use this content in accordance with the terms of the License.\n\nLast updated - 2020-05-18\n\nSubjectsTermNotLitGenreText - United Kingdom--UK; Saudi Arabia; China","page":"e0233147","publisher":"Public Library of Science","publisher-place":"San Francisco","title":"Prevalence, severity and mortality associated with COPD and smoking in patients with COVID-19: A rapid systematic review and meta-analysis","type":"article-journal","volume":"15"},"uris":["http://www.mendeley.com/documents/?uuid=0c3c8fcc-ec2e-4c34-ac4c-8d62ea29abe7"]}],"mendeley":{"formattedCitation":"(66)","plainTextFormattedCitation":"(66)","previouslyFormattedCitation":"(66)"},"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(66)</w:t>
            </w:r>
            <w:r>
              <w:rPr>
                <w:rFonts w:ascii="Times New Roman" w:hAnsi="Times New Roman" w:cs="Times New Roman"/>
                <w:sz w:val="20"/>
                <w:szCs w:val="20"/>
              </w:rPr>
              <w:fldChar w:fldCharType="end"/>
            </w:r>
          </w:p>
        </w:tc>
        <w:tc>
          <w:tcPr>
            <w:tcW w:w="567" w:type="dxa"/>
          </w:tcPr>
          <w:p w14:paraId="224E1F2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A0E106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 US</w:t>
            </w:r>
          </w:p>
        </w:tc>
        <w:tc>
          <w:tcPr>
            <w:tcW w:w="1275" w:type="dxa"/>
          </w:tcPr>
          <w:p w14:paraId="7899301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27D5C96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confirmed COVID-19 </w:t>
            </w:r>
            <w:r w:rsidRPr="00057B1B">
              <w:rPr>
                <w:rFonts w:ascii="Times New Roman" w:hAnsi="Times New Roman" w:cs="Times New Roman"/>
                <w:i/>
                <w:sz w:val="20"/>
                <w:szCs w:val="20"/>
              </w:rPr>
              <w:t>(child studies excluded)</w:t>
            </w:r>
          </w:p>
        </w:tc>
        <w:tc>
          <w:tcPr>
            <w:tcW w:w="3686" w:type="dxa"/>
            <w:gridSpan w:val="2"/>
          </w:tcPr>
          <w:p w14:paraId="4F9D3EE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Current smokers</w:t>
            </w:r>
            <w:r w:rsidRPr="00700670">
              <w:rPr>
                <w:rFonts w:ascii="Times New Roman" w:hAnsi="Times New Roman" w:cs="Times New Roman"/>
                <w:sz w:val="20"/>
                <w:szCs w:val="20"/>
              </w:rPr>
              <w:t xml:space="preserve"> had greater risk of severe complications and a higher COVID-19 mortality rate, compared to former/never smokers. </w:t>
            </w:r>
          </w:p>
        </w:tc>
        <w:tc>
          <w:tcPr>
            <w:tcW w:w="425" w:type="dxa"/>
            <w:tcBorders>
              <w:right w:val="single" w:sz="4" w:space="0" w:color="auto"/>
            </w:tcBorders>
          </w:tcPr>
          <w:p w14:paraId="5E83EC4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60B518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B429E2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5BAF5C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P</w:t>
            </w:r>
          </w:p>
        </w:tc>
        <w:tc>
          <w:tcPr>
            <w:tcW w:w="425" w:type="dxa"/>
          </w:tcPr>
          <w:p w14:paraId="307457A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A541CA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7DD05B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45313AD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CAAF92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625766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63D405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5CC45B2C" w14:textId="77777777" w:rsidTr="009B07DB">
        <w:tc>
          <w:tcPr>
            <w:tcW w:w="1702" w:type="dxa"/>
          </w:tcPr>
          <w:p w14:paraId="3202A593"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Azar et al., 2010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{"citationItems":[{"id":"ITEM-1","itemData":{"DOI":"http://dx.doi.org/10.1016/j.drugalcdep.2010.06.014","ISSN":"0376-8716, 0376-8716","abstract":"Background Alcohol use disorders (AUDs) are highly prevalent and associated with non-adherence to antiretroviral therapy, decreased health care utilization and poor HIV treatment outcomes among HIV-infected individuals. Objectives To systematically review studies assessing the impact of AUDs on: (1) medication adherence, (2) health care utilization and (3) biological treatment outcomes among people living with HIV/AIDS (PLWHA). Data sources Six electronic databases and Google Scholar were queried for articles published in English, French and Spanish from 1988 to 2010. Selected references from primary articles were also examined. Review methods Selection criteria included: (1) AUD and adherence (N = 20); (2) AUD and health services utilization (N = 11); or (3) AUD with CD4 count or HIV-1 RNA treatment outcomes (N = 10). Reviews, animal studies, non-peer reviewed documents and ongoing studies with unpublished data were excluded. Studies that did not differentiate HIV+ from HIV- status and those that did not distinguish between drug and alcohol use were also excluded. Data were extracted, appraised and summarized. Data synthesis and conclusions Our findings consistently support an association between AUDs and decreased adherence to antiretroviral therapy and poor HIV treatment outcomes among HIV-infected individuals. Their effect on health care utilization, however, was variable. [Copyright Elsevier Ireland Ltd.]","author":[{"dropping-particle":"","family":"Azar","given":"Marwan M","non-dropping-particle":"","parse-names":false,"suffix":""},{"dropping-particle":"","family":"Springer","given":"Sandra A","non-dropping-particle":"","parse-names":false,"suffix":""},{"dropping-particle":"","family":"Meyer","given":"Jaimie P","non-dropping-particle":"","parse-names":false,"suffix":""},{"dropping-particle":"","family":"Altice","given":"Frederick L","non-dropping-particle":"","parse-names":false,"suffix":""}],"container-title":"Drug and Alcohol Dependence","id":"ITEM-1","issued":{"date-parts":[["2010"]]},"language":"English","note":"From Duplicate 1 (A systematic review of the impact of alcohol use disorders on HIV treatment outcomes, adherence to antiretroviral therapy and health care utilization - Azar, Marwan M; Springer, Sandra A; Meyer, Jaimie P; Altice, Frederick L)\n\nCopyright - © 2010, Elsevier Ireland Ltd. All rights reserved.\n\nDate completed - 2010-06-23\n\nDate created - 2010-04-03\n\nDate revised - 20110321\n\nNumber of references - 72\n\nSuppNotes - (0600) Appendixes [Available: Internet]\n\nLast updated - 2018-10-10\n\nSubjectsTermNotLitGenreText - Alcohol Abuse 2566P0A 293P0A 304P0A 5403P0A 8804P0A 8805P0A 9154P0A 2538P9A 289P9A 300P9A 5341P9A 8682P9A 8683P9A 9028P9A; Drug Therapy 2714P0A 6795P0A 9154P0A 9332P0A 2685P9A 6715P9A 9028P9A 9204P9A; Health Care Utilization 3983P0A 3992P0A 3993P0A 9154P0A 9332P0A 3938P9A 3946P9A 3947P9A 9028P9A 9204P9A; HIV 2566P0A 4124P0A 4384P0A 4473P0A 6773P0A 8245P0A 9154P0A 9559P0A 2538P9A 4074P9A 4334P9A 4420P9A 6694P9A 8134P9A 9028P9A 9429P9A; Treatment Outcomes 9154P0A 9332P0A 9343P0A 9028P9A 9204P9A 9215P9A; 1852P0A 8385P0A 9154P0A 927P0A 9332P0A 9335P0A 9343P0A 1833P9A 8274P9A 9028P9A 9204P9A 9207P9A 921P9A 9215P9A\n\nFrom Duplicate 2 (A systematic review of the impact of alcohol use disorders on HIV treatment outcomes, adherence to antiretroviral therapy and health care utilization - Azar, Marwan M; Springer, Sandra A; Meyer, Jaimie P; Altice, Frederick L)\n\nDate revised - 2011-01-10\n\nLast updated - 2016-09-27\n\nCODEN - DADEDV\n\nSubjectsTermNotLitGenreText - Adherence; Clinical outcomes; HIV; Helpseeking; Antiretroviral therapy; Alcohol related disorders\n\nFrom Duplicate 3 (A systematic review of the impact of alcohol use disorders on HIV treatment outcomes, adherence to antiretroviral therapy and health care utilization - Azar, Marwan M; Springer, Sandra A; Meyer, Jaimie P; Altice, Frederick L)\n\nDate revised - 2011-12-01\n\nLast updated - 2012-03-29\n\nSubjectsTermNotLitGenreText - Databases; Drug dependence; CD4 antigen; Acquired immune deficiency syndrome; Data processing; RNA; Reviews; antiretroviral therapy; Drugs; Ethanol; Human immunodeficiency virus 1","page":"178-193","publisher":"Elsevier Science, P.O. Box 85 Limerick Ireland","publisher-place":"Yale University School of Medicine, Department of Medicine, Section of Infectious Diseases, AIDS Program, New Haven, CT, US frederick.altice@yale.edu; Altice, Frederick L.,135 College Street, Suite 323,New Haven,US,06511,Yale University School of Medicine","title":"A systematic review of the impact of alcohol use disorders on HIV treatment outcomes, adherence to antiretroviral therapy and health care utilization","type":"article-journal","volume":"112"},"uris":["http://www.mendeley.com/documents/?uuid=1c764fc5-3fd7-4531-9895-c31d21f59134"]}],"mendeley":{"formattedCitation":"(36)","plainTextFormattedCitation":"(36)","previouslyFormattedCitation":"(36)"},"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(36)</w:t>
            </w:r>
            <w:r>
              <w:rPr>
                <w:rFonts w:ascii="Times New Roman" w:hAnsi="Times New Roman" w:cs="Times New Roman"/>
                <w:sz w:val="20"/>
                <w:szCs w:val="20"/>
              </w:rPr>
              <w:fldChar w:fldCharType="end"/>
            </w:r>
          </w:p>
        </w:tc>
        <w:tc>
          <w:tcPr>
            <w:tcW w:w="567" w:type="dxa"/>
          </w:tcPr>
          <w:p w14:paraId="2A96B878"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732F92A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France, US</w:t>
            </w:r>
          </w:p>
        </w:tc>
        <w:tc>
          <w:tcPr>
            <w:tcW w:w="1275" w:type="dxa"/>
          </w:tcPr>
          <w:p w14:paraId="031B1B2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41EE012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 infected individuals</w:t>
            </w:r>
          </w:p>
        </w:tc>
        <w:tc>
          <w:tcPr>
            <w:tcW w:w="3686" w:type="dxa"/>
            <w:gridSpan w:val="2"/>
          </w:tcPr>
          <w:p w14:paraId="62AE5E40" w14:textId="77777777" w:rsidR="00BF0F1A" w:rsidRPr="00700670" w:rsidRDefault="00BF0F1A" w:rsidP="009B07DB">
            <w:pPr>
              <w:tabs>
                <w:tab w:val="left" w:pos="387"/>
              </w:tabs>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Findings consistently supported an association between </w:t>
            </w:r>
            <w:r w:rsidRPr="00700670">
              <w:rPr>
                <w:rFonts w:ascii="Times New Roman" w:hAnsi="Times New Roman" w:cs="Times New Roman"/>
                <w:b/>
                <w:sz w:val="20"/>
                <w:szCs w:val="20"/>
              </w:rPr>
              <w:t xml:space="preserve">alcohol use disorders </w:t>
            </w:r>
            <w:r w:rsidRPr="00700670">
              <w:rPr>
                <w:rFonts w:ascii="Times New Roman" w:hAnsi="Times New Roman" w:cs="Times New Roman"/>
                <w:sz w:val="20"/>
                <w:szCs w:val="20"/>
              </w:rPr>
              <w:t>and poor HIV treatment outcomes.</w:t>
            </w:r>
            <w:r w:rsidRPr="00700670">
              <w:rPr>
                <w:rFonts w:ascii="Times New Roman" w:hAnsi="Times New Roman" w:cs="Times New Roman"/>
                <w:sz w:val="20"/>
                <w:szCs w:val="20"/>
              </w:rPr>
              <w:tab/>
            </w:r>
          </w:p>
        </w:tc>
        <w:tc>
          <w:tcPr>
            <w:tcW w:w="425" w:type="dxa"/>
            <w:tcBorders>
              <w:right w:val="single" w:sz="4" w:space="0" w:color="auto"/>
            </w:tcBorders>
          </w:tcPr>
          <w:p w14:paraId="5662B97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247283A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83204B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1ECF4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A5E0FD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1592AF5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375E006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2C41B70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7016371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F4C61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036AE2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5D7F7F84" w14:textId="77777777" w:rsidTr="009B07DB">
        <w:trPr>
          <w:trHeight w:val="191"/>
        </w:trPr>
        <w:tc>
          <w:tcPr>
            <w:tcW w:w="1702" w:type="dxa"/>
          </w:tcPr>
          <w:p w14:paraId="73EA7F9F" w14:textId="77777777" w:rsidR="00BF0F1A" w:rsidRPr="00057B1B" w:rsidRDefault="00BF0F1A" w:rsidP="009B07DB">
            <w:pPr>
              <w:spacing w:after="0" w:line="240" w:lineRule="auto"/>
              <w:rPr>
                <w:rFonts w:ascii="Times New Roman" w:hAnsi="Times New Roman" w:cs="Times New Roman"/>
                <w:b/>
                <w:sz w:val="20"/>
                <w:szCs w:val="20"/>
              </w:rPr>
            </w:pPr>
            <w:proofErr w:type="spellStart"/>
            <w:r w:rsidRPr="00057B1B">
              <w:rPr>
                <w:rFonts w:ascii="Times New Roman" w:hAnsi="Times New Roman" w:cs="Times New Roman"/>
                <w:sz w:val="20"/>
                <w:szCs w:val="20"/>
              </w:rPr>
              <w:lastRenderedPageBreak/>
              <w:t>Azhar</w:t>
            </w:r>
            <w:proofErr w:type="spellEnd"/>
            <w:r w:rsidRPr="00057B1B">
              <w:rPr>
                <w:rFonts w:ascii="Times New Roman" w:hAnsi="Times New Roman" w:cs="Times New Roman"/>
                <w:sz w:val="20"/>
                <w:szCs w:val="20"/>
              </w:rPr>
              <w:t xml:space="preserve">, 2012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{"citationItems":[{"id":"ITEM-1","itemData":{"DOI":"http://dx.doi.org/10.4103/0970-2113.95320","ISSN":"09702113","abstract":"In India, under the Revised National Tuberculosis Control Program (RNTCP), the percentage of smear-positive re-treatment cases is high. The causes of re-treatment include relapse of the disease after successful completion of treatment, treatment failure, and default in treatment. RNTCP does not follow up the patients for any period of time after successful completion of treatment to determine whether they relapse. Given the high cost of treatment for each patient under RNTCP and the potential for spread of disease from these patients, it is crucial for the success of the program and control of the disease in the country to find out more about the reasons behind this. T0 o conduct a systematic review of literature and determine evidence regarding recurrence of TB after its successful treatment with standard short course chemotherapy under DOTS guidelines. T0 en databases were searched including Medline, Cochrane database, Embase and others and reference lists of articles. 255 papers resulted from these searches. Seven studies were finally included in the review after applying the inclusion, exclusion and quality assessment criteria. R0 elapse rate is high (almost 10%) in India which is higher than international studies. Majority of relapse cases present soon after completion of treatment (first six months). Risk factors for relapse included drug irregularity, initial drug resistance, smoking and alcoholism Sex and weight were not risk factors in India. The outcome of relapse cases put on treatment is positive but less effective than new cases. There are sound arguments and sketchy evidence that DOTS Category 2 treatment may not be adequate for retreatment patients.","author":[{"dropping-particle":"","family":"Azhar","given":"Gulrez","non-dropping-particle":"","parse-names":false,"suffix":""}],"container-title":"Lung India","id":"ITEM-1","issued":{"date-parts":[["2012"]]},"language":"English","note":"Copyright - Copyright Medknow Publications &amp;amp; Media Pvt Ltd Apr 2012\n\nLast updated - 2013-12-31\n\nSubjectsTermNotLitGenreText - India","page":"147-153","publisher":"Medknow Publications &amp; Media Pvt. Ltd.","publisher-place":"Mumbai","title":"DOTS for TB relapse in India: A systematic review","type":"article-journal","volume":"29"},"uris":["http://www.mendeley.com/documents/?uuid=9d52a979-dcd0-43ad-8d13-42e934e55125"]}],"mendeley":{"formattedCitation":"(38)","plainTextFormattedCitation":"(38)","previouslyFormattedCitation":"(38)"},"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(38)</w:t>
            </w:r>
            <w:r>
              <w:rPr>
                <w:rFonts w:ascii="Times New Roman" w:hAnsi="Times New Roman" w:cs="Times New Roman"/>
                <w:sz w:val="20"/>
                <w:szCs w:val="20"/>
              </w:rPr>
              <w:fldChar w:fldCharType="end"/>
            </w:r>
          </w:p>
        </w:tc>
        <w:tc>
          <w:tcPr>
            <w:tcW w:w="567" w:type="dxa"/>
          </w:tcPr>
          <w:p w14:paraId="062EF266"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5215DB7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India</w:t>
            </w:r>
          </w:p>
        </w:tc>
        <w:tc>
          <w:tcPr>
            <w:tcW w:w="1275" w:type="dxa"/>
          </w:tcPr>
          <w:p w14:paraId="2B90543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5AFBBDD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successful TB treatment.</w:t>
            </w:r>
          </w:p>
        </w:tc>
        <w:tc>
          <w:tcPr>
            <w:tcW w:w="3686" w:type="dxa"/>
            <w:gridSpan w:val="2"/>
          </w:tcPr>
          <w:p w14:paraId="06AE9E4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and </w:t>
            </w:r>
            <w:r w:rsidRPr="00700670">
              <w:rPr>
                <w:rFonts w:ascii="Times New Roman" w:hAnsi="Times New Roman" w:cs="Times New Roman"/>
                <w:b/>
                <w:sz w:val="20"/>
                <w:szCs w:val="20"/>
              </w:rPr>
              <w:t>alcoholism</w:t>
            </w:r>
            <w:r w:rsidRPr="00700670">
              <w:rPr>
                <w:rFonts w:ascii="Times New Roman" w:hAnsi="Times New Roman" w:cs="Times New Roman"/>
                <w:sz w:val="20"/>
                <w:szCs w:val="20"/>
              </w:rPr>
              <w:t xml:space="preserve"> were risk factors for TB relapse after successful treatment.</w:t>
            </w:r>
          </w:p>
        </w:tc>
        <w:tc>
          <w:tcPr>
            <w:tcW w:w="425" w:type="dxa"/>
            <w:tcBorders>
              <w:right w:val="single" w:sz="4" w:space="0" w:color="auto"/>
            </w:tcBorders>
          </w:tcPr>
          <w:p w14:paraId="73F9B91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E3F92C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7EDF4D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284" w:type="dxa"/>
          </w:tcPr>
          <w:p w14:paraId="7ED5D5A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C7379C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2514CEF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A53DE2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6E7F2A0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1F7C4BE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E788C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1A18BD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02CCC6C6" w14:textId="77777777" w:rsidTr="009B07DB">
        <w:tc>
          <w:tcPr>
            <w:tcW w:w="1702" w:type="dxa"/>
          </w:tcPr>
          <w:p w14:paraId="7F4BC9E2"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Baskaran</w:t>
            </w:r>
            <w:proofErr w:type="spellEnd"/>
            <w:r>
              <w:rPr>
                <w:rFonts w:ascii="Times New Roman" w:hAnsi="Times New Roman" w:cs="Times New Roman"/>
                <w:sz w:val="20"/>
                <w:szCs w:val="20"/>
              </w:rPr>
              <w:t xml:space="preserve">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{"citationItems":[{"id":"ITEM-1","itemData":{"DOI":"http://dx.doi.org/10.1371/journal.pone.0220204","abstract":"Aim To summarise and quantify the effect of tobacco smoking on the risk of developing community acquired pneumonia (CAP) in adults. Methods We systematically searched MEDLINE, Embase, CINAHL, PsychINFO and Web of Science, from inception to October 2017, to identify case-control and cohort studies and reported in accordance with the Preferred Reporting Items for Systematic Reviews and Meta-Analysis (PRISMA) checklist. The review protocol was registered with the PROSPERO database (CRD42018093943). Study quality was assessed by the Newcastle-Ottawa Scale. Pooled odds ratios (ORs) or hazard ratios (HRs) were estimated using a random-effects model. Results Of 647 studies identified, 27 studies were included (n = 460,592 participants) in the systematic review. Most of the included studies were of moderate quality with a median score of six (IQR 6–7). Meta-analysis showed that current smokers (pooled OR 2.17, 95% CI 1.70–2.76, n = 13 studies; pooled HR 1.52, 95% CI 1.13–2.04, n = 7 studies) and ex-smokers (pooled OR 1.49, 95% CI 1.26–1.75, n = 8 studies; pooled HR 1.18, 95% CI 0.91–1.52, n = 6 studies) were more likely to develop CAP compared to never smokers. Although the association between passive smoking and risk of CAP in adults of all ages was not statistically significant (pooled OR 1.13, 95% CI 0.94–1.36, n = 5 studies), passive smoking in adults aged ≥65 years was associated with a 64% increased risk of CAP (pooled OR 1.64; 95% CI 1.17–2.30, n = 2 studies). Dose-response analyses of data from five studies revealed a significant trend; current smokers who smoked higher amount of tobacco had a higher risk of CAP. Conclusion Tobacco smoke exposure is significantly associated with the development of CAP in current smokers and ex-smokers. Adults aged &gt; 65 years who are passive smokers are also at higher risk of CAP. For current smokers, a significant dose-response relationship is evident.","author":[{"dropping-particle":"","family":"Baskaran","given":"Vadsala","non-dropping-particle":"","parse-names":false,"suffix":""},{"dropping-particle":"","family":"Murray","given":"Rachael L","non-dropping-particle":"","parse-names":false,"suffix":""},{"dropping-particle":"","family":"Hunter","given":"Abby","non-dropping-particle":"","parse-names":false,"suffix":""},{"dropping-particle":"","family":"Lim","given":"Wei Shen","non-dropping-particle":"","parse-names":false,"suffix":""},{"dropping-particle":"","family":"McKeever","given":"Tricia M","non-dropping-particle":"","parse-names":false,"suffix":""}],"container-title":"PLoS One","id":"ITEM-1","issued":{"date-parts":[["2019"]]},"language":"English","note":"Name - Nottingham University Hospitals NHS Trust; University of Nottingham\n\nCopyright - © 2019 Baskaran et al. This is an open access article distributed under the terms of the Creative Commons Attribution License: http://creativecommons.org/licenses/by/4.0/ (the “License”), which permits unrestricted use, distribution, and reproduction in any medium, provided the original author and source are credited. Notwithstanding the ProQuest Terms and Conditions, you may use this content in accordance with the terms of the License.\n\nLast updated - 2020-08-03\n\nSubjectsTermNotLitGenreText - United Kingdom--UK","page":"e0220204","publisher":"Public Library of Science","publisher-place":"San Francisco","title":"Effect of tobacco smoking on the risk of developing community acquired pneumonia: A systematic review and meta-analysis","type":"article-journal","volume":"14"},"uris":["http://www.mendeley.com/documents/?uuid=217394cb-7e3f-441d-b717-f21d5a551ee0"]}],"mendeley":{"formattedCitation":"(61)","plainTextFormattedCitation":"(61)","previouslyFormattedCitation":"(61)"},"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(61)</w:t>
            </w:r>
            <w:r>
              <w:rPr>
                <w:rFonts w:ascii="Times New Roman" w:hAnsi="Times New Roman" w:cs="Times New Roman"/>
                <w:sz w:val="20"/>
                <w:szCs w:val="20"/>
              </w:rPr>
              <w:fldChar w:fldCharType="end"/>
            </w:r>
          </w:p>
        </w:tc>
        <w:tc>
          <w:tcPr>
            <w:tcW w:w="567" w:type="dxa"/>
          </w:tcPr>
          <w:p w14:paraId="198CE8A0"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4DC50FF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1C02B91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(CAP)</w:t>
            </w:r>
          </w:p>
        </w:tc>
        <w:tc>
          <w:tcPr>
            <w:tcW w:w="2126" w:type="dxa"/>
          </w:tcPr>
          <w:p w14:paraId="2F83AE4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confirmed CAP </w:t>
            </w:r>
            <w:r w:rsidRPr="00057B1B">
              <w:rPr>
                <w:rFonts w:ascii="Times New Roman" w:hAnsi="Times New Roman" w:cs="Times New Roman"/>
                <w:i/>
                <w:sz w:val="20"/>
                <w:szCs w:val="20"/>
              </w:rPr>
              <w:t>(</w:t>
            </w:r>
            <w:r w:rsidRPr="00057B1B">
              <w:rPr>
                <w:rFonts w:ascii="Times New Roman" w:hAnsi="Times New Roman" w:cs="Times New Roman"/>
                <w:sz w:val="20"/>
                <w:szCs w:val="16"/>
              </w:rPr>
              <w:t xml:space="preserve">≥ </w:t>
            </w:r>
            <w:r w:rsidRPr="00057B1B">
              <w:rPr>
                <w:rFonts w:ascii="Times New Roman" w:hAnsi="Times New Roman" w:cs="Times New Roman"/>
                <w:i/>
                <w:sz w:val="20"/>
                <w:szCs w:val="20"/>
              </w:rPr>
              <w:t>15 years old)</w:t>
            </w:r>
          </w:p>
        </w:tc>
        <w:tc>
          <w:tcPr>
            <w:tcW w:w="3686" w:type="dxa"/>
            <w:gridSpan w:val="2"/>
          </w:tcPr>
          <w:p w14:paraId="69C29EFB"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Current and ex-smokers</w:t>
            </w:r>
            <w:r w:rsidRPr="00700670">
              <w:rPr>
                <w:rFonts w:ascii="Times New Roman" w:hAnsi="Times New Roman" w:cs="Times New Roman"/>
                <w:sz w:val="20"/>
                <w:szCs w:val="20"/>
              </w:rPr>
              <w:t xml:space="preserve"> were at greater risk of developing CAP, whilst </w:t>
            </w:r>
            <w:r w:rsidRPr="00700670">
              <w:rPr>
                <w:rFonts w:ascii="Times New Roman" w:hAnsi="Times New Roman" w:cs="Times New Roman"/>
                <w:b/>
                <w:sz w:val="20"/>
                <w:szCs w:val="20"/>
              </w:rPr>
              <w:t>passive tobacco smoke exposure</w:t>
            </w:r>
            <w:r w:rsidRPr="00700670">
              <w:rPr>
                <w:rFonts w:ascii="Times New Roman" w:hAnsi="Times New Roman" w:cs="Times New Roman"/>
                <w:sz w:val="20"/>
                <w:szCs w:val="20"/>
              </w:rPr>
              <w:t xml:space="preserve"> had a significant effect only in those aged &gt; 65 years.</w:t>
            </w:r>
          </w:p>
        </w:tc>
        <w:tc>
          <w:tcPr>
            <w:tcW w:w="425" w:type="dxa"/>
            <w:tcBorders>
              <w:right w:val="single" w:sz="4" w:space="0" w:color="auto"/>
            </w:tcBorders>
          </w:tcPr>
          <w:p w14:paraId="6A59E94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16586BA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9265AA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F709DF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0E69231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274D83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797972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D8EF05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FA7EBE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812387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E0CF9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5E759CDA" w14:textId="77777777" w:rsidTr="009B07DB">
        <w:tc>
          <w:tcPr>
            <w:tcW w:w="1702" w:type="dxa"/>
          </w:tcPr>
          <w:p w14:paraId="04F2459E"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Chen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{"citationItems":[{"id":"ITEM-1","itemData":{"DOI":"10.1136/gutjnl-2018-316601","ISSN":"14683288","PMID":"30228220","abstract":"Objective Hepatitis D virus (HDV) is a defective virus that completes its life cycle only with hepatitis B virus (HBV). The HBV with HDV super-infection has been considered as one of the most severe forms of the chronic viral hepatitis. However, there is a scarcity of data on the global burden of HDV infection. Design We searched PubMed, Embase, Cochrane Library and China Knowledge Resource Integrated databases from 1 January 1977 to 31 December 2016. We included studies with a minimum sample size of 50 patients. Our study analysed data from a total of 40 million individuals to estimate the prevalence of HDV by using Der-Simonian Laird random-effects model. The data were further categorised according to risk factors. Results From a total of 2717 initially identified studies, only 182 articles from 61 countries and regions met the final inclusion criteria. The overall prevalence of HDV was 0.98% (95% CI 0.61 to 1.42). In HBsAg-positive population, HDV pooled prevalence was 14.57% (95% CI 12.93 to 16.27): Seroprevalence was 10.58% (95% CI 9.14 to 12.11) in mixed population without risk factors of intravenous drug use (IVDU) and high-risk sexual behaviour (HRSB). It was 37.57% (95% CI 29.30 to 46.20) in the IVDU population and 17.01% (95% CI 10.69 to 24.34) in HRSB population. Conclusion We found that approximately 10.58% HBsAg carriers (without IVDU and HRSB) were coinfected with HDV, which is twofold of what has been estimated before. We also noted a substantially higher HDV prevalence in the IVDU and HRSB population. Our study highlights the need for increased focus on the routine HDV screening and rigorous implementation of HBV vaccine programme.","author":[{"dropping-particle":"","family":"Chen","given":"Hai Yan","non-dropping-particle":"","parse-names":false,"suffix":""},{"dropping-particle":"","family":"Shen","given":"Dan Ting","non-dropping-particle":"","parse-names":false,"suffix":""},{"dropping-particle":"","family":"Ji","given":"Dong Ze","non-dropping-particle":"","parse-names":false,"suffix":""},{"dropping-particle":"","family":"Han","given":"Pei Chun","non-dropping-particle":"","parse-names":false,"suffix":""},{"dropping-particle":"","family":"Zhang","given":"Wei Ming","non-dropping-particle":"","parse-names":false,"suffix":""},{"dropping-particle":"","family":"Ma","given":"Jian Feng","non-dropping-particle":"","parse-names":false,"suffix":""},{"dropping-particle":"Sen","family":"Chen","given":"Wen","non-dropping-particle":"","parse-names":false,"suffix":""},{"dropping-particle":"","family":"Goyal","given":"Hemant","non-dropping-particle":"","parse-names":false,"suffix":""},{"dropping-particle":"","family":"Pan","given":"Shiyang","non-dropping-particle":"","parse-names":false,"suffix":""},{"dropping-particle":"","family":"Xu","given":"Hua Guo","non-dropping-particle":"","parse-names":false,"suffix":""}],"container-title":"Gut","id":"ITEM-1","issued":{"date-parts":[["2019"]]},"page":"512-521","title":"Prevalence and burden of hepatitis D virus infection in the global population: A systematic review and meta-analysis","type":"article-journal","volume":"68"},"uris":["http://www.mendeley.com/documents/?uuid=dbfc28d1-6443-431f-93e6-37524223f7a0"]}],"mendeley":{"formattedCitation":"(49)","plainTextFormattedCitation":"(49)","previouslyFormattedCitation":"(49)"},"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(49)</w:t>
            </w:r>
            <w:r>
              <w:rPr>
                <w:rFonts w:ascii="Times New Roman" w:hAnsi="Times New Roman" w:cs="Times New Roman"/>
                <w:sz w:val="20"/>
                <w:szCs w:val="20"/>
              </w:rPr>
              <w:fldChar w:fldCharType="end"/>
            </w:r>
          </w:p>
        </w:tc>
        <w:tc>
          <w:tcPr>
            <w:tcW w:w="567" w:type="dxa"/>
          </w:tcPr>
          <w:p w14:paraId="5D656DE7"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17362DE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148B85D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HDV</w:t>
            </w:r>
          </w:p>
        </w:tc>
        <w:tc>
          <w:tcPr>
            <w:tcW w:w="2126" w:type="dxa"/>
          </w:tcPr>
          <w:p w14:paraId="4799F579" w14:textId="77777777" w:rsidR="00BF0F1A" w:rsidRPr="00057B1B" w:rsidRDefault="00BF0F1A" w:rsidP="009B07DB">
            <w:pPr>
              <w:spacing w:after="0" w:line="240" w:lineRule="auto"/>
              <w:rPr>
                <w:rFonts w:ascii="Times New Roman" w:hAnsi="Times New Roman" w:cs="Times New Roman"/>
                <w:sz w:val="20"/>
                <w:szCs w:val="20"/>
              </w:rPr>
            </w:pPr>
            <w:proofErr w:type="spellStart"/>
            <w:r w:rsidRPr="00057B1B">
              <w:rPr>
                <w:rFonts w:ascii="Times New Roman" w:hAnsi="Times New Roman" w:cs="Times New Roman"/>
                <w:sz w:val="20"/>
                <w:szCs w:val="20"/>
              </w:rPr>
              <w:t>HBsAG</w:t>
            </w:r>
            <w:proofErr w:type="spellEnd"/>
            <w:r w:rsidRPr="00057B1B">
              <w:rPr>
                <w:rFonts w:ascii="Times New Roman" w:hAnsi="Times New Roman" w:cs="Times New Roman"/>
                <w:sz w:val="20"/>
                <w:szCs w:val="20"/>
              </w:rPr>
              <w:t xml:space="preserve">-positive population </w:t>
            </w:r>
            <w:r w:rsidRPr="00057B1B">
              <w:rPr>
                <w:rFonts w:ascii="Times New Roman" w:hAnsi="Times New Roman" w:cs="Times New Roman"/>
                <w:i/>
                <w:sz w:val="20"/>
                <w:szCs w:val="20"/>
              </w:rPr>
              <w:t>(child studies excluded)</w:t>
            </w:r>
          </w:p>
        </w:tc>
        <w:tc>
          <w:tcPr>
            <w:tcW w:w="3686" w:type="dxa"/>
            <w:gridSpan w:val="2"/>
          </w:tcPr>
          <w:p w14:paraId="786B0C87"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HDV prevalence was substantially higher in an </w:t>
            </w:r>
            <w:r w:rsidRPr="00700670">
              <w:rPr>
                <w:rFonts w:ascii="Times New Roman" w:hAnsi="Times New Roman" w:cs="Times New Roman"/>
                <w:b/>
                <w:sz w:val="20"/>
                <w:szCs w:val="20"/>
              </w:rPr>
              <w:t>intravenous drug use</w:t>
            </w:r>
            <w:r w:rsidRPr="00700670">
              <w:rPr>
                <w:rFonts w:ascii="Times New Roman" w:hAnsi="Times New Roman" w:cs="Times New Roman"/>
                <w:sz w:val="20"/>
                <w:szCs w:val="20"/>
              </w:rPr>
              <w:t xml:space="preserve"> population than in a mixed population.</w:t>
            </w:r>
          </w:p>
        </w:tc>
        <w:tc>
          <w:tcPr>
            <w:tcW w:w="425" w:type="dxa"/>
            <w:tcBorders>
              <w:right w:val="single" w:sz="4" w:space="0" w:color="auto"/>
            </w:tcBorders>
          </w:tcPr>
          <w:p w14:paraId="3DCC94A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6C6E821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681562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AD370E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C9E6FF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1539EC6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6A2E587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0F04F0E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B998FD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D2F724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04126A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546D2BC1" w14:textId="77777777" w:rsidTr="009B07DB">
        <w:tc>
          <w:tcPr>
            <w:tcW w:w="1702" w:type="dxa"/>
          </w:tcPr>
          <w:p w14:paraId="610F4783"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Coleman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{"citationItems":[{"id":"ITEM-1","itemData":{"DOI":"http://dx.doi.org/10.1111/irv.12504","ISSN":"1750-2640","abstract":"AimTo determine factors associated with a serious outcome (hospital admission or severe outcome: critical care or death) and associated with illness caused by laboratory‐confirmed influenza, with a specific interest in low‐ and middle‐income countries (LMIC).MethodDatabases were searched on 11 March 2016 for reports of influenza and factors associated with mortality or morbidity in humans, with no language restrictions. Pooled risks were estimated using random‐effects models.ResultsDespite the heterogeneity of results across studies, known risk factors for serious disease were associated with both hospital admission and severe outcomes (critical care and/or death). In LMIC, but not in high income countries (HIC), pregnant women, people with HIV/AIDS and children &lt; 5 years old (compared with older children) were at increased risk of a severe outcome. Also, although all patients with neurological conditions were at higher risk of severe outcomes than those without, children were at higher risk than adults and children who lived in a LMIC were at significantly higher risk than those living in HIC. Adults were more likely than children to suffer a severe outcome if they had diabetes or a hematologic condition, were obese or had liver disease. Asthma is a risk factor for hospital admission but not for severe outcomes.ConclusionKnown risk factors for serious disease remain important predictors of hospital admission and severe outcomes with few differences between HIC and LMIC countries. These differences likely reflect differences in health‐seeking behaviours and health services, but high heterogeneity between studies limits conclusions about the effect size.","author":[{"dropping-particle":"","family":"Coleman","given":"Brenda L","non-dropping-particle":"","parse-names":false,"suffix":""},{"dropping-particle":"","family":"Fadel","given":"Shaza A","non-dropping-particle":"","parse-names":false,"suffix":""},{"dropping-particle":"","family":"Fitzpatrick","given":"Tiffany","non-dropping-particle":"","parse-names":false,"suffix":""},{"dropping-particle":"","family":"Thomas","given":"Sera‐Melisa","non-dropping-particle":"","parse-names":false,"suffix":""}],"container-title":"Influenza and Other Respiratory Viruses","id":"ITEM-1","issued":{"date-parts":[["2018"]]},"language":"English","note":"Copyright - © 2018. This work is published under http://creativecommons.org/licenses/by/4.0/ (the “License”). Notwithstanding the ProQuest Terms and Conditions, you may use this content in accordance with the terms of the License.\n\nLast updated - 2019-12-23","page":"22-29","publisher":"John Wiley &amp; Sons, Inc.","publisher-place":"Sinai Health System, Infectious Disease Epidemiology Research Unit, University of Toronto, Toronto, ON, Canada ; Sinai Health System, Infectious Disease Epidemiology Research Unit, University of Toronto, Toronto, ON, Canada","title":"Risk factors for serious outcomes associated with influenza illness in high‐ versus low‐ and middle‐income countries: Systematic literature review and meta‐analysis","type":"article-journal","volume":"12"},"uris":["http://www.mendeley.com/documents/?uuid=a17b90ed-6850-4071-aa8a-c6fcb6f6df4c"]}],"mendeley":{"formattedCitation":"(54)","plainTextFormattedCitation":"(54)","previouslyFormattedCitation":"(54)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(54)</w:t>
            </w:r>
            <w:r>
              <w:rPr>
                <w:rFonts w:ascii="Times New Roman" w:hAnsi="Times New Roman" w:cs="Times New Roman"/>
                <w:sz w:val="20"/>
                <w:szCs w:val="20"/>
              </w:rPr>
              <w:fldChar w:fldCharType="end"/>
            </w:r>
          </w:p>
        </w:tc>
        <w:tc>
          <w:tcPr>
            <w:tcW w:w="567" w:type="dxa"/>
          </w:tcPr>
          <w:p w14:paraId="22375F8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4158B04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270A09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Influenza</w:t>
            </w:r>
          </w:p>
        </w:tc>
        <w:tc>
          <w:tcPr>
            <w:tcW w:w="2126" w:type="dxa"/>
          </w:tcPr>
          <w:p w14:paraId="35CE7FA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influenza</w:t>
            </w:r>
          </w:p>
        </w:tc>
        <w:tc>
          <w:tcPr>
            <w:tcW w:w="3686" w:type="dxa"/>
            <w:gridSpan w:val="2"/>
          </w:tcPr>
          <w:p w14:paraId="4E04E51E"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Obesity</w:t>
            </w:r>
            <w:r w:rsidRPr="00700670">
              <w:rPr>
                <w:rFonts w:ascii="Times New Roman" w:hAnsi="Times New Roman" w:cs="Times New Roman"/>
                <w:sz w:val="20"/>
                <w:szCs w:val="20"/>
              </w:rPr>
              <w:t xml:space="preserve"> was an important predictor of hospital admission and severe outcomes from Influenza. Furthermore, smoking increased the risk of hospital admission and severe outcomes.</w:t>
            </w:r>
          </w:p>
        </w:tc>
        <w:tc>
          <w:tcPr>
            <w:tcW w:w="425" w:type="dxa"/>
            <w:tcBorders>
              <w:right w:val="single" w:sz="4" w:space="0" w:color="auto"/>
            </w:tcBorders>
          </w:tcPr>
          <w:p w14:paraId="2CD695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F32350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4292C1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A8DC42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BA9E1E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F4D4D4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39AE4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682AB9C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A26144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1E5EEB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D02EDE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41254D4E" w14:textId="77777777" w:rsidTr="009B07DB">
        <w:tc>
          <w:tcPr>
            <w:tcW w:w="1702" w:type="dxa"/>
          </w:tcPr>
          <w:p w14:paraId="7B34627A"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Cruickshank et al., 2014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{"citationItems":[{"id":"ITEM-1","itemData":{"DOI":"10.1136/bmjopen-2014-005224","ISSN":"20446055","PMID":"24951110","abstract":"Objective: To systematically review the literature for evidence of smoking and alcohol intake as independent risk factors for invasive pneumococcal disease (IPD). Design: Systematic review. Methods: MEDLINE (1946 - May 2012) and EMBASE (1947 - May 2012) were searched for studies investigating alcohol or smoking as risk factors for acquiring IPD and which reported results as relative risk. Studies conducted exclusively in clinical risk groups, those assessing risk factors for outcomes other than acquisition of IPD and studies describing risk factors without quantifying a relative risk were excluded. Results: Seven observational studies were identified and reviewed; owing to the heterogeneity of study design, meta-analysis was not attempted. Five of six studies investigating smoking reported an increased risk of IPD in the range 2.2-4.1. Four of the six studies investigating alcohol intake reported a significant increased risk for IPD ranging from 2.9 to 11.4, while one reported a significant protective effect. Conclusions: Overall, these observational data suggest that smoking and alcohol misuse may increase the risk of IPD in adults, but the magnitude of this risk remains unclear and should be explored with further research. The findings of this review will contribute to the debate on whether pneumococcal vaccine should be offered to smokers and people who misuse alcohol in addition to other clinically defined risk groups.","author":[{"dropping-particle":"","family":"Cruickshank","given":"Helen C.","non-dropping-particle":"","parse-names":false,"suffix":""},{"dropping-particle":"","family":"Jefferies","given":"Johanna M.","non-dropping-particle":"","parse-names":false,"suffix":""},{"dropping-particle":"","family":"Clarke","given":"Stuart C.","non-dropping-particle":"","parse-names":false,"suffix":""}],"container-title":"BMJ Open","id":"ITEM-1","issued":{"date-parts":[["2014"]]},"page":"e005224","title":"Lifestyle risk factors for invasive pneumococcal disease: A systematic review","type":"article-journal","volume":"4"},"uris":["http://www.mendeley.com/documents/?uuid=776c868d-a8a9-4cf7-a565-b3f8679d5c18"]}],"mendeley":{"formattedCitation":"(24)","plainTextFormattedCitation":"(24)","previouslyFormattedCitation":"(24)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(24)</w:t>
            </w:r>
            <w:r>
              <w:rPr>
                <w:rFonts w:ascii="Times New Roman" w:hAnsi="Times New Roman" w:cs="Times New Roman"/>
                <w:sz w:val="20"/>
                <w:szCs w:val="20"/>
              </w:rPr>
              <w:fldChar w:fldCharType="end"/>
            </w:r>
          </w:p>
        </w:tc>
        <w:tc>
          <w:tcPr>
            <w:tcW w:w="567" w:type="dxa"/>
          </w:tcPr>
          <w:p w14:paraId="23B2DA95"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1F784E2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Australia, Canada, US</w:t>
            </w:r>
          </w:p>
        </w:tc>
        <w:tc>
          <w:tcPr>
            <w:tcW w:w="1275" w:type="dxa"/>
          </w:tcPr>
          <w:p w14:paraId="655A5D8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IBD (IPD)</w:t>
            </w:r>
          </w:p>
        </w:tc>
        <w:tc>
          <w:tcPr>
            <w:tcW w:w="2126" w:type="dxa"/>
          </w:tcPr>
          <w:p w14:paraId="56C38C9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Various, including hospital and  community populations</w:t>
            </w:r>
          </w:p>
        </w:tc>
        <w:tc>
          <w:tcPr>
            <w:tcW w:w="3686" w:type="dxa"/>
            <w:gridSpan w:val="2"/>
          </w:tcPr>
          <w:p w14:paraId="26F64B3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 misuse</w:t>
            </w:r>
            <w:r w:rsidRPr="00700670">
              <w:rPr>
                <w:rFonts w:ascii="Times New Roman" w:hAnsi="Times New Roman" w:cs="Times New Roman"/>
                <w:sz w:val="20"/>
                <w:szCs w:val="20"/>
              </w:rPr>
              <w:t xml:space="preserve"> and </w:t>
            </w: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may increase the risk of IPD in adults. </w:t>
            </w:r>
          </w:p>
        </w:tc>
        <w:tc>
          <w:tcPr>
            <w:tcW w:w="425" w:type="dxa"/>
            <w:tcBorders>
              <w:right w:val="single" w:sz="4" w:space="0" w:color="auto"/>
            </w:tcBorders>
          </w:tcPr>
          <w:p w14:paraId="51AF365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9C4B9D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B1B42B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FDAD10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0892BB8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03057B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9A12FF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17B9EA9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5268FB7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083096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E0D593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255233D3" w14:textId="77777777" w:rsidTr="009B07DB">
        <w:tc>
          <w:tcPr>
            <w:tcW w:w="1702" w:type="dxa"/>
          </w:tcPr>
          <w:p w14:paraId="4F138280"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de </w:t>
            </w:r>
            <w:proofErr w:type="spellStart"/>
            <w:r>
              <w:rPr>
                <w:rFonts w:ascii="Times New Roman" w:hAnsi="Times New Roman" w:cs="Times New Roman"/>
                <w:sz w:val="20"/>
                <w:szCs w:val="20"/>
              </w:rPr>
              <w:t>Siqueira</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{"citationItems":[{"id":"ITEM-1","itemData":{"DOI":"10.1016/j.orcp.2020.07.005","ISSN":"18780318","PMID":"32736969","abstract":"The aim of the current review was to assess whether there was an association between obesity and higher levels of hospitalization, poor outcomes and mortality due to the disease of novel coronavirus (COVID-19). Methodology: A systematic review of articles on the novel coronavirus, containing information on obesity and its association with COVID-19 morbidity and mortality. In the bibliographic research, four databases were used, with the terms ['COVID-19′] AND ['hospitalization'] AND ['obesity'] AND ['mortality']. Studies published from 12/01/2019 until 05/01/2020 were included. The research contains inclusive criteria targeting studies of humans adults infected by Sars-Cov-2, with or without comorbidities. This research was selected from publications in Spanish and English languages. Results: 96 articles were identified, 15 being presented in two databases. Twenty articles were included, with a population total estimated from 1 to 7671 patients, with a prevalence of obesity ranging from 13.3% to 68.6%. The association of obesity and mortality has been observed in at least 4 studies, that 85.3% of the population was hospitalized. Among 19 of the 20 studies, more severe forms of the disease were observed and in 14 of them, higher rates of complications among obese people infected with the new coronavirus. Limitation differences in the definition of obesity was observed among publications, of which obesity was considered from a body mass index &gt;25 kg/m². Conclusions: In the current review, obesity and overweight were represented an unfavorable factor for infection of novel coronavirus, where the higher the BMI the worse the outcomes. This occurred by worsening the infection itself, as well as increasing the prevalence of hospitalizations, worst outcomes and greater lethality; especially when co-occurring with other chronic conditions and in the elderly as well. Given this evidence, greater attention is suggested to the obese and overweight population in the face of the current pandemic.","author":[{"dropping-particle":"","family":"Siqueira","given":"João Vitor Vieira","non-dropping-particle":"de","parse-names":false,"suffix":""},{"dropping-particle":"","family":"Almeida","given":"Lucas Garrido","non-dropping-particle":"","parse-names":false,"suffix":""},{"dropping-particle":"","family":"Zica","given":"Bruno Otávio","non-dropping-particle":"","parse-names":false,"suffix":""},{"dropping-particle":"","family":"Brum","given":"Ingred Batista","non-dropping-particle":"","parse-names":false,"suffix":""},{"dropping-particle":"","family":"Barceló","given":"Alberto","non-dropping-particle":"","parse-names":false,"suffix":""},{"dropping-particle":"","family":"Siqueira Galil","given":"Arise Garcia","non-dropping-particle":"de","parse-names":false,"suffix":""}],"container-title":"Obesity Research and Clinical Practice","id":"ITEM-1","issued":{"date-parts":[["2020"]]},"page":"398-403","title":"Impact of obesity on hospitalizations and mortality, due to COVID-19: A systematic review","type":"article-journal","volume":"14"},"uris":["http://www.mendeley.com/documents/?uuid=87b749e4-9e5d-40f7-a0b6-f01c6cbeb45e"]}],"mendeley":{"formattedCitation":"(60)","plainTextFormattedCitation":"(60)","previouslyFormattedCitation":"(60)"},"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(60)</w:t>
            </w:r>
            <w:r>
              <w:rPr>
                <w:rFonts w:ascii="Times New Roman" w:hAnsi="Times New Roman" w:cs="Times New Roman"/>
                <w:sz w:val="20"/>
                <w:szCs w:val="20"/>
              </w:rPr>
              <w:fldChar w:fldCharType="end"/>
            </w:r>
          </w:p>
        </w:tc>
        <w:tc>
          <w:tcPr>
            <w:tcW w:w="567" w:type="dxa"/>
          </w:tcPr>
          <w:p w14:paraId="3A82482F"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33180B3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3C7221A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0181EF1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COVID-19 </w:t>
            </w:r>
            <w:r w:rsidRPr="00057B1B">
              <w:rPr>
                <w:rFonts w:ascii="Times New Roman" w:hAnsi="Times New Roman" w:cs="Times New Roman"/>
                <w:i/>
                <w:sz w:val="20"/>
                <w:szCs w:val="20"/>
              </w:rPr>
              <w:t>(adults)</w:t>
            </w:r>
          </w:p>
        </w:tc>
        <w:tc>
          <w:tcPr>
            <w:tcW w:w="3686" w:type="dxa"/>
            <w:gridSpan w:val="2"/>
          </w:tcPr>
          <w:p w14:paraId="70BF1781"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Being </w:t>
            </w:r>
            <w:r w:rsidRPr="00700670">
              <w:rPr>
                <w:rFonts w:ascii="Times New Roman" w:hAnsi="Times New Roman" w:cs="Times New Roman"/>
                <w:b/>
                <w:sz w:val="20"/>
                <w:szCs w:val="20"/>
              </w:rPr>
              <w:t>obese</w:t>
            </w:r>
            <w:r w:rsidRPr="00700670">
              <w:rPr>
                <w:rFonts w:ascii="Times New Roman" w:hAnsi="Times New Roman" w:cs="Times New Roman"/>
                <w:sz w:val="20"/>
                <w:szCs w:val="20"/>
              </w:rPr>
              <w:t xml:space="preserve"> or overweight was associated with worse outcomes from COVID-19.</w:t>
            </w:r>
          </w:p>
        </w:tc>
        <w:tc>
          <w:tcPr>
            <w:tcW w:w="425" w:type="dxa"/>
            <w:tcBorders>
              <w:right w:val="single" w:sz="4" w:space="0" w:color="auto"/>
            </w:tcBorders>
          </w:tcPr>
          <w:p w14:paraId="6DF5A64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3F7CA5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419D3B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DDB7C6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840575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0764131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 xml:space="preserve">N </w:t>
            </w:r>
          </w:p>
        </w:tc>
        <w:tc>
          <w:tcPr>
            <w:tcW w:w="426" w:type="dxa"/>
          </w:tcPr>
          <w:p w14:paraId="253DAC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567" w:type="dxa"/>
          </w:tcPr>
          <w:p w14:paraId="4A0FA57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554B561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63383D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15642E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1E7DF1A6" w14:textId="77777777" w:rsidTr="009B07DB">
        <w:tc>
          <w:tcPr>
            <w:tcW w:w="1702" w:type="dxa"/>
          </w:tcPr>
          <w:p w14:paraId="5D9AE231"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Del </w:t>
            </w:r>
            <w:proofErr w:type="spellStart"/>
            <w:r>
              <w:rPr>
                <w:rFonts w:ascii="Times New Roman" w:hAnsi="Times New Roman" w:cs="Times New Roman"/>
                <w:sz w:val="20"/>
                <w:szCs w:val="20"/>
              </w:rPr>
              <w:t>Sole</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{"citationItems":[{"id":"ITEM-1","itemData":{"DOI":"10.1111/eci.13378","ISSN":"13652362","PMID":"32860457","abstract":"Background: To systematically review clinical and biochemical characteristics associated with the severity of the novel severe acute respiratory syndrome coronavirus 2 (SARS-CoV-2)-related disease (COVID-19). Materials and methods: Systematic review of observational studies from PubMed, ISI Web of Science, SCOPUS and Cochrane databases including people affected by COVID-19 and reporting data according to the severity of the disease. Data were combined with odds ratio (OR) and metanalysed. Severe COVID-19 was defined by acute respiratory distress syndrome, intensive care unit admission and death. Results: We included 12 studies with 2794 patients, of whom 596 (21.33%) had severe disease. A slightly higher age was found in severe vs non-severe disease. We found that prevalent cerebrovascular disease (odds ratio [OR] 3.66, 95% confidence interval [CI] 1.73-7.72), chronic obstructive pulmonary disease (OR: 2.39, 95% CI 1.10-5.19), prevalent cardiovascular disease (OR: 2.84, 95% CI 1.59-5.10), diabetes (OR: 2.78, 95% CI 2.09-3.72), hypertension (OR: 2.24, 95% CI 1.63-3.08), smoking (OR: 1.54, 95% CI 1.07-2.22) and male sex (OR: 1.22, 95% CI 1.01-1.49) were associated with severe disease. Furthermore, increased procalcitonin (OR: 8.21, 95% CI 4.48-15.07), increased D-Dimer (OR: 5.67, 95% CI 1.45-22.16) and thrombocytopenia (OR: 3.61, 95% CI 2.62-4.97) predicted severe infection. Conclusion: Characteristics associated with the severity of SARS-CoV-2 infection may allow an early identification and management of patients with poor outcomes.","author":[{"dropping-particle":"","family":"Sole","given":"Francesco","non-dropping-particle":"Del","parse-names":false,"suffix":""},{"dropping-particle":"","family":"Farcomeni","given":"Alessio","non-dropping-particle":"","parse-names":false,"suffix":""},{"dropping-particle":"","family":"Loffredo","given":"Lorenzo","non-dropping-particle":"","parse-names":false,"suffix":""},{"dropping-particle":"","family":"Carnevale","given":"Roberto","non-dropping-particle":"","parse-names":false,"suffix":""},{"dropping-particle":"","family":"Menichelli","given":"Danilo","non-dropping-particle":"","parse-names":false,"suffix":""},{"dropping-particle":"","family":"Vicario","given":"Tommasa","non-dropping-particle":"","parse-names":false,"suffix":""},{"dropping-particle":"","family":"Pignatelli","given":"Pasquale","non-dropping-particle":"","parse-names":false,"suffix":""},{"dropping-particle":"","family":"Pastori","given":"Daniele","non-dropping-particle":"","parse-names":false,"suffix":""}],"container-title":"European Journal of Clinical Investigation","id":"ITEM-1","issued":{"date-parts":[["2020"]]},"page":"1-7","title":"Features of severe COVID-19: A systematic review and meta-analysis","type":"article-journal","volume":"50"},"uris":["http://www.mendeley.com/documents/?uuid=b508b599-0d20-46e7-8fbc-318acea41fc4"]}],"mendeley":{"formattedCitation":"(65)","plainTextFormattedCitation":"(65)","previouslyFormattedCitation":"(65)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(65)</w:t>
            </w:r>
            <w:r>
              <w:rPr>
                <w:rFonts w:ascii="Times New Roman" w:hAnsi="Times New Roman" w:cs="Times New Roman"/>
                <w:sz w:val="20"/>
                <w:szCs w:val="20"/>
              </w:rPr>
              <w:fldChar w:fldCharType="end"/>
            </w:r>
          </w:p>
        </w:tc>
        <w:tc>
          <w:tcPr>
            <w:tcW w:w="567" w:type="dxa"/>
          </w:tcPr>
          <w:p w14:paraId="19E46904"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6A9D718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 the Netherlands</w:t>
            </w:r>
          </w:p>
        </w:tc>
        <w:tc>
          <w:tcPr>
            <w:tcW w:w="1275" w:type="dxa"/>
          </w:tcPr>
          <w:p w14:paraId="351A29C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47C1A54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COVID-19</w:t>
            </w:r>
          </w:p>
        </w:tc>
        <w:tc>
          <w:tcPr>
            <w:tcW w:w="3686" w:type="dxa"/>
            <w:gridSpan w:val="2"/>
          </w:tcPr>
          <w:p w14:paraId="6AEED43C"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was associated with severity.</w:t>
            </w:r>
          </w:p>
        </w:tc>
        <w:tc>
          <w:tcPr>
            <w:tcW w:w="425" w:type="dxa"/>
            <w:tcBorders>
              <w:right w:val="single" w:sz="4" w:space="0" w:color="auto"/>
            </w:tcBorders>
          </w:tcPr>
          <w:p w14:paraId="6750DF2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248DE7F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308877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9416B1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DB65E9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857D61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0CBE222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75300EA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FAFCFA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6BDF43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04DA9F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646A7FF3" w14:textId="77777777" w:rsidTr="009B07DB">
        <w:tc>
          <w:tcPr>
            <w:tcW w:w="1702" w:type="dxa"/>
          </w:tcPr>
          <w:p w14:paraId="60AC3862"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Dogar</w:t>
            </w:r>
            <w:proofErr w:type="spellEnd"/>
            <w:r>
              <w:rPr>
                <w:rFonts w:ascii="Times New Roman" w:hAnsi="Times New Roman" w:cs="Times New Roman"/>
                <w:sz w:val="20"/>
                <w:szCs w:val="20"/>
              </w:rPr>
              <w:t xml:space="preserve"> et al., 2015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{"citationItems":[{"id":"ITEM-1","itemData":{"DOI":"http://dx.doi.org/10.1017/S0950268815001235","ISSN":"0950-2688, 0950-2688","abstract":"There is limited evidence and lack of consensus whether second-hand smoke (SHS) increases risk of tuberculosis (TB), which has substantial implications for unrestricted smoking indoors and TB control policies. We aimed to establish the association between SHS and the risk of acquiring and worsening of TB in non-smokers. We identified 428 articles in the initial search and 12 comparative epidemiological studies met our inclusion criteria. Exposure to SHS was found to have a higher risk of TB infection [risk ratio (RR) 1.19, 95% confidence interval (CI) 0.90-1.57] compared to non-exposure; however, this did not reach statistical significance. There was marked variability (I super(2) = 74%, P = 0.0008) between studies' results, which could be explained by the differences in the diagnostic criteria used. Exposure to SHS was found to be statistically significantly associated (RR 1.59, 95% CI 1.11-2.27) with the risk of TB disease. There was significant heterogeneity (I super(2) = 77%, P = 0.0006) between studies' results, which was sourced to the internal characteristics of the studies rather than combining different study designs. We did not find any studies for SHS and TB treatment-related outcomes. Thus, we conclude that SHS exposure may increase the risk of acquiring TB infection and progression to TB disease; however, the evidence remains scanty and weak.","author":[{"dropping-particle":"","family":"Dogar","given":"O F","non-dropping-particle":"","parse-names":false,"suffix":""},{"dropping-particle":"","family":"Pillai","given":"N","non-dropping-particle":"","parse-names":false,"suffix":""},{"dropping-particle":"","family":"Safdar","given":"N","non-dropping-particle":"","parse-names":false,"suffix":""},{"dropping-particle":"","family":"Shah","given":"S K","non-dropping-particle":"","parse-names":false,"suffix":""},{"dropping-particle":"","family":"Zahid","given":"R","non-dropping-particle":"","parse-names":false,"suffix":""},{"dropping-particle":"","family":"Siddiqi","given":"K","non-dropping-particle":"","parse-names":false,"suffix":""}],"container-title":"Epidemiology and Infection","id":"ITEM-1","issued":{"date-parts":[["2015"]]},"language":"English","note":"From Duplicate 1 (Second-hand smoke and the risk of tuberculosis: a systematic review and a meta-analysis - Dogar, O F; Pillai, N; Safdar, N; Shah, S K; Zahid, R; Siddiqi, K)\n\nDate revised - 2016-02-01\n\nNumber of references - 39\n\nLast updated - 2016-02-29\n\nSubjectsTermNotLitGenreText - Smoke; Smoking; Statistics; Risk factors; Reviews; Tuberculosis; Infection; Health risks; Passive smoking; Mycobacterium\n\nFrom Duplicate 2 (Second-hand smoke and the risk of tuberculosis: a systematic review and a meta-analysis - DOGAR, O F; PILLAI, N; SAFDAR, N; SHAH, S K; ZAHID, R; SIDDIQI, K)\n\nCopyright - Copyright © Cambridge University Press 2015\n\nLast updated - 2015-10-09","page":"3158-3172","publisher":"Cambridge University Press, The Edinburgh Building, Cambridge CB2 2RU United Kingdom","publisher-place":"Department of Health Sciences, University of York, UK, omara.dogar@york.ac.uk","title":"Second-hand smoke and the risk of tuberculosis: a systematic review and a meta-analysis","type":"article-journal","volume":"143"},"uris":["http://www.mendeley.com/documents/?uuid=44a2df1d-f29b-4ac4-bf71-1f9e1e031c0c"]}],"mendeley":{"formattedCitation":"(71)","plainTextFormattedCitation":"(71)","previouslyFormattedCitation":"(71)"},"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(71)</w:t>
            </w:r>
            <w:r>
              <w:rPr>
                <w:rFonts w:ascii="Times New Roman" w:hAnsi="Times New Roman" w:cs="Times New Roman"/>
                <w:sz w:val="20"/>
                <w:szCs w:val="20"/>
              </w:rPr>
              <w:fldChar w:fldCharType="end"/>
            </w:r>
          </w:p>
        </w:tc>
        <w:tc>
          <w:tcPr>
            <w:tcW w:w="567" w:type="dxa"/>
          </w:tcPr>
          <w:p w14:paraId="49FBE197"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5F0A3D7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26E4CF6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Pulmonary TB infection and disease </w:t>
            </w:r>
          </w:p>
        </w:tc>
        <w:tc>
          <w:tcPr>
            <w:tcW w:w="2126" w:type="dxa"/>
          </w:tcPr>
          <w:p w14:paraId="32F48B3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People with no history of TB, non-smokers</w:t>
            </w:r>
          </w:p>
        </w:tc>
        <w:tc>
          <w:tcPr>
            <w:tcW w:w="3686" w:type="dxa"/>
            <w:gridSpan w:val="2"/>
          </w:tcPr>
          <w:p w14:paraId="6A8D81B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There was moderate evidence of an association between </w:t>
            </w:r>
            <w:r w:rsidRPr="00700670">
              <w:rPr>
                <w:rFonts w:ascii="Times New Roman" w:hAnsi="Times New Roman" w:cs="Times New Roman"/>
                <w:b/>
                <w:sz w:val="20"/>
                <w:szCs w:val="20"/>
              </w:rPr>
              <w:t>SHS</w:t>
            </w:r>
            <w:r w:rsidRPr="00700670">
              <w:rPr>
                <w:rFonts w:ascii="Times New Roman" w:hAnsi="Times New Roman" w:cs="Times New Roman"/>
                <w:sz w:val="20"/>
                <w:szCs w:val="20"/>
              </w:rPr>
              <w:t xml:space="preserve"> and risk of developing TB disease, and limited evidence for an association between </w:t>
            </w:r>
            <w:r w:rsidRPr="00700670">
              <w:rPr>
                <w:rFonts w:ascii="Times New Roman" w:hAnsi="Times New Roman" w:cs="Times New Roman"/>
                <w:b/>
                <w:sz w:val="20"/>
                <w:szCs w:val="20"/>
              </w:rPr>
              <w:t>SHS</w:t>
            </w:r>
            <w:r w:rsidRPr="00700670">
              <w:rPr>
                <w:rFonts w:ascii="Times New Roman" w:hAnsi="Times New Roman" w:cs="Times New Roman"/>
                <w:sz w:val="20"/>
                <w:szCs w:val="20"/>
              </w:rPr>
              <w:t xml:space="preserve"> and risk of TB infection.</w:t>
            </w:r>
          </w:p>
        </w:tc>
        <w:tc>
          <w:tcPr>
            <w:tcW w:w="425" w:type="dxa"/>
            <w:tcBorders>
              <w:right w:val="single" w:sz="4" w:space="0" w:color="auto"/>
            </w:tcBorders>
          </w:tcPr>
          <w:p w14:paraId="51B52C6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2E765C9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DCAE48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BADB01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114919C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C6FB73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4D3DE5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6F04AB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1346B2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2FF713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CA8023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0621E745" w14:textId="77777777" w:rsidTr="009B07DB">
        <w:tc>
          <w:tcPr>
            <w:tcW w:w="1702" w:type="dxa"/>
          </w:tcPr>
          <w:p w14:paraId="64BB8A68"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Fadlalla</w:t>
            </w:r>
            <w:proofErr w:type="spellEnd"/>
            <w:r>
              <w:rPr>
                <w:rFonts w:ascii="Times New Roman" w:hAnsi="Times New Roman" w:cs="Times New Roman"/>
                <w:sz w:val="20"/>
                <w:szCs w:val="20"/>
              </w:rPr>
              <w:t xml:space="preserve"> et al., 2015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{"citationItems":[{"id":"ITEM-1","itemData":{"DOI":"http://dx.doi.org/10.1371/journal.pone.0121873","abstract":"Objective To systematically review and synthesize available epidemiological data on hepatitis C virus (HCV) prevalence and incidence in the Maghreb region and to estimate the country-specific population-level HCV prevalence. Methods We conducted a systematic review of HCV antibody prevalence and incidence in the Maghreb countries as outlined by the PRISMA guidelines. Meta-analyses were conducted using DerSimonian-Laird random-effect models with inverse variance weighting to pool HCV prevalence estimates among general population groups. Results We identified 133 HCV prevalence measures and two HCV incidence measures. Among high risk groups, HCV prevalence ranged between 22% and 94% among people who inject drugs, 20% and 76% among dialysis patients, and 2% and 51% among hemophiliacs. Among intermediate-risk groups, considerable but widely variable HCV prevalence was found. Most common risk factors cited across studies were the duration of dialysis, number of transfusions, and having a history of surgery or dental work. The national HCV prevalence in Algeria was estimated at 0.3% (95%CI: 0.1-0.5), Libya 1.2% (95%CI: 1.1-1.3), Mauritania 1.1% (95%CI: 0-2.3), Morocco 0.8% (95%CI: 0.5-1.2), and Tunisia 0.6% (95%CI: 0.5-0.8). Conclusions HCV prevalence in the Maghreb region of the Middle East and North Africa is comparable to that in developed countries of about 1%. HCV exposures appear often to be linked to medical care and are suggestive of ongoing transmission in such settings. Injecting drug use appears also to be a major, though not dominant, contributor to HCV transmission. Further research is needed to draw a more thorough understanding of HCV epidemiology, especially in the countries with limited number of studies. HCV prevention policy and programming in these countries should focus on the settings of exposure.","author":[{"dropping-particle":"","family":"Fadlalla","given":"Fatima A","non-dropping-particle":"","parse-names":false,"suffix":""},{"dropping-particle":"","family":"Mohamoud","given":"Yousra A","non-dropping-particle":"","parse-names":false,"suffix":""},{"dropping-particle":"","family":"Mumtaz","given":"Ghina R","non-dropping-particle":"","parse-names":false,"suffix":""},{"dropping-particle":"","family":"Abu-Raddad","given":"Laith J","non-dropping-particle":"","parse-names":false,"suffix":""}],"container-title":"PLoS One","id":"ITEM-1","issued":{"date-parts":[["2015"]]},"language":"English","note":"From Duplicate 1 (The Epidemiology of Hepatitis C Virus in the Maghreb Region: Systematic Review and Meta-Analyses: e0121873 - Fadlalla, Fatima A; Mohamoud, Yousra A; Mumtaz, Ghina R; Abu-Raddad, Laith J)\n\nDate revised - 2015-04-01\n\nNumber of references - 106\n\nLast updated - 2015-11-16\n\nSubjectsTermNotLitGenreText - Antibodies; Dialysis; Data processing; Epidemiology; Risk factors; Surgery; Reviews; Risk groups; Transfusion; Drugs; Models; Hepatitis C virus\n\nFrom Duplicate 2 (The Epidemiology of Hepatitis C Virus in the Maghreb Region: Systematic Review and Meta-Analyses - Fadlalla, Fatima A; Mohamoud, Yousra A; Mumtaz, Ghina R; Abu-Raddad, Laith J)\n\nName - Cornell University\n\nCopyright - © 2015 Fadlalla et al. This is an open access article distributed under the terms of the Creative Commons Attribution License: http://creativecommons.org/licenses/by/4.0/ (the “License”), which permits unrestricted use, distribution, and reproduction in any medium, provided the original author and source are credited Notwithstanding the ProQuest Terms and Conditions, you may use this content in accordance with the terms of the License.\n\nLast updated - 2020-04-06\n\nSubjectsTermNotLitGenreText - Middle East; Libya; Qatar; Egypt; Tunisia; United States--US; North Africa; Algeria; Morocco; New York","page":"e0121873","publisher":"Public Library of Science, 185 Berry Street San Francisco CA 94107 United States","publisher-place":"San Francisco","title":"The epidemiology of hepatitis C virus in the Maghreb region: Systematic review and meta-analyses","type":"article-journal","volume":"10"},"uris":["http://www.mendeley.com/documents/?uuid=809d73da-6475-4527-b3ea-f038aecd29a7"]}],"mendeley":{"formattedCitation":"(47)","plainTextFormattedCitation":"(47)","previouslyFormattedCitation":"(47)"},"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(47)</w:t>
            </w:r>
            <w:r>
              <w:rPr>
                <w:rFonts w:ascii="Times New Roman" w:hAnsi="Times New Roman" w:cs="Times New Roman"/>
                <w:sz w:val="20"/>
                <w:szCs w:val="20"/>
              </w:rPr>
              <w:fldChar w:fldCharType="end"/>
            </w:r>
          </w:p>
        </w:tc>
        <w:tc>
          <w:tcPr>
            <w:tcW w:w="567" w:type="dxa"/>
          </w:tcPr>
          <w:p w14:paraId="09B99EA9"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31087BE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The Maghreb (NW Africa)</w:t>
            </w:r>
          </w:p>
        </w:tc>
        <w:tc>
          <w:tcPr>
            <w:tcW w:w="1275" w:type="dxa"/>
          </w:tcPr>
          <w:p w14:paraId="2D873EB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387CCEF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PWID and general/hospital populations </w:t>
            </w:r>
          </w:p>
        </w:tc>
        <w:tc>
          <w:tcPr>
            <w:tcW w:w="3686" w:type="dxa"/>
            <w:gridSpan w:val="2"/>
          </w:tcPr>
          <w:p w14:paraId="271D8CB7"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Injection drug use</w:t>
            </w:r>
            <w:r w:rsidRPr="00700670">
              <w:rPr>
                <w:rFonts w:ascii="Times New Roman" w:hAnsi="Times New Roman" w:cs="Times New Roman"/>
                <w:sz w:val="20"/>
                <w:szCs w:val="20"/>
              </w:rPr>
              <w:t xml:space="preserve"> appeared to be a major, though not dominant, contributor to HCV transmission.</w:t>
            </w:r>
          </w:p>
        </w:tc>
        <w:tc>
          <w:tcPr>
            <w:tcW w:w="425" w:type="dxa"/>
            <w:tcBorders>
              <w:right w:val="single" w:sz="4" w:space="0" w:color="auto"/>
            </w:tcBorders>
          </w:tcPr>
          <w:p w14:paraId="33AC02E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68F90BA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540B91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F08B23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5BAAD2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34871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4D28818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25FE455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6B76CB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5D21B8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87686E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7F53FCD8" w14:textId="77777777" w:rsidTr="009B07DB">
        <w:tc>
          <w:tcPr>
            <w:tcW w:w="1702" w:type="dxa"/>
          </w:tcPr>
          <w:p w14:paraId="5DB20101"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Falagas</w:t>
            </w:r>
            <w:proofErr w:type="spellEnd"/>
            <w:r>
              <w:rPr>
                <w:rFonts w:ascii="Times New Roman" w:hAnsi="Times New Roman" w:cs="Times New Roman"/>
                <w:sz w:val="20"/>
                <w:szCs w:val="20"/>
              </w:rPr>
              <w:t xml:space="preserve"> et al., 2010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{"citationItems":[{"id":"ITEM-1","itemData":{"DOI":"http://dx.doi.org/10.1017/S0950268810002037","ISSN":"0950-2688, 0950-2688","abstract":"SUMMARY We sought to systematically review the published literature describing the epidemiological aspects of the first wave of pandemic A(H1N1) 2009 influenza in the Southern Hemisphere. Fifteen studies were included in this review, originating from South America, Australia or New Zealand, and Africa. Across the different studies, 16·8-45·3% of the laboratory-confirmed cases were admitted to hospital, and 7·5-26·0% of these cases were admitted to intensive care units (ICUs). The fatality rate was 0·5-1·5% for laboratory-confirmed cases in 6/8 studies reporting specific relevant data, and 14·3-22·2% for cases admitted to ICUs in 5/7 studies, respectively. In 4/5 studies the majority of laboratory-confirmed cases were observed in young and middle-aged adults, the percentage of older adults increased the higher the level of healthcare the cases received (e.g. laboratory confirmation, hospitalization or ICU admission) or for fatal cases. Many of the cases had no prior comorbidity, including conditions identified as risk factors for seasonal influenza. Pregnant women represented 7·4-9·1% and 7·1-9·1% of unselected laboratory-confirmed cases and of those admitted to ICUs, respectively. Obesity and morbid obesity were more commonly reported as the level of healthcare increased. [PUBLICATION ABSTRACT]","author":[{"dropping-particle":"","family":"Falagas","given":"Me","non-dropping-particle":"","parse-names":false,"suffix":""},{"dropping-particle":"","family":"Koletsi","given":"P K","non-dropping-particle":"","parse-names":false,"suffix":""},{"dropping-particle":"","family":"Baskouta","given":"E","non-dropping-particle":"","parse-names":false,"suffix":""},{"dropping-particle":"","family":"Rafailidis","given":"P I","non-dropping-particle":"","parse-names":false,"suffix":""},{"dropping-particle":"","family":"Dimopoulos","given":"G","non-dropping-particle":"","parse-names":false,"suffix":""},{"dropping-particle":"","family":"Karageorgopoulos","given":"D E","non-dropping-particle":"","parse-names":false,"suffix":""}],"container-title":"Epidemiology and Infection","id":"ITEM-1","issued":{"date-parts":[["2011"]]},"language":"English","note":"From Duplicate 1 (Pandemic A(H1N1) 2009 influenza: review of the Southern Hemisphere experience - Falagas, Me; KOLETSI, P K; BASKOUTA, E; Rafailidis, P I; Dimopoulos, G; KARAGEORGOPOULOS, D E)\n\nDate revised - 2011-03-01\n\nNumber of references - 32\n\nLast updated - 2013-07-26\n\nSubjectsTermNotLitGenreText - Influenza; Obesity; pandemics; Data processing; Intensive care units; Risk factors; Waves; Pregnancy; Hospitals; Mortality; Sulfur dioxide; Health care; Reviews; obesity; Seasonal variations; Morbidity; influenza; PSE, Australia; South America; Africa; New Zealand\n\nFrom Duplicate 2 (Pandemic A(H1N1) 2009 influenza: review of the Southern Hemisphere experience - FALAGAS, M E; KOLETSI, P K; BASKOUTA, E; RAFAILIDIS, P I; DIMOPOULOS, G; KARAGEORGOPOULOS, D E)\n\nCopyright - Copyright © Cambridge University Press 2010\n\nLast updated - 2015-08-15","page":"27-40","publisher":"Cambridge University Press, The Edinburgh Building, Cambridge CB2 2RU UK","publisher-place":"Alfa Institute of Biomedical Sciences (AIBS), Athens, Greece, m.falagas@aibs.gr","title":"Pandemic A(H1N1) 2009 influenza: review of the Southern Hemisphere experience","type":"article-journal","volume":"139"},"uris":["http://www.mendeley.com/documents/?uuid=7f1a99fd-09bc-417a-9433-1b1b8e18f501"]}],"mendeley":{"formattedCitation":"(52)","plainTextFormattedCitation":"(52)","previouslyFormattedCitation":"(52)"},"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(52)</w:t>
            </w:r>
            <w:r>
              <w:rPr>
                <w:rFonts w:ascii="Times New Roman" w:hAnsi="Times New Roman" w:cs="Times New Roman"/>
                <w:sz w:val="20"/>
                <w:szCs w:val="20"/>
              </w:rPr>
              <w:fldChar w:fldCharType="end"/>
            </w:r>
          </w:p>
        </w:tc>
        <w:tc>
          <w:tcPr>
            <w:tcW w:w="567" w:type="dxa"/>
          </w:tcPr>
          <w:p w14:paraId="10DD7362"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1AA03F4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Southern Hemisphere</w:t>
            </w:r>
          </w:p>
        </w:tc>
        <w:tc>
          <w:tcPr>
            <w:tcW w:w="1275" w:type="dxa"/>
          </w:tcPr>
          <w:p w14:paraId="10A88E5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Pandemic Influenza A (H1N1) </w:t>
            </w:r>
          </w:p>
        </w:tc>
        <w:tc>
          <w:tcPr>
            <w:tcW w:w="2126" w:type="dxa"/>
          </w:tcPr>
          <w:p w14:paraId="2D6969A3"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Patients with pandemic A (H1N1) influenza</w:t>
            </w:r>
          </w:p>
        </w:tc>
        <w:tc>
          <w:tcPr>
            <w:tcW w:w="3686" w:type="dxa"/>
            <w:gridSpan w:val="2"/>
          </w:tcPr>
          <w:p w14:paraId="4006576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A substantial proportion of the cases of influenza reported in the studies were in </w:t>
            </w:r>
            <w:r w:rsidRPr="00700670">
              <w:rPr>
                <w:rFonts w:ascii="Times New Roman" w:hAnsi="Times New Roman" w:cs="Times New Roman"/>
                <w:b/>
                <w:sz w:val="20"/>
                <w:szCs w:val="20"/>
              </w:rPr>
              <w:t>obese</w:t>
            </w:r>
            <w:r w:rsidRPr="00700670">
              <w:rPr>
                <w:rFonts w:ascii="Times New Roman" w:hAnsi="Times New Roman" w:cs="Times New Roman"/>
                <w:sz w:val="20"/>
                <w:szCs w:val="20"/>
              </w:rPr>
              <w:t xml:space="preserve"> individuals. Obesity and morbid obesity were more commonly reported as the level of healthcare increased.</w:t>
            </w:r>
          </w:p>
        </w:tc>
        <w:tc>
          <w:tcPr>
            <w:tcW w:w="425" w:type="dxa"/>
            <w:tcBorders>
              <w:right w:val="single" w:sz="4" w:space="0" w:color="auto"/>
            </w:tcBorders>
          </w:tcPr>
          <w:p w14:paraId="4E52CA7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592D90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3FBCFE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E63F64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BEC23C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D25CAF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6DE8EDC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1BF6C9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658AF45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ECDD0C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8CE59B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2579BCE9" w14:textId="77777777" w:rsidTr="009B07DB">
        <w:tc>
          <w:tcPr>
            <w:tcW w:w="1702" w:type="dxa"/>
          </w:tcPr>
          <w:p w14:paraId="5417DBFC"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lastRenderedPageBreak/>
              <w:t>Farsalinos</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{"citationItems":[{"id":"ITEM-1","itemData":{"DOI":"http://dx.doi.org/10.1177/2040622320935765","ISSN":"20406223","abstract":"BackgroundThe purpose of this study was to examine the prevalence and effects of current smoking on adverse outcomes among hospitalized COVID-19 patients.MethodsA systematic review of the literature (PubMed) identified 18 (from a total of 1398) relevant studies. Pooled current smoking prevalence was compared with the gender-adjusted and gender and age-adjusted, population-based expected prevalence by calculating prevalence odds ratio (POR). The association between current, compared with non-current and former, smoking and adverse outcome was examined. A secondary analysis was performed by including 12 pre-publications (30 studies in total). All analyses were performed using random-effects meta-analysis.ResultsAmong 6515 patients, the pooled prevalence of current smoking was 6.8% [95% confidence interval (CI): 4.8-9.1%]. The gender-adjusted POR was 0.20 (95% CI: 0.16-0.25, p &lt; 0.001), and the gender and age-adjusted POR was 0.24 (95% CI: 0.19-0.30, p &lt; 0.001). Current smokers were more likely to have an adverse outcome compared with non-current smokers [odds ratio (OR): 1.53, 95%CI: 1.06-2.20, p = 0.022] but less likely compared with former smokers (OR: 0.42, 95% CI: 0.27-0.74, p = 0.003). When pre-publications were added (n = 10,631), the gender-adjusted POR was 0.27 (95% CI: 0.19-0.38, p &lt; 0.001) and the gender and age-adjusted POR was 0.34 (95% CI: 0.24-0.48, p &lt; 0.001).ConclusionThis meta-analysis of retrospective observational case series found an unexpectedly low prevalence of current smoking among hospitalized patients with COVID-19. Hospitalized current smokers had higher odds compared with non-current smokers but lower odds compared with former smokers for an adverse outcome. Smoking cannot be considered a protective measure for COVID-19. However, the hypothesis that nicotine may have a protective effect in COVID-19 that is partially masked by smoking-related toxicity and by the abrupt cessation of nicotine intake when smokers are hospitalized should be explored in laboratory studies and clinical trials using pharmaceutical nicotine products.","author":[{"dropping-particle":"","family":"Farsalinos","given":"Konstantinos","non-dropping-particle":"","parse-names":false,"suffix":""},{"dropping-particle":"","family":"Barbouni","given":"Anastasia","non-dropping-particle":"","parse-names":false,"suffix":""},{"dropping-particle":"","family":"Poulas","given":"Konstantinos","non-dropping-particle":"","parse-names":false,"suffix":""},{"dropping-particle":"","family":"Polosa","given":"Riccardo","non-dropping-particle":"","parse-names":false,"suffix":""},{"dropping-particle":"","family":"Caponnetto","given":"Pasquale","non-dropping-particle":"","parse-names":false,"suffix":""},{"dropping-particle":"","family":"Niaura","given":"Raymond","non-dropping-particle":"","parse-names":false,"suffix":""},{"dropping-particle":"","family":"Konstantinos","given":"Farsalinos","non-dropping-particle":"","parse-names":false,"suffix":""},{"dropping-particle":"","family":"Anastasia","given":"Barbouni","non-dropping-particle":"","parse-names":false,"suffix":""},{"dropping-particle":"","family":"Konstantinos","given":"Poulas","non-dropping-particle":"","parse-names":false,"suffix":""},{"dropping-particle":"","family":"Riccardo","given":"Polosa","non-dropping-particle":"","parse-names":false,"suffix":""},{"dropping-particle":"","family":"Pasquale","given":"Caponnetto","non-dropping-particle":"","parse-names":false,"suffix":""},{"dropping-particle":"","family":"Raymond","given":"Niaura","non-dropping-particle":"","parse-names":false,"suffix":""}],"container-title":"Therapeutic advances in chronic disease","id":"ITEM-1","issued":{"date-parts":[["2020"]]},"language":"English","note":"From Duplicate 1 (Current smoking, former smoking, and adverse outcome among hospitalized COVID-19 patients: a systematic review and meta-analysis - Konstantinos, Farsalinos; Anastasia, Barbouni; Konstantinos, Poulas; Riccardo, Polosa; Pasquale, Caponnetto; Raymond, Niaura)\n\nCopyright - © The Author(s), 2020. This work is licensed under the Creative Commons  Attribution – Non-Commercial License https://creativecommons.org/licenses/by-nc/4.0/ (the “License”). Notwithstanding the ProQuest Terms and Conditions, you may use this content in accordance with the terms of the License.\n\nLast updated - 2020-10-20\n\nFrom Duplicate 2 (Current smoking, former smoking, and adverse outcome among hospitalized COVID-19 patients: a systematic review and meta-analysis. - Farsalinos, Konstantinos; Barbouni, Anastasia; Poulas, Konstantinos; Polosa, Riccardo; Caponnetto, Pasquale; Niaura, Raymond)\n\nDate created - 2020-07-09\n\nDate revised - 2020-09-30\n\nSuppNotes - Conflict of Interest: Conflict of interest statement: The authors declare that there is no conflict of interest. Cited By: Crit Care. 2020 Mar 18;24(1):108 [32188484] Int J Antimicrob Agents. 2020 May;55(5):105954 [32234467] Diabetes Res Clin Pract. 2020 Apr;162:108132 [32234504] N Engl J Med. 2020 Apr 30;382(18):1708-1720 [32109013] Clin Infect Dis. 2020 May 03;: [32361738] Geriatr Gerontol Int. 2010 Jul;10 Suppl 1:S127-36 [20590828] Int J Equity Health. 2019 Sep 18;18(1):148 [31533732] Eur Respir J. 2020 May 14;55(5): [32269089] Nature. 2003 Jan 23;421(6921):384-8 [12508119] Toxicol Rep. 2020 Apr 30;: [32355638] Intern Emerg Med. 2020 May 9;: [32385628] Int J Infect Dis. 2020 May;94:81-87 [32205284] J Epidemiol Community Health. 2017 Feb;71(2):154-161 [27660401] N Engl J Med. 2020 Jun 18;382(25):2441-2448 [32356628] Clin Nutr. 2019 Feb;38(1):110-126 [29395374] Life Sci. 2006 Apr 4;78(19):2166-71 [16303146] Eur J Neurol. 2018 Jan;25(1):120-127 [28960663] J Korean Med Sci. 2020 Apr 06;35(13):e142 [32242348] Allergy. 2020 Feb 19;: [32077115] Lancet. 2020 Mar 28;395(10229):1054-1062 [32171076] J Allergy Clin Immunol. 2020 Jul;146(1):110-118 [32294485] Lancet. 2020 May 2;395(10234):1407-1409 [32278362] Arch Acad Emerg Med. 2020 Mar 24;8(1):e35 [32232218] Am J Respir Crit Care Med. 2020 Jun 1;201(11):1380-1388 [32275452] Lancet. 2020 Mar 14;395(10227):846-848 [32151325] Intensive Care Med. 2020 Apr;46(4):586-590 [32125455] J Clin Med. 2020 Mar 20;9(3): [32244852] N Engl J Med. 2020 Jun 11;382(24):2372-2374 [32302078] Eur J Intern Med. 2020 Jul;77:121-122 [32345527] Intensive Care Med. 2020 May;46(5):846-848 [32125452] N Engl J Med. 2020 Jun 18;382(25):e102 [32356626] Circ Heart Fail. 2009 Sep;2(5):446-55 [19808375] Rheumatol Int. 2020 May;40(5):825-826 [32232552] Neurology. 2012 Jan 10;78(2):91-101 [22232050] MMWR Morb Mortal Wkly Rep. 2020 Apr 03;69(13):382-386 [32240123] Mol Pharmacol. 2001 Dec;60(6):1201-9 [11723227] Stat Med. 2017 Oct 15;36(23):3760 [28872254] J Exp Med. 2002 Mar 18;195(6):F25-8 [11901206] Front Pediatr. 2020 Apr 23;8:206 [32391299] BMJ. 2020 Mar 26;368:m1091 [32217556] Am J Physiol Regul Integr Comp Physiol. 2018 Nov 1;315(5):R895-R906 [30088946] Radiology. 2020 Apr 17;:201433 [32301647] Nature. 2002 Dec 19-26;420(6917):853-9 [12490958] Chin Med J (Engl). 2020 May 5;133(9):1032-1038 [32118640] Eur Respir J. 2020 Jun 4;55(6): [32350106] Cardiovasc Res. 1999 Jan;41(1):41-54 [10325952] Lancet. 2020 Feb 15;395(10223):497-506 [31986264] J Infect. 2013 Sep;67(3):169-84 [23707875] Clin Infect Dis. 2020 May 23;: [32445579] Clin Infect Dis. 2020 Apr 09;: [32271369] Eur Respir J. 2020 May 14;55(5): [32217650] Clin Infect Dis. 2020 Mar 16;: [32173725] Inflammation. 2011 Aug;34(4):231-7 [20625922] Tob Induc Dis. 2020 Mar 20;18:20 [32206052] Lancet Respir Med. 2020 May;8(5):475-481 [32105632] Eur J Intern Med. 2020 Jun;76:14-20 [32336612] J Med Virol. 2020 Jul;92(7):797-806 [32198776] Biochim Biophys Acta. 2014 Nov;1843(11):2563-2582 [24892271] Circulation. 2003 May 6;107(17):2190-5 [12695289] Drug Dev Res. 2020 Mar 4;: [32129518] N Engl J Med. 2020 Apr 23;382(17):1653-1659 [32227760] Int J Infect Dis. 2020 Jun;95:421-428 [32289565] J Clin Med. 2020 May 02;9(5): [32370269] J Biol Regul Homeost Agents. 2020 Mar 14;34(2): [32171193] Eur J Intern Med. 2020 May;75:107-108 [32192856] Nature. 2000 May 25;405(6785):458-62 [10839541]\n\nLast updated - 2020-09-30","page":"1-14","publisher":"SAGE PUBLICATIONS, INC.","publisher-place":"Department of Pharmacy, Laboratory of Molecular Biology and Immunology, University of Patras, Panepistimiopolis, 26500, Greece. ; Department of Public and Community Health, School of Public Health, University of West Attica, Egaleo, Attica, Greece. ; Depa","title":"Current smoking, former smoking, and adverse outcome among hospitalized COVID-19 patients: a systematic review and meta-analysis.","type":"article-journal","volume":"11"},"uris":["http://www.mendeley.com/documents/?uuid=ddbe1798-f97b-4cde-bb3d-12300b481b00"]}],"mendeley":{"formattedCitation":"(64)","plainTextFormattedCitation":"(64)","previouslyFormattedCitation":"(64)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(64)</w:t>
            </w:r>
            <w:r>
              <w:rPr>
                <w:rFonts w:ascii="Times New Roman" w:hAnsi="Times New Roman" w:cs="Times New Roman"/>
                <w:sz w:val="20"/>
                <w:szCs w:val="20"/>
              </w:rPr>
              <w:fldChar w:fldCharType="end"/>
            </w:r>
          </w:p>
        </w:tc>
        <w:tc>
          <w:tcPr>
            <w:tcW w:w="567" w:type="dxa"/>
          </w:tcPr>
          <w:p w14:paraId="325F3395"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94A973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 (mostly China)</w:t>
            </w:r>
          </w:p>
        </w:tc>
        <w:tc>
          <w:tcPr>
            <w:tcW w:w="1275" w:type="dxa"/>
          </w:tcPr>
          <w:p w14:paraId="0D98331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22ED850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Hospitalised COVID-19 patients</w:t>
            </w:r>
          </w:p>
        </w:tc>
        <w:tc>
          <w:tcPr>
            <w:tcW w:w="3686" w:type="dxa"/>
            <w:gridSpan w:val="2"/>
          </w:tcPr>
          <w:p w14:paraId="0D1423F3"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 xml:space="preserve">Current smokers </w:t>
            </w:r>
            <w:r w:rsidRPr="00700670">
              <w:rPr>
                <w:rFonts w:ascii="Times New Roman" w:hAnsi="Times New Roman" w:cs="Times New Roman"/>
                <w:sz w:val="20"/>
                <w:szCs w:val="20"/>
              </w:rPr>
              <w:t>had higher odds of an adverse COVID-19 outcome compared with non-current smokers, but lower odds compared with former smokers.</w:t>
            </w:r>
          </w:p>
        </w:tc>
        <w:tc>
          <w:tcPr>
            <w:tcW w:w="425" w:type="dxa"/>
            <w:tcBorders>
              <w:right w:val="single" w:sz="4" w:space="0" w:color="auto"/>
            </w:tcBorders>
          </w:tcPr>
          <w:p w14:paraId="58B3D7A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665DCB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CD2372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79A634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8DF76A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2FD7D92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6B3A4F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4CB3BE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3C5763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954F46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B30AD6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717181A6" w14:textId="77777777" w:rsidTr="009B07DB">
        <w:tc>
          <w:tcPr>
            <w:tcW w:w="1702" w:type="dxa"/>
          </w:tcPr>
          <w:p w14:paraId="4A5104B8"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Fezeu</w:t>
            </w:r>
            <w:proofErr w:type="spellEnd"/>
            <w:r>
              <w:rPr>
                <w:rFonts w:ascii="Times New Roman" w:hAnsi="Times New Roman" w:cs="Times New Roman"/>
                <w:sz w:val="20"/>
                <w:szCs w:val="20"/>
              </w:rPr>
              <w:t xml:space="preserve"> et al., 2011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{"citationItems":[{"id":"ITEM-1","itemData":{"DOI":"http://dx.doi.org/10.1111/j.1467-789X.2011.00864.x","ISSN":"1467-7881, 1467-7881","abstract":"The aim of this study was to assess the association between obesity and the risk of intensive care unit (ICU) admission and death among patients hospitalized for influenza A (H1N1) viral infection. A systematic review of the Medline and Cochrane databases using 'obesity', 'hospitalization', 'influenza A viral infection', various synonyms, and reference lists of retrieved articles from January 2009 to January 2010. Studies comparing the prevalence of obesity among patients with confirmed infection for influenza A virus and who were either hospitalized or admitted to ICU/died were included. A total of 3059 subjects from six cross-sectional studies, who were hospitalized for influenza A (H1N1) viral infection, were included in this meta-analysis. Severely obese H1N1 patients (body mass index ‰¥ 40 kg m², n = 804) were as twice as likely to be admitted to ICU or die (odds ration: 2.01, 95% confidence interval: 1.29-3.14, P &lt; 0.002) compared with H1N1 patients who were not severely obese. Having a body mass index ‰¥ 30 kg m² was similarly associated with a more than twofold increased risk of ICU admission or death although this did not reach statistical significance (2.14, 0.92-4.99, P &lt; 0.07). This meta-analysis supports the view that obesity is associated with higher risks of ICU admission or death in patients with influenza A (H1N1) infection. Therefore, morbid obese patients should be monitored more intensively when hospitalized.","author":[{"dropping-particle":"","family":"Fezeu","given":"L","non-dropping-particle":"","parse-names":false,"suffix":""},{"dropping-particle":"","family":"Julia","given":"C","non-dropping-particle":"","parse-names":false,"suffix":""},{"dropping-particle":"","family":"Henegar","given":"A","non-dropping-particle":"","parse-names":false,"suffix":""},{"dropping-particle":"","family":"Bitu","given":"J","non-dropping-particle":"","parse-names":false,"suffix":""},{"dropping-particle":"","family":"Hu","given":"F B","non-dropping-particle":"","parse-names":false,"suffix":""},{"dropping-particle":"","family":"Grobbee","given":"D E","non-dropping-particle":"","parse-names":false,"suffix":""},{"dropping-particle":"","family":"Kengne","given":"A.-P. A-P","non-dropping-particle":"","parse-names":false,"suffix":""},{"dropping-particle":"","family":"Hercberg","given":"S","non-dropping-particle":"","parse-names":false,"suffix":""},{"dropping-particle":"","family":"Czernichow","given":"S","non-dropping-particle":"","parse-names":false,"suffix":""}],"container-title":"Obesity reviews","id":"ITEM-1","issued":{"date-parts":[["2011"]]},"language":"English","note":"From Duplicate 1 (Obesity is associated with higher risk of intensive care unit admission and death in influenza A (H1N1) patients: a systematic review and meta-analysis - Fezeu, L; Julia, C; Henegar, A; Bitu, J; Hu, F B; Grobbee, D E; Kengne, A.-P.; Hercberg, S; Czernichow, S)\n\nSuppNotes - Obesity reviews. 2011 Aug., v. 12, no. 8 Blackwell Publishing Ltd\n\nLast updated - 2018-02-10\n\nFrom Duplicate 2 (Obesity is associated with higher risk of intensive care unit admission and death in influenza A (H1N1) patients: a systematic review and meta-analysis - Fezeu, L; Julia, C; Henegar, A; Bitu, J; Hu, F B; Grobbee, D E; Kengne, A-P; Hercberg, S; Czernichow, S)\n\nDate revised - 2011-10-01\n\nDocument feature - figure 4\n\nLast updated - 2016-03-17\n\nSubjectsTermNotLitGenreText - Admissions; Obesity; Death; Body mass; Meta analysis; Patients; Infection; Databases; Statistics; Intensive care units; Risk factors; Reviews; Influenza A; Mortality; body mass; infection; obesity; intensive care units; Hospitals; influenza; Influenza A virus","page":"653-659","publisher":"Blackwell Publishing Ltd","publisher-place":"Nutritional Epidemiology Research Unit-UMR U557 INSERM, U1125 INRA, CNAM, Paris 13 University, Bobigny, France","title":"Obesity is associated with higher risk of intensive care unit admission and death in influenza A (H1N1) patients: a systematic review and meta-analysis","type":"article-journal","volume":"12"},"uris":["http://www.mendeley.com/documents/?uuid=6c47db6c-0e11-4b51-ade3-9ad286de41b3"]}],"mendeley":{"formattedCitation":"(51)","plainTextFormattedCitation":"(51)","previouslyFormattedCitation":"(51)"},"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(51)</w:t>
            </w:r>
            <w:r>
              <w:rPr>
                <w:rFonts w:ascii="Times New Roman" w:hAnsi="Times New Roman" w:cs="Times New Roman"/>
                <w:sz w:val="20"/>
                <w:szCs w:val="20"/>
              </w:rPr>
              <w:fldChar w:fldCharType="end"/>
            </w:r>
          </w:p>
        </w:tc>
        <w:tc>
          <w:tcPr>
            <w:tcW w:w="567" w:type="dxa"/>
          </w:tcPr>
          <w:p w14:paraId="212EEB06"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1FFB196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7F0A3E2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Pandemic influenza A (H1N1)</w:t>
            </w:r>
          </w:p>
        </w:tc>
        <w:tc>
          <w:tcPr>
            <w:tcW w:w="2126" w:type="dxa"/>
          </w:tcPr>
          <w:p w14:paraId="4700930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Hospitalised patients with pandemic influenza A (H1N1)</w:t>
            </w:r>
          </w:p>
        </w:tc>
        <w:tc>
          <w:tcPr>
            <w:tcW w:w="3686" w:type="dxa"/>
            <w:gridSpan w:val="2"/>
          </w:tcPr>
          <w:p w14:paraId="7C143FA3"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Obesity</w:t>
            </w:r>
            <w:r w:rsidRPr="00700670">
              <w:rPr>
                <w:rFonts w:ascii="Times New Roman" w:hAnsi="Times New Roman" w:cs="Times New Roman"/>
                <w:sz w:val="20"/>
                <w:szCs w:val="20"/>
              </w:rPr>
              <w:t xml:space="preserve"> was associated with higher risks of ICU admission or death in patients with influenza A (H1N1) infection. </w:t>
            </w:r>
          </w:p>
        </w:tc>
        <w:tc>
          <w:tcPr>
            <w:tcW w:w="425" w:type="dxa"/>
            <w:tcBorders>
              <w:right w:val="single" w:sz="4" w:space="0" w:color="auto"/>
            </w:tcBorders>
          </w:tcPr>
          <w:p w14:paraId="2FDA4BD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649C929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5B0344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3D31D1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51051F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1E24B98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1ED8F1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1197173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C6137E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8AA4A8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7F9B3B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7992D25D" w14:textId="77777777" w:rsidTr="009B07DB">
        <w:tc>
          <w:tcPr>
            <w:tcW w:w="1702" w:type="dxa"/>
          </w:tcPr>
          <w:p w14:paraId="2A87A049"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Földi</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{"citationItems":[{"id":"ITEM-1","itemData":{"DOI":"10.1111/obr.13095","ISSN":"1467789X","PMID":"32686331","abstract":"The disease course of COVID-19 varies from asymptomatic infection to critical condition leading to mortality. Identification of prognostic factors is important for prevention and early treatment. We aimed to examine whether obesity is a risk factor for the critical condition in COVID-19 patients by performing a meta-analysis. The review protocol was registered onto PROSPERO (CRD42020185980). A systematic search was performed in five scientific databases between 1 January and 11 May 2020. After selection, 24 retrospective cohort studies were included in the qualitative and quantitative analyses. We calculated pooled odds ratios (OR) with 95% confidence intervals (CIs) in meta-analysis. Obesity was a significant risk factor for intensive care unit (ICU) admission in a homogenous dataset (OR = 1.21, CI: 1.002-1.46; I2 = 0.0%) as well as for invasive mechanical ventilation (IMV) (OR = 2.05, CI: 1.16-3.64; I2 = 34.86%) in COVID-19. Comparing body mass index (BMI) classes with each other, we found that a higher BMI always carries a higher risk. Obesity may serve as a clinical predictor for adverse outcomes; therefore, the inclusion of BMI in prognostic scores and improvement of guidelines for the intensive care of patients with elevated BMI are highly recommended.","author":[{"dropping-particle":"","family":"Földi","given":"Mária","non-dropping-particle":"","parse-names":false,"suffix":""},{"dropping-particle":"","family":"Farkas","given":"Nelli","non-dropping-particle":"","parse-names":false,"suffix":""},{"dropping-particle":"","family":"Kiss","given":"Szabolcs","non-dropping-particle":"","parse-names":false,"suffix":""},{"dropping-particle":"","family":"Zádori","given":"Noémi","non-dropping-particle":"","parse-names":false,"suffix":""},{"dropping-particle":"","family":"Váncsa","given":"Szilárd","non-dropping-particle":"","parse-names":false,"suffix":""},{"dropping-particle":"","family":"Szakó","given":"Lajos","non-dropping-particle":"","parse-names":false,"suffix":""},{"dropping-particle":"","family":"Dembrovszky","given":"Fanni","non-dropping-particle":"","parse-names":false,"suffix":""},{"dropping-particle":"","family":"Solymár","given":"Margit","non-dropping-particle":"","parse-names":false,"suffix":""},{"dropping-particle":"","family":"Bartalis","given":"Eszter","non-dropping-particle":"","parse-names":false,"suffix":""},{"dropping-particle":"","family":"Szakács","given":"Zsolt","non-dropping-particle":"","parse-names":false,"suffix":""},{"dropping-particle":"","family":"Hartmann","given":"Petra","non-dropping-particle":"","parse-names":false,"suffix":""},{"dropping-particle":"","family":"Pár","given":"Gabriella","non-dropping-particle":"","parse-names":false,"suffix":""},{"dropping-particle":"","family":"Erőss","given":"Bálint","non-dropping-particle":"","parse-names":false,"suffix":""},{"dropping-particle":"","family":"Molnár","given":"Zsolt","non-dropping-particle":"","parse-names":false,"suffix":""},{"dropping-particle":"","family":"Hegyi","given":"Péter","non-dropping-particle":"","parse-names":false,"suffix":""},{"dropping-particle":"","family":"Szentesi","given":"Andrea","non-dropping-particle":"","parse-names":false,"suffix":""}],"container-title":"Obesity Reviews","id":"ITEM-1","issued":{"date-parts":[["2020"]]},"page":"e13095","title":"Obesity is a risk factor for developing critical condition in COVID-19 patients: A systematic review and meta-analysis","type":"article-journal","volume":"21"},"uris":["http://www.mendeley.com/documents/?uuid=bf3c813b-1003-43f3-96c1-b3214f3bc69c"]}],"mendeley":{"formattedCitation":"(57)","plainTextFormattedCitation":"(57)","previouslyFormattedCitation":"(57)"},"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(57)</w:t>
            </w:r>
            <w:r>
              <w:rPr>
                <w:rFonts w:ascii="Times New Roman" w:hAnsi="Times New Roman" w:cs="Times New Roman"/>
                <w:sz w:val="20"/>
                <w:szCs w:val="20"/>
              </w:rPr>
              <w:fldChar w:fldCharType="end"/>
            </w:r>
          </w:p>
        </w:tc>
        <w:tc>
          <w:tcPr>
            <w:tcW w:w="567" w:type="dxa"/>
          </w:tcPr>
          <w:p w14:paraId="301CE869"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600CE07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690BB9F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01E98A2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 patients with no conditions that influence weight</w:t>
            </w:r>
          </w:p>
        </w:tc>
        <w:tc>
          <w:tcPr>
            <w:tcW w:w="3686" w:type="dxa"/>
            <w:gridSpan w:val="2"/>
          </w:tcPr>
          <w:p w14:paraId="7764C836"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Obesity</w:t>
            </w:r>
            <w:r w:rsidRPr="00700670">
              <w:rPr>
                <w:rFonts w:ascii="Times New Roman" w:hAnsi="Times New Roman" w:cs="Times New Roman"/>
                <w:sz w:val="20"/>
                <w:szCs w:val="20"/>
              </w:rPr>
              <w:t xml:space="preserve"> was a risk factor for ICU admission and IMV requirement.</w:t>
            </w:r>
          </w:p>
        </w:tc>
        <w:tc>
          <w:tcPr>
            <w:tcW w:w="425" w:type="dxa"/>
            <w:tcBorders>
              <w:right w:val="single" w:sz="4" w:space="0" w:color="auto"/>
            </w:tcBorders>
          </w:tcPr>
          <w:p w14:paraId="7061B09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6EC13E4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67F933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73EB7C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C1E677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5738C2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1CD4AB3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25B9C1F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252D7C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F2DC0B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947263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4B870782" w14:textId="77777777" w:rsidTr="009B07DB">
        <w:trPr>
          <w:trHeight w:val="274"/>
        </w:trPr>
        <w:tc>
          <w:tcPr>
            <w:tcW w:w="1702" w:type="dxa"/>
          </w:tcPr>
          <w:p w14:paraId="109D42AF"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Ge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{"citationItems":[{"id":"ITEM-1","itemData":{"DOI":"http://dx.doi.org/10.1097/JAN.0000000000000220","ISSN":"1088-4602","abstract":"Background: Alcohol use is associated with many HIV-related behaviors that are associated with increased risk of reinfection, transmission, and poorer health outcomes in people living with HIV (PLHIV). The population of middle-aged and older PLHIV is growing because of increased life longevity and aging trend. Methods: A systematic review across three databases was conducted to evaluate existing studies that examined the association between alcohol use and medication adherence, high-risk sex behaviors, HIV progression, depression, resource utilization, and survival among studies of PLHIV with an average age of 40 years and above. Results: Among the 47 included studies, most found a positive association between alcohol use and depression, risky sex behaviors, medication nonadherence, and healthcare resource utilization among PLHIV. The association between alcohol use and response to treatment was variable. The association between alcohol use and survival warrants further study because of lack of existing studies. Conclusions: The results of this review support that alcohol use negatively impacts middle-aged and older PLHIV in many aspects; however, there is lack of studies exclusively targeting older PLHIV, and more relevant studies in the future are needed.","author":[{"dropping-particle":"","family":"Ge","given":"Song","non-dropping-particle":"","parse-names":false,"suffix":""},{"dropping-particle":"","family":"Sanchez","given":"Michael","non-dropping-particle":"","parse-names":false,"suffix":""},{"dropping-particle":"","family":"Nolan","given":"Marie","non-dropping-particle":"","parse-names":false,"suffix":""},{"dropping-particle":"","family":"Liu","given":"Tingting","non-dropping-particle":"","parse-names":false,"suffix":""},{"dropping-particle":"","family":"Savage","given":"Christine L","non-dropping-particle":"","parse-names":false,"suffix":""}],"container-title":"Journal of Addictions Nursing","id":"ITEM-1","issued":{"date-parts":[["2018"]]},"language":"English","note":"From Duplicate 1 (Is alcohol use associated with increased risk of developing adverse health outcomes among adults living with human immunodeficiency virus: A systematic review - Ge, Song; Sanchez, Michael; Nolan, Marie; Liu, Tingting; Savage, Christine L)\n\nCopyright - © 2018, International Nurses Society on Addictions. Unauthorized reproduction of this article is prohibited.\n\nDate revised - 20181115\n\nNumber of references - 63\n\nLast updated - 2018-11-15\n\nSubjectsTermNotLitGenreText - Alcohol Abuse 2566P0A 293P0A 304P0A 5403P0A 8804P0A 8805P0A 9154P0A 2538P9A 289P9A 300P9A 5341P9A 8682P9A 8683P9A 9028P9A; Health Care Services 3992P0A 9154P0A 9332P0A 3946P9A 9028P9A 9204P9A; HIV 2566P0A 4124P0A 4384P0A 4473P0A 6773P0A 8245P0A 9154P0A 9559P0A 2538P9A 4074P9A 4334P9A 4420P9A 6694P9A 8134P9A 9028P9A 9429P9A; Major Depression 218P0A 2566P0A 5162P0A 5403P0A 9154P0A 215P9A 2538P9A 5100P9A 5341P9A 9028P9A\n\nFrom Duplicate 2 (Is Alcohol Use Associated With Increased Risk of Developing Adverse Health Outcomes Among Adults Living With Human Immunodeficiency Virus: A Systematic Review - Ge RN, PhD, BSN, Song; Sanchez DNP, CRNP, FNP-BC, Michael; Nolan RN, PhD, MPH, FAAN, Marie; Savage RN, CARN, PhD, FAAN, Christine L; Liu RN, PhD, Tingting)\n\nCopyright - Copyright Lippincott Williams &amp;amp; Wilkins Ovid Technologies Apr-Jun 2018\n\nLast updated - 2019-12-05","page":"96","publisher":"Lippincott Williams &amp; Wilkins Ovid Technologies","publisher-place":"School of Nursing, Johns Hopkins University, Baltimore, Maryland ; Eleanor Mann School of Nursing, University of Arkansas, Fayetteville, Arkansas ; School of Nursing, Johns Hopkins University, Baltimore, Maryland","title":"Is alcohol use associated with increased risk of developing adverse health outcomes among adults living with Human Immunodeficiency Virus: A systematic review","type":"article-journal","volume":"29"},"uris":["http://www.mendeley.com/documents/?uuid=3a4ebcec-f189-4dd4-96d9-cf5f2da74399"]}],"mendeley":{"formattedCitation":"(29)","plainTextFormattedCitation":"(29)","previouslyFormattedCitation":"(29)"},"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(29)</w:t>
            </w:r>
            <w:r>
              <w:rPr>
                <w:rFonts w:ascii="Times New Roman" w:hAnsi="Times New Roman" w:cs="Times New Roman"/>
                <w:sz w:val="20"/>
                <w:szCs w:val="20"/>
              </w:rPr>
              <w:fldChar w:fldCharType="end"/>
            </w:r>
          </w:p>
        </w:tc>
        <w:tc>
          <w:tcPr>
            <w:tcW w:w="567" w:type="dxa"/>
          </w:tcPr>
          <w:p w14:paraId="7C13E1A7"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21C4B8B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12EEC71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6D5917F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HIV infected individuals </w:t>
            </w:r>
            <w:r w:rsidRPr="00057B1B">
              <w:rPr>
                <w:rFonts w:ascii="Times New Roman" w:hAnsi="Times New Roman" w:cs="Times New Roman"/>
                <w:i/>
                <w:sz w:val="20"/>
                <w:szCs w:val="20"/>
              </w:rPr>
              <w:t>(average age 40+)</w:t>
            </w:r>
          </w:p>
        </w:tc>
        <w:tc>
          <w:tcPr>
            <w:tcW w:w="3686" w:type="dxa"/>
            <w:gridSpan w:val="2"/>
          </w:tcPr>
          <w:p w14:paraId="0DFA6C87"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Associations between </w:t>
            </w:r>
            <w:r w:rsidRPr="00700670">
              <w:rPr>
                <w:rFonts w:ascii="Times New Roman" w:hAnsi="Times New Roman" w:cs="Times New Roman"/>
                <w:b/>
                <w:sz w:val="20"/>
                <w:szCs w:val="20"/>
              </w:rPr>
              <w:t>alcohol use</w:t>
            </w:r>
            <w:r w:rsidRPr="00700670">
              <w:rPr>
                <w:rFonts w:ascii="Times New Roman" w:hAnsi="Times New Roman" w:cs="Times New Roman"/>
                <w:sz w:val="20"/>
                <w:szCs w:val="20"/>
              </w:rPr>
              <w:t xml:space="preserve"> and response to treatment (progression of HIV) were variable. </w:t>
            </w:r>
          </w:p>
        </w:tc>
        <w:tc>
          <w:tcPr>
            <w:tcW w:w="425" w:type="dxa"/>
            <w:tcBorders>
              <w:right w:val="single" w:sz="4" w:space="0" w:color="auto"/>
            </w:tcBorders>
          </w:tcPr>
          <w:p w14:paraId="5B22374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Pr>
                <w:rFonts w:ascii="Times New Roman" w:hAnsi="Times New Roman" w:cs="Times New Roman"/>
                <w:sz w:val="20"/>
                <w:szCs w:val="20"/>
              </w:rPr>
              <w:t>-</w:t>
            </w:r>
          </w:p>
        </w:tc>
        <w:tc>
          <w:tcPr>
            <w:tcW w:w="284" w:type="dxa"/>
            <w:tcBorders>
              <w:left w:val="single" w:sz="4" w:space="0" w:color="auto"/>
            </w:tcBorders>
          </w:tcPr>
          <w:p w14:paraId="4AAEAC0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A0971B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75C3AA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8438D0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283" w:type="dxa"/>
          </w:tcPr>
          <w:p w14:paraId="12856C3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395D97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46C58A3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235553B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B78D87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614156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2DD4F860" w14:textId="77777777" w:rsidTr="009B07DB">
        <w:tc>
          <w:tcPr>
            <w:tcW w:w="1702" w:type="dxa"/>
          </w:tcPr>
          <w:p w14:paraId="1637EB4F"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Giusti</w:t>
            </w:r>
            <w:proofErr w:type="spellEnd"/>
            <w:r>
              <w:rPr>
                <w:rFonts w:ascii="Times New Roman" w:hAnsi="Times New Roman" w:cs="Times New Roman"/>
                <w:sz w:val="20"/>
                <w:szCs w:val="20"/>
              </w:rPr>
              <w:t xml:space="preserve"> et al., 2011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{"citationItems":[{"id":"ITEM-1","itemData":{"DOI":"http://dx.doi.org/10.2147/NDS.S6921","abstract":"Advances in the diagnosis and management of human immunodeficiency virus (HIV) have resulted in a dramatic decrease in mortality in HIV-infected individuals (HIV+). The subsequent increase in life expectancy of HIV+ has led to the need to consider the long-term complications of the disease and its treatment. Abnormalities in vitamin D status and metabolism are increasingly recognized as a major concern in HIV infection. In the last 5 years a number of cross-sectional and prospective studies have suggested a high prevalence of vitamin D deficiency in HIV+. Although few case-control studies have been published, it has been suggested that the prevalence of hypovitaminosis D in HIV+ is higher than in the general population, and at least in part, is related to the course of the disease and/or the antiretroviral drugs used to treat the disease. An adequate vitamin D status is important not only for bone tissue, but also for the global health status of HIV+ individuals, since a growing body of evidence has demonstrated the detrimental effects of vitamin D deficiency on multiple health outcomes. Therefore, definition of the size of the problem and identification of effective protocols for the prevention and management of vitamin D deficiency in HIV+ patients represent important steps in improving health status and reducing long-term chronic complications in individuals with HIV. Due to its immunomodulatory effects, vitamin D may also have implications in the progression of HIV infection. This systematic review was designed to determine the prevalence of vitamin D deficiency in HIV+ patients; to identify risk factors (related to the HIV infection or not) potentially associated with this condition; to describe the potential consequences of hypovitaminosis D on the course of the infection and the benefits of vitamin D repletion; and to make some suggestions about the future, considering the limitations of previous studies.","author":[{"dropping-particle":"","family":"Giusti","given":"Andrea","non-dropping-particle":"","parse-names":false,"suffix":""},{"dropping-particle":"","family":"Penco","given":"Giovanni","non-dropping-particle":"","parse-names":false,"suffix":""},{"dropping-particle":"","family":"Pioli","given":"Giulio","non-dropping-particle":"","parse-names":false,"suffix":""}],"container-title":"Nutrition and Dietary Supplements","id":"ITEM-1","issued":{"date-parts":[["2011"]]},"language":"English","note":"Copyright - © 2011. This work is licensed under https://creativecommons.org/licenses/by-nc/3.0/ (the “License”). Notwithstanding the ProQuest Terms and Conditions, you may use this content in accordance with the terms of the License.\n\nLast updated - 2019-11-04","page":"101-111","publisher":"Taylor &amp; Francis Ltd.","publisher-place":"Macclesfield","title":"Vitamin D deficiency in HIV-infected patients: a systematic review","type":"article-journal","volume":"3"},"uris":["http://www.mendeley.com/documents/?uuid=9bd1a9fa-c65a-41b7-bd34-8d338754ee71"]}],"mendeley":{"formattedCitation":"(75)","plainTextFormattedCitation":"(75)","previouslyFormattedCitation":"(75)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(75)</w:t>
            </w:r>
            <w:r>
              <w:rPr>
                <w:rFonts w:ascii="Times New Roman" w:hAnsi="Times New Roman" w:cs="Times New Roman"/>
                <w:sz w:val="20"/>
                <w:szCs w:val="20"/>
              </w:rPr>
              <w:fldChar w:fldCharType="end"/>
            </w:r>
          </w:p>
        </w:tc>
        <w:tc>
          <w:tcPr>
            <w:tcW w:w="567" w:type="dxa"/>
          </w:tcPr>
          <w:p w14:paraId="7A4AEA72"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271112D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550BE26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43FA24C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 infected patients</w:t>
            </w:r>
          </w:p>
        </w:tc>
        <w:tc>
          <w:tcPr>
            <w:tcW w:w="3686" w:type="dxa"/>
            <w:gridSpan w:val="2"/>
          </w:tcPr>
          <w:p w14:paraId="6E627E99"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Two well-designed trials support that the course of HIV may be influenced by </w:t>
            </w:r>
            <w:r w:rsidRPr="00700670">
              <w:rPr>
                <w:rFonts w:ascii="Times New Roman" w:hAnsi="Times New Roman" w:cs="Times New Roman"/>
                <w:b/>
                <w:sz w:val="20"/>
                <w:szCs w:val="20"/>
              </w:rPr>
              <w:t>vitamin D status</w:t>
            </w:r>
            <w:r w:rsidRPr="00700670">
              <w:rPr>
                <w:rFonts w:ascii="Times New Roman" w:hAnsi="Times New Roman" w:cs="Times New Roman"/>
                <w:sz w:val="20"/>
                <w:szCs w:val="20"/>
              </w:rPr>
              <w:t>.</w:t>
            </w:r>
          </w:p>
        </w:tc>
        <w:tc>
          <w:tcPr>
            <w:tcW w:w="425" w:type="dxa"/>
            <w:tcBorders>
              <w:right w:val="single" w:sz="4" w:space="0" w:color="auto"/>
            </w:tcBorders>
          </w:tcPr>
          <w:p w14:paraId="539FA147"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2DFAF7A3" w14:textId="77777777" w:rsidR="00BF0F1A" w:rsidRPr="007B66F5" w:rsidRDefault="00BF0F1A" w:rsidP="009B07DB">
            <w:pPr>
              <w:rPr>
                <w:rFonts w:ascii="Times New Roman" w:hAnsi="Times New Roman" w:cs="Times New Roman"/>
                <w:sz w:val="20"/>
                <w:szCs w:val="20"/>
              </w:rPr>
            </w:pPr>
          </w:p>
        </w:tc>
        <w:tc>
          <w:tcPr>
            <w:tcW w:w="284" w:type="dxa"/>
            <w:tcBorders>
              <w:left w:val="single" w:sz="4" w:space="0" w:color="auto"/>
            </w:tcBorders>
          </w:tcPr>
          <w:p w14:paraId="0FFAEFB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8CA647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77C28A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130743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283" w:type="dxa"/>
          </w:tcPr>
          <w:p w14:paraId="6AE680C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27E7FBD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09B4FF9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7FBEC65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4CC843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4F95F9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1B4AF8CB" w14:textId="77777777" w:rsidTr="009B07DB">
        <w:tc>
          <w:tcPr>
            <w:tcW w:w="1702" w:type="dxa"/>
          </w:tcPr>
          <w:p w14:paraId="5E495084"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Goel</w:t>
            </w:r>
            <w:proofErr w:type="spellEnd"/>
            <w:r>
              <w:rPr>
                <w:rFonts w:ascii="Times New Roman" w:hAnsi="Times New Roman" w:cs="Times New Roman"/>
                <w:sz w:val="20"/>
                <w:szCs w:val="20"/>
              </w:rPr>
              <w:t xml:space="preserv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{"citationItems":[{"id":"ITEM-1","itemData":{"DOI":"http://dx.doi.org/10.1111/jgh.14466","ISSN":"0815-9319","abstract":"Background and AimBurden of hepatitis C in India is not known. We therefore conducted a systematic review of the available data on anti‐hepatitis C virus (HCV) seroprevalence in the Indian population.MethodsWe searched several publication databases for English language papers that reported data on anti‐HCV seroprevalence from India and also identified other unpublished sources of such data. Data on groups likely to represent seroprevalence in general population and in selected high‐risk groups were extracted and subjected to meta‐analysis.ResultsOf the 3995 published papers and 94 additional data sources identified, 327 were selected; these provided 414 anti‐HCV seroprevalence data points. Pooled anti‐HCV seroprevalence rates in community‐based studies, blood donors, and pregnant women were 0.85% (95% confidence interval: 0.00–3.98%), 0.44% (0.40–0.49), and 0.88% (0.21–1.90), respectively. Among groups considered at high risk of HCV, pooled anti‐HCV seroprevalence rates were as follows: people living with HIV (40 studies from 17 states: 3.51% [2.43–4.76]), persons on maintenance hemodialysis (37, 13; 19.23% [13.52–25.65]), people who inject drugs (46, 14; 44.71% [37.50–52.03]), multi‐transfused persons (38, 12; 24.06% [20.00–28.36]), persons with sexually transmitted diseases (7, 5; 4.10% [0.98–9.04]), and those with high‐risk sex behavior (6, 5; 4.06% [1.79–7.10]).ConclusionsCommunity‐based data on HCV seroprevalence in India were limited. Large amount of data on blood donors and pregnant women were identified, with pooled anti‐HCV seroprevalence rates of 0.44% and 0.88%, respectively. Among high‐risk groups, anti‐HCV prevalence was higher among people living with HIV, those with sexually transmitted diseases, high‐risk sex behavior or injection drug use, and those receiving hemodialysis or frequent transfusions.","author":[{"dropping-particle":"","family":"Goel","given":"Amit","non-dropping-particle":"","parse-names":false,"suffix":""},{"dropping-particle":"","family":"Seguy","given":"Nicole","non-dropping-particle":"","parse-names":false,"suffix":""},{"dropping-particle":"","family":"Aggarwal","given":"Rakesh","non-dropping-particle":"","parse-names":false,"suffix":""}],"container-title":"Journal of Gastroenterology and Hepatology","id":"ITEM-1","issued":{"date-parts":[["2019"]]},"language":"English","note":"Copyright - © 2019 Journal of Gastroenterology and Hepatology Foundation and John Wiley &amp;amp; Sons Australia, Ltd\n\nLast updated - 2019-10-11\n\nSubjectsTermNotLitGenreText - India","page":"321-329","publisher":"Wiley Subscription Services, Inc.","publisher-place":"Department of Gastroenterology, Sanjay Gandhi Postgraduate Institute of Medical Sciences, Lucknow, India ; World Health Organization India Country Office, New Delhi, India ; Department of Gastroenterology, Sanjay Gandhi Postgraduate Institute of Medical S","title":"Burden of hepatitis C virus infection in India: A systematic review and meta‐analysis","type":"article-journal","volume":"34"},"uris":["http://www.mendeley.com/documents/?uuid=f2f8170c-b820-49a8-a105-9a64b07aaaad"]}],"mendeley":{"formattedCitation":"(44)","plainTextFormattedCitation":"(44)","previouslyFormattedCitation":"(44)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(44)</w:t>
            </w:r>
            <w:r>
              <w:rPr>
                <w:rFonts w:ascii="Times New Roman" w:hAnsi="Times New Roman" w:cs="Times New Roman"/>
                <w:sz w:val="20"/>
                <w:szCs w:val="20"/>
              </w:rPr>
              <w:fldChar w:fldCharType="end"/>
            </w:r>
          </w:p>
        </w:tc>
        <w:tc>
          <w:tcPr>
            <w:tcW w:w="567" w:type="dxa"/>
          </w:tcPr>
          <w:p w14:paraId="3DA2C965"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91501A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India</w:t>
            </w:r>
          </w:p>
        </w:tc>
        <w:tc>
          <w:tcPr>
            <w:tcW w:w="1275" w:type="dxa"/>
          </w:tcPr>
          <w:p w14:paraId="25EE4FD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4278FC7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General and selected populations</w:t>
            </w:r>
          </w:p>
        </w:tc>
        <w:tc>
          <w:tcPr>
            <w:tcW w:w="3686" w:type="dxa"/>
            <w:gridSpan w:val="2"/>
          </w:tcPr>
          <w:p w14:paraId="367923AA"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Anti-HCV prevalence was higher among </w:t>
            </w:r>
            <w:r w:rsidRPr="00700670">
              <w:rPr>
                <w:rFonts w:ascii="Times New Roman" w:hAnsi="Times New Roman" w:cs="Times New Roman"/>
                <w:b/>
                <w:sz w:val="20"/>
                <w:szCs w:val="20"/>
              </w:rPr>
              <w:t>PWID.</w:t>
            </w:r>
          </w:p>
        </w:tc>
        <w:tc>
          <w:tcPr>
            <w:tcW w:w="425" w:type="dxa"/>
            <w:tcBorders>
              <w:right w:val="single" w:sz="4" w:space="0" w:color="auto"/>
            </w:tcBorders>
          </w:tcPr>
          <w:p w14:paraId="6059F57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762AC5B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1F02ED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6419F7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E90266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6B1ED6E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192805D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2F749E0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7DEA69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3A8DB7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FF87FC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5701B15D" w14:textId="77777777" w:rsidTr="009B07DB">
        <w:tc>
          <w:tcPr>
            <w:tcW w:w="1702" w:type="dxa"/>
          </w:tcPr>
          <w:p w14:paraId="2637551F"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Gülsen</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{"citationItems":[{"id":"ITEM-1","itemData":{"DOI":"http://dx.doi.org/10.1155/2020/7590207","ISSN":"20901836","abstract":"Background. Coronavirus disease 2019 (COVID-19) is caused by severe acute respiratory syndrome coronavirus 2 (SAR2-COV-2) and was first identified in Wuhan, China, in December of 2019, but quickly spread to the rest of the world, causing a pandemic. While some studies have found no link between smoking status and severe COVID-19, others demonstrated a significant one. The present study aimed to determine the relationship between smoking and clinical COVID-19 severity via a systematic meta-analysis approach. Methods. We searched the Google Scholar, PubMed, Scopus, Web of Science, and Embase databases to identify clinical studies suitable for inclusion in this meta-analysis. Studies reporting smoking status and comparing nonsevere and severe patients were included. Nonsevere cases were described as mild, common type, nonintensive care unit (ICU) treatment, survivors, and severe cases as critical, need for ICU, refractory, and nonsurvivors. Results. A total of 16 articles detailing 11322 COVID-19 patients were included. Our meta-analysis revealed a relationship between a history of smoking and severe COVID-19 cases (OR=2.17; 95% CI: 1.37–3.46; P&lt;.001). Additionally, we found an association between the current smoking status and severe COVID-19 (OR=1.51; 95% CI: 1.12–2.05; P&lt;.008). In 10.7% (978/9067) of nonsmokers, COVID-19 was severe, while in active smokers, severe COVID-19 occurred in 21.2% (65/305) of cases. Conclusion. Active smoking and a history of smoking are clearly associated with severe COVID-19. The SARS-COV-2 epidemic should serve as an impetus for patients and those at risk to maintain good health practices and discontinue smoking. The trial is registered with the International Prospective Register of Systematic Reviews (PROSPERO) CRD42020180173.","author":[{"dropping-particle":"","family":"Gülsen","given":"Askin","non-dropping-particle":"","parse-names":false,"suffix":""},{"dropping-particle":"","family":"Yigitbas","given":"Burcu Arpinar","non-dropping-particle":"","parse-names":false,"suffix":""},{"dropping-particle":"","family":"Uslu","given":"Berat","non-dropping-particle":"","parse-names":false,"suffix":""},{"dropping-particle":"","family":"Drömann","given":"Daniel","non-dropping-particle":"","parse-names":false,"suffix":""},{"dropping-particle":"","family":"Kilinc","given":"Oguz","non-dropping-particle":"","parse-names":false,"suffix":""}],"container-title":"Pulmonary Medicine","id":"ITEM-1","issued":{"date-parts":[["2020"]]},"language":"English","note":"Copyright - Copyright © 2020 Askin Gülsen et al. This work is licensed under http://creativecommons.org/licenses/by/4.0/ (the “License”). Notwithstanding the ProQuest Terms and Conditions, you may use this content in accordance with the terms of the License.\n\nLast updated - 2020-09-21\n\nSubjectsTermNotLitGenreText - China","page":"7590207","publisher":"Hindawi Limited","publisher-place":"Department of Pneumology, Airway Research Center North (ARCN), Member of the German Center for Lung Research (DZL), University of Luebeck, Germany ; Department of Pneumology, Yedikule Chest Disease and Thoracic Surgery Hospital, Istanbul, Turkey ; Departm","title":"The effect of smoking on COVID-19 symptom severity: Systematic review and meta-analysis","type":"article-journal","volume":"2020"},"uris":["http://www.mendeley.com/documents/?uuid=a2f49265-b876-4903-8b57-3f9ac26c15da"]}],"mendeley":{"formattedCitation":"(67)","plainTextFormattedCitation":"(67)","previouslyFormattedCitation":"(67)"},"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(67)</w:t>
            </w:r>
            <w:r>
              <w:rPr>
                <w:rFonts w:ascii="Times New Roman" w:hAnsi="Times New Roman" w:cs="Times New Roman"/>
                <w:sz w:val="20"/>
                <w:szCs w:val="20"/>
              </w:rPr>
              <w:fldChar w:fldCharType="end"/>
            </w:r>
          </w:p>
        </w:tc>
        <w:tc>
          <w:tcPr>
            <w:tcW w:w="567" w:type="dxa"/>
          </w:tcPr>
          <w:p w14:paraId="33C943C7"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4B3A080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 USA</w:t>
            </w:r>
          </w:p>
        </w:tc>
        <w:tc>
          <w:tcPr>
            <w:tcW w:w="1275" w:type="dxa"/>
          </w:tcPr>
          <w:p w14:paraId="0C51D89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3AEFFF7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COVID-19 </w:t>
            </w:r>
            <w:r w:rsidRPr="00057B1B">
              <w:rPr>
                <w:rFonts w:ascii="Times New Roman" w:hAnsi="Times New Roman" w:cs="Times New Roman"/>
                <w:i/>
                <w:sz w:val="20"/>
                <w:szCs w:val="20"/>
              </w:rPr>
              <w:t>(adults)</w:t>
            </w:r>
          </w:p>
        </w:tc>
        <w:tc>
          <w:tcPr>
            <w:tcW w:w="3686" w:type="dxa"/>
            <w:gridSpan w:val="2"/>
          </w:tcPr>
          <w:p w14:paraId="24283872"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 xml:space="preserve">Active smoking </w:t>
            </w:r>
            <w:r w:rsidRPr="00700670">
              <w:rPr>
                <w:rFonts w:ascii="Times New Roman" w:hAnsi="Times New Roman" w:cs="Times New Roman"/>
                <w:sz w:val="20"/>
                <w:szCs w:val="20"/>
              </w:rPr>
              <w:t>and</w:t>
            </w:r>
            <w:r w:rsidRPr="00700670">
              <w:rPr>
                <w:rFonts w:ascii="Times New Roman" w:hAnsi="Times New Roman" w:cs="Times New Roman"/>
                <w:b/>
                <w:sz w:val="20"/>
                <w:szCs w:val="20"/>
              </w:rPr>
              <w:t xml:space="preserve"> history of smoking</w:t>
            </w:r>
            <w:r w:rsidRPr="00700670">
              <w:rPr>
                <w:rFonts w:ascii="Times New Roman" w:hAnsi="Times New Roman" w:cs="Times New Roman"/>
                <w:sz w:val="20"/>
                <w:szCs w:val="20"/>
              </w:rPr>
              <w:t xml:space="preserve"> were associated with increased severity.</w:t>
            </w:r>
          </w:p>
        </w:tc>
        <w:tc>
          <w:tcPr>
            <w:tcW w:w="425" w:type="dxa"/>
            <w:tcBorders>
              <w:right w:val="single" w:sz="4" w:space="0" w:color="auto"/>
            </w:tcBorders>
          </w:tcPr>
          <w:p w14:paraId="360A3A7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170D06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FF7C09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EA4D53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1493C5A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412F72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66A1732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ACC92E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52BECD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12B22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EC8C38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48FD6318" w14:textId="77777777" w:rsidTr="009B07DB">
        <w:tc>
          <w:tcPr>
            <w:tcW w:w="1702" w:type="dxa"/>
          </w:tcPr>
          <w:p w14:paraId="76FE13C6"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Hajarizadeh</w:t>
            </w:r>
            <w:proofErr w:type="spellEnd"/>
            <w:r>
              <w:rPr>
                <w:rFonts w:ascii="Times New Roman" w:hAnsi="Times New Roman" w:cs="Times New Roman"/>
                <w:sz w:val="20"/>
                <w:szCs w:val="20"/>
              </w:rPr>
              <w:t xml:space="preserve">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{"citationItems":[{"id":"ITEM-1","itemData":{"DOI":"http://dx.doi.org/10.1016/j.jhep.2019.11.012","ISSN":"01688278","abstract":"Background &amp; Aims: HCV reinfection following successful treatment can compromise treatment outcomes. This systematic review assessed the rate of HCV reinfection following treatment among people with recent drug use and those receiving opioid agonist therapy (OAT). Methods: We searched bibliographic databases and conference abstracts for studies assessing post-treatment HCV reinfection rates among people with recent drug use (injecting or non-injecting) or those receiving OAT. Meta-analysis was used to cumulate reinfection rates and meta-regression was used to explore heterogeneity across studies. Results: Thirty-six studies were included (6,311 person-years of follow-up). The overall rate of HCV reinfection was 5.9/100 person-years (95% CI 4.1–8.5) among people with recent drug use (injecting or non-injecting), 6.2/100 person-years (95% CI 4.3–9.0) among people recently injecting drugs, and 3.8/100 person-years (95% CI 2.5–5.8) among those receiving OAT. Reinfection rates were comparable following interferon-based (5.4/100 person-years; 95% CI 3.1–9.5) and direct-acting antiviral (3.9/100 person-years; 95% CI 2.5–5.9) therapy. In stratified analysis, reinfection rates were 1.4/100 person-years (95% CI 0.8–2.6) among people receiving OAT with no recent drug use, 5.9/100 person-years (95% CI 4.0–8.6) among people receiving OAT with recent drug use, and 6.6/100 person-years (95% CI 3.4–12.7) among people with recent drug use not receiving OAT. In meta-regression analysis, longer follow-up was associated with lower reinfection rate (adjusted rate ratio [aRR] per year increase in mean/median follow-up 0.77; 95% CI 0.69–0.86). Compared with people receiving OAT with no recent drug use, those with recent drug use receiving OAT (aRR 3.50; 95% CI 1.62–7.53), and those with recent drug use not receiving OAT (aRR 3.96; 95% CI 1.82–8.59) had higher reinfection rates. Conclusion: HCV reinfection risk following treatment was higher among people with recent drug use and lower among those receiving OAT. The lower rates of reinfection observed in studies with longer follow-up suggested higher reinfection risk early post-treatment. Lay summary: Our findings demonstrate that although reinfection by hepatitis C virus occurs following successful treatment in people with recent drug use, the rate of hepatitis C reinfection is lower than the rates of primary infection reported in the literature for this population – reinfection should not be used as a reason to withhold thera…","author":[{"dropping-particle":"","family":"Hajarizadeh","given":"Behzad","non-dropping-particle":"","parse-names":false,"suffix":""},{"dropping-particle":"","family":"Cunningham","given":"Evan B","non-dropping-particle":"","parse-names":false,"suffix":""},{"dropping-particle":"","family":"Valerio","given":"Heather","non-dropping-particle":"","parse-names":false,"suffix":""},{"dropping-particle":"","family":"Martinello","given":"Marianne","non-dropping-particle":"","parse-names":false,"suffix":""},{"dropping-particle":"","family":"Law","given":"Matthew","non-dropping-particle":"","parse-names":false,"suffix":""},{"dropping-particle":"","family":"Janjua","given":"Naveed Z","non-dropping-particle":"","parse-names":false,"suffix":""},{"dropping-particle":"","family":"Midgard","given":"Håvard","non-dropping-particle":"","parse-names":false,"suffix":""},{"dropping-particle":"","family":"Dalgard","given":"Olav","non-dropping-particle":"","parse-names":false,"suffix":""},{"dropping-particle":"","family":"Dillon","given":"John","non-dropping-particle":"","parse-names":false,"suffix":""},{"dropping-particle":"","family":"Hickman","given":"Matthew","non-dropping-particle":"","parse-names":false,"suffix":""},{"dropping-particle":"","family":"Bruneau","given":"Julie","non-dropping-particle":"","parse-names":false,"suffix":""},{"dropping-particle":"","family":"Dore","given":"Gregory J","non-dropping-particle":"","parse-names":false,"suffix":""},{"dropping-particle":"","family":"Grebely","given":"Jason","non-dropping-particle":"","parse-names":false,"suffix":""}],"container-title":"Journal of Hepatology","id":"ITEM-1","issued":{"date-parts":[["2020"]]},"language":"English","note":"Copyright - Copyright Elsevier Science Ltd. Apr 2020\n\nLast updated - 2020-10-02","page":"643","publisher":"Elsevier Science Ltd.","publisher-place":"The Kirby Institute, UNSW Sydney, Sydney, NSW, Australia ; The Kirby Institute, UNSW Sydney, Sydney, NSW, Australia","title":"Hepatitis C reinfection after successful antiviral treatment among people who inject drugs: A meta-analysis","type":"article-journal","volume":"72"},"uris":["http://www.mendeley.com/documents/?uuid=db347749-e338-45c4-9ed8-66835c22823b"]}],"mendeley":{"formattedCitation":"(42)","plainTextFormattedCitation":"(42)","previouslyFormattedCitation":"(42)"},"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(42)</w:t>
            </w:r>
            <w:r>
              <w:rPr>
                <w:rFonts w:ascii="Times New Roman" w:hAnsi="Times New Roman" w:cs="Times New Roman"/>
                <w:sz w:val="20"/>
                <w:szCs w:val="20"/>
              </w:rPr>
              <w:fldChar w:fldCharType="end"/>
            </w:r>
          </w:p>
        </w:tc>
        <w:tc>
          <w:tcPr>
            <w:tcW w:w="567" w:type="dxa"/>
          </w:tcPr>
          <w:p w14:paraId="0C498EB7"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CF4B8A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535CC50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28FF2F7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successful HCV  treatment</w:t>
            </w:r>
          </w:p>
        </w:tc>
        <w:tc>
          <w:tcPr>
            <w:tcW w:w="3686" w:type="dxa"/>
            <w:gridSpan w:val="2"/>
          </w:tcPr>
          <w:p w14:paraId="60CC386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HCV reinfection risk following treatment was higher amongst people with </w:t>
            </w:r>
            <w:r w:rsidRPr="00700670">
              <w:rPr>
                <w:rFonts w:ascii="Times New Roman" w:hAnsi="Times New Roman" w:cs="Times New Roman"/>
                <w:b/>
                <w:sz w:val="20"/>
                <w:szCs w:val="20"/>
              </w:rPr>
              <w:t>recent drug use</w:t>
            </w:r>
            <w:r w:rsidRPr="00700670">
              <w:rPr>
                <w:rFonts w:ascii="Times New Roman" w:hAnsi="Times New Roman" w:cs="Times New Roman"/>
                <w:sz w:val="20"/>
                <w:szCs w:val="20"/>
              </w:rPr>
              <w:t xml:space="preserve"> and lower amongst those receiving opioid agonist therapy with no recent drug use.</w:t>
            </w:r>
          </w:p>
        </w:tc>
        <w:tc>
          <w:tcPr>
            <w:tcW w:w="425" w:type="dxa"/>
            <w:tcBorders>
              <w:right w:val="single" w:sz="4" w:space="0" w:color="auto"/>
            </w:tcBorders>
          </w:tcPr>
          <w:p w14:paraId="159D8BC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58085DD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405917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4AA8C8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DDEBC8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4F3C05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4626AB0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47B710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EABD25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0B1214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657950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1167B574" w14:textId="77777777" w:rsidTr="009B07DB">
        <w:tc>
          <w:tcPr>
            <w:tcW w:w="1702" w:type="dxa"/>
          </w:tcPr>
          <w:p w14:paraId="3BCF6DFB"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Jafta</w:t>
            </w:r>
            <w:proofErr w:type="spellEnd"/>
            <w:r>
              <w:rPr>
                <w:rFonts w:ascii="Times New Roman" w:hAnsi="Times New Roman" w:cs="Times New Roman"/>
                <w:sz w:val="20"/>
                <w:szCs w:val="20"/>
              </w:rPr>
              <w:t xml:space="preserve"> et al., 2015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{"citationItems":[{"id":"ITEM-1","itemData":{"DOI":"http://dx.doi.org/10.5588/ijtld.14.0686","ISSN":"1027-3719, 1027-3719","abstract":"BACKGROUND: Indoor air pollution (IAP) from environmental tobacco smoke (ETS) and biomass fuel smoke (BMS) poses respiratory health risks, with children and women bearing the major burden. OBJECTIVES: We used a systematic review and metaanalysis to investigate the relation between childhood tuberculosis (TB) and exposure to ETS and BMS. METHODS: We searched three databases for epidemiological studies that investigated the association of childhood TB with exposure to ETS and BMS. We calculated pooled estimates and heterogeneity for studies eligible for inclusion in the meta-analysis and stratified studies on ETS by outcome. RESULTS: Five case-control and three cross-sectional studies were eligible for inclusion in the meta-analysis and quality assessment. Pooled effect estimates showed that exposure to ETS is associated with tuberculous infection and TB disease (OR 1.9, 95%CI 1.4-2.9) among exposed compared to non-exposed children. TB disease in ETS studies produced a pooled OR of 2.8 (95%CI 0.9-4.8), which was higher than the OR for tuberculous infection (OR 1.9, 95%CI 0.9-2.9) for children exposed to ETS compared to non-exposed children. Studies on BMS exposure were too few and too small to permit a conclusion. CONCLUSION: Exposure to ETS increases the risk of childhood TB disease or tuberculous infection.","author":[{"dropping-particle":"","family":"Jafta","given":"N","non-dropping-particle":"","parse-names":false,"suffix":""},{"dropping-particle":"","family":"Jeena","given":"P M","non-dropping-particle":"","parse-names":false,"suffix":""},{"dropping-particle":"","family":"Barregard","given":"L","non-dropping-particle":"","parse-names":false,"suffix":""},{"dropping-particle":"","family":"Naidoo","given":"R N","non-dropping-particle":"","parse-names":false,"suffix":""}],"container-title":"International Journal of Tuberculosis and Lung Disease","id":"ITEM-1","issued":{"date-parts":[["2015"]]},"language":"English","note":"Date revised - 2016-02-01\n\nLast updated - 2016-02-29\n\nSubjectsTermNotLitGenreText - Fuels; Lung diseases; Children; Infection; Biomass; Air pollution; Smoke; IAP protein; Databases; Reviews; Quality control; Tobacco; Tuberculosis; Risk assessment; Indoor air pollution; Health risks; Passive smoking; Lung; Mycobacterium","page":"596-602","publisher":"International Union Against Tuberculosis and Lung Disease, 68 bvd Saint-Michel Paris 75006 France","publisher-place":"Discipline of Occupational and Environmental Health, School of Nursing and Public Health, University of KwaZulu-Natal, 321 George Campbell Building, Howard College Campus, Durban, 4041, South Africa, jaftan@ukzn.ac.za","title":"Childhood tuberculosis and exposure to indoor air pollution: a systematic review and meta-analysis","type":"article-journal","volume":"19"},"uris":["http://www.mendeley.com/documents/?uuid=ef11a6a7-c0cc-4996-9f27-a3d4641b1b47"]}],"mendeley":{"formattedCitation":"(70)","plainTextFormattedCitation":"(70)","previouslyFormattedCitation":"(70)"},"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(70)</w:t>
            </w:r>
            <w:r>
              <w:rPr>
                <w:rFonts w:ascii="Times New Roman" w:hAnsi="Times New Roman" w:cs="Times New Roman"/>
                <w:sz w:val="20"/>
                <w:szCs w:val="20"/>
              </w:rPr>
              <w:fldChar w:fldCharType="end"/>
            </w:r>
          </w:p>
        </w:tc>
        <w:tc>
          <w:tcPr>
            <w:tcW w:w="567" w:type="dxa"/>
          </w:tcPr>
          <w:p w14:paraId="1FBAFCFE"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638868B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3257F5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 infection and disease</w:t>
            </w:r>
          </w:p>
        </w:tc>
        <w:tc>
          <w:tcPr>
            <w:tcW w:w="2126" w:type="dxa"/>
          </w:tcPr>
          <w:p w14:paraId="5093A83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Children with TB and those at risk of acquiring it </w:t>
            </w:r>
            <w:r w:rsidRPr="00057B1B">
              <w:rPr>
                <w:rFonts w:ascii="Times New Roman" w:hAnsi="Times New Roman" w:cs="Times New Roman"/>
                <w:i/>
                <w:sz w:val="20"/>
                <w:szCs w:val="20"/>
              </w:rPr>
              <w:t>(children)</w:t>
            </w:r>
          </w:p>
        </w:tc>
        <w:tc>
          <w:tcPr>
            <w:tcW w:w="3686" w:type="dxa"/>
            <w:gridSpan w:val="2"/>
          </w:tcPr>
          <w:p w14:paraId="4BA91DE0"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Exposure to </w:t>
            </w:r>
            <w:r w:rsidRPr="00700670">
              <w:rPr>
                <w:rFonts w:ascii="Times New Roman" w:hAnsi="Times New Roman" w:cs="Times New Roman"/>
                <w:b/>
                <w:sz w:val="20"/>
                <w:szCs w:val="20"/>
              </w:rPr>
              <w:t>environmental tobacco smoke</w:t>
            </w:r>
            <w:r w:rsidRPr="00700670">
              <w:rPr>
                <w:rFonts w:ascii="Times New Roman" w:hAnsi="Times New Roman" w:cs="Times New Roman"/>
                <w:sz w:val="20"/>
                <w:szCs w:val="20"/>
              </w:rPr>
              <w:t xml:space="preserve"> increased the risk of childhood TB disease and TB infection.</w:t>
            </w:r>
          </w:p>
        </w:tc>
        <w:tc>
          <w:tcPr>
            <w:tcW w:w="425" w:type="dxa"/>
            <w:tcBorders>
              <w:right w:val="single" w:sz="4" w:space="0" w:color="auto"/>
            </w:tcBorders>
          </w:tcPr>
          <w:p w14:paraId="31EBE754"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421649E6" w14:textId="77777777" w:rsidR="00BF0F1A" w:rsidRPr="007B66F5" w:rsidRDefault="00BF0F1A" w:rsidP="009B07DB">
            <w:pPr>
              <w:rPr>
                <w:rFonts w:ascii="Times New Roman" w:hAnsi="Times New Roman" w:cs="Times New Roman"/>
                <w:sz w:val="20"/>
                <w:szCs w:val="20"/>
              </w:rPr>
            </w:pPr>
          </w:p>
        </w:tc>
        <w:tc>
          <w:tcPr>
            <w:tcW w:w="284" w:type="dxa"/>
            <w:tcBorders>
              <w:left w:val="single" w:sz="4" w:space="0" w:color="auto"/>
            </w:tcBorders>
          </w:tcPr>
          <w:p w14:paraId="6C1DC1D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CA315C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7881D2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BD27C0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44EC770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3EA0002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1B325DC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644D9C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A62DD5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DD221C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34E6BD55" w14:textId="77777777" w:rsidTr="009B07DB">
        <w:tc>
          <w:tcPr>
            <w:tcW w:w="1702" w:type="dxa"/>
          </w:tcPr>
          <w:p w14:paraId="52A8DFE8"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Latham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{"citationItems":[{"id":"ITEM-1","itemData":{"DOI":"http://dx.doi.org/10.1111/liv.14152","ISSN":"1478-3223","abstract":"Background and AimsDirect‐acting antivirals (DAAs) are highly effective in treating hepatitis C. However, there is concern that cure rates may be lower, and reinfection rates higher, among people who inject drugs. We conducted a systematic review of treatment outcomes achieved with DAAs in people who inject drugs (PWID).MethodsA search strategy was used to identify studies that reported sustained viral response (SVR), treatment discontinuation, adherence or reinfection in recent PWID and/or opioid substitution therapy (OST) recipients. Study quality was assessed using the Newcastle‐Ottawa Scale. Meta‐analysis of proportions was used to estimate pooled SVR and treatment discontinuation rates. The pooled relative risk of achieving SVR and pooled reinfection rate were calculated using generalized mixed effects linear models.ResultsThe search identified 8075 references; 26 were eligible for inclusion. The pooled SVR for recent PWID was 88% (95% CI, 83%‐92%) and 91% (95% CI 88%‐95%) for OST recipients. The relative risk of achieving SVR for recent PWID compared to non‐recent PWID was 0.99 (95% CI, 0.94‐1.06). The pooled treatment discontinuation was 2% (95% CI, 1%‐4%) for both recent PWID and OST recipients. Amongst recent PWID, the pooled incidence of reinfection was 1.94 per 100 person years (95% CI, 0.87‐4.32). In OST recipients, the incidence of reinfection was 0.55 per 100 person years (95% CI, 0.17‐1.76).ConclusionsTreatment outcomes were similar in recent PWID compared to non‐PWID treated with DAAs. People who report recent injecting or OST recipients should not be excluded from hepatitis C treatment.","author":[{"dropping-particle":"","family":"Latham","given":"Ned H","non-dropping-particle":"","parse-names":false,"suffix":""},{"dropping-particle":"","family":"Doyle","given":"Joseph S","non-dropping-particle":"","parse-names":false,"suffix":""},{"dropping-particle":"","family":"Palmer","given":"Anna Y","non-dropping-particle":"","parse-names":false,"suffix":""},{"dropping-particle":"","family":"Vanhommerig","given":"Joost W","non-dropping-particle":"","parse-names":false,"suffix":""},{"dropping-particle":"","family":"Agius","given":"Paul","non-dropping-particle":"","parse-names":false,"suffix":""},{"dropping-particle":"","family":"Goutzamanis","given":"Stelliana","non-dropping-particle":"","parse-names":false,"suffix":""},{"dropping-particle":"","family":"Li","given":"Zinia","non-dropping-particle":"","parse-names":false,"suffix":""},{"dropping-particle":"","family":"Pedrana","given":"Alisa","non-dropping-particle":"","parse-names":false,"suffix":""},{"dropping-particle":"","family":"Gottfredsson","given":"Magnus","non-dropping-particle":"","parse-names":false,"suffix":""},{"dropping-particle":"","family":"Bouscaillou","given":"Julie","non-dropping-particle":"","parse-names":false,"suffix":""},{"dropping-particle":"","family":"Luhmann","given":"Niklas","non-dropping-particle":"","parse-names":false,"suffix":""},{"dropping-particle":"","family":"Mazhnaya","given":"Alyona","non-dropping-particle":"","parse-names":false,"suffix":""},{"dropping-particle":"","family":"Altice","given":"Frederick L","non-dropping-particle":"","parse-names":false,"suffix":""},{"dropping-particle":"","family":"Saeed","given":"Sahar","non-dropping-particle":"","parse-names":false,"suffix":""},{"dropping-particle":"","family":"Klein","given":"Marina","non-dropping-particle":"","parse-names":false,"suffix":""},{"dropping-particle":"","family":"Falade‐Nwulia","given":"Oluwaseun O","non-dropping-particle":"","parse-names":false,"suffix":""},{"dropping-particle":"","family":"Aspinall","given":"Esther","non-dropping-particle":"","parse-names":false,"suffix":""},{"dropping-particle":"","family":"Hutchinson","given":"Sharon","non-dropping-particle":"","parse-names":false,"suffix":""},{"dropping-particle":"","family":"Hellard","given":"Margaret E","non-dropping-particle":"","parse-names":false,"suffix":""},{"dropping-particle":"","family":"Sacks‐Davis","given":"Rachel","non-dropping-particle":"","parse-names":false,"suffix":""}],"container-title":"Liver International","id":"ITEM-1","issued":{"date-parts":[["2019"]]},"language":"English","note":"Copyright - © 2019 John Wiley &amp;amp; Sons A/S\n\nLast updated - 2020-09-15","page":"2244-2260","publisher":"Wiley Subscription Services, Inc.","publisher-place":"Disease Elimination Program, Burnet Institute, Melbourne, Australia; School of Medicine, Monash University, Melbourne, Australia ; Disease Elimination Program, Burnet Institute, Melbourne, Australia; Department of Infectious Diseases, The Alfred Hospital","title":"Staying hepatitis C negative: A systematic review and meta‐analysis of cure and reinfection in people who inject drugs","type":"article-journal","volume":"39"},"uris":["http://www.mendeley.com/documents/?uuid=661f2386-7795-4fb5-a7b1-2155b00d450e"]}],"mendeley":{"formattedCitation":"(48)","plainTextFormattedCitation":"(48)","previouslyFormattedCitation":"(48)"},"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(48)</w:t>
            </w:r>
            <w:r>
              <w:rPr>
                <w:rFonts w:ascii="Times New Roman" w:hAnsi="Times New Roman" w:cs="Times New Roman"/>
                <w:sz w:val="20"/>
                <w:szCs w:val="20"/>
              </w:rPr>
              <w:fldChar w:fldCharType="end"/>
            </w:r>
          </w:p>
        </w:tc>
        <w:tc>
          <w:tcPr>
            <w:tcW w:w="567" w:type="dxa"/>
          </w:tcPr>
          <w:p w14:paraId="33A2AD09"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2D4FF6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4055B5D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332D697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treated for chronic HCV</w:t>
            </w:r>
          </w:p>
        </w:tc>
        <w:tc>
          <w:tcPr>
            <w:tcW w:w="3686" w:type="dxa"/>
            <w:gridSpan w:val="2"/>
          </w:tcPr>
          <w:p w14:paraId="70332CA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Treatment outcomes were similar in </w:t>
            </w:r>
            <w:r w:rsidRPr="00700670">
              <w:rPr>
                <w:rFonts w:ascii="Times New Roman" w:hAnsi="Times New Roman" w:cs="Times New Roman"/>
                <w:b/>
                <w:sz w:val="20"/>
                <w:szCs w:val="20"/>
              </w:rPr>
              <w:t>recent PWID</w:t>
            </w:r>
            <w:r w:rsidRPr="00700670">
              <w:rPr>
                <w:rFonts w:ascii="Times New Roman" w:hAnsi="Times New Roman" w:cs="Times New Roman"/>
                <w:sz w:val="20"/>
                <w:szCs w:val="20"/>
              </w:rPr>
              <w:t xml:space="preserve"> compared to non-PWID treated with </w:t>
            </w:r>
            <w:r>
              <w:rPr>
                <w:rFonts w:ascii="Times New Roman" w:hAnsi="Times New Roman" w:cs="Times New Roman"/>
                <w:sz w:val="20"/>
                <w:szCs w:val="20"/>
              </w:rPr>
              <w:t>direct-acting antivirals.</w:t>
            </w:r>
          </w:p>
        </w:tc>
        <w:tc>
          <w:tcPr>
            <w:tcW w:w="425" w:type="dxa"/>
            <w:tcBorders>
              <w:right w:val="single" w:sz="4" w:space="0" w:color="auto"/>
            </w:tcBorders>
          </w:tcPr>
          <w:p w14:paraId="7645E9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Pr>
                <w:rFonts w:ascii="Times New Roman" w:hAnsi="Times New Roman" w:cs="Times New Roman"/>
                <w:sz w:val="20"/>
                <w:szCs w:val="20"/>
              </w:rPr>
              <w:t>-</w:t>
            </w:r>
          </w:p>
        </w:tc>
        <w:tc>
          <w:tcPr>
            <w:tcW w:w="284" w:type="dxa"/>
            <w:tcBorders>
              <w:left w:val="single" w:sz="4" w:space="0" w:color="auto"/>
            </w:tcBorders>
          </w:tcPr>
          <w:p w14:paraId="730D494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FC08B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8A3210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535EE7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1093F3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7ACA01F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2BAE97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79AD6F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A34A03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FF2139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1702A902" w14:textId="77777777" w:rsidTr="009B07DB">
        <w:trPr>
          <w:trHeight w:val="257"/>
        </w:trPr>
        <w:tc>
          <w:tcPr>
            <w:tcW w:w="1702" w:type="dxa"/>
          </w:tcPr>
          <w:p w14:paraId="12FA3D53"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Lee et al., 2010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{"citationItems":[{"id":"ITEM-1","itemData":{"DOI":"http://dx.doi.org/10.1371/journal.pmed.1000374","ISSN":"15491277","abstract":"Background A number of epidemiologic studies have observed an association between secondhand smoke (SHS) exposure and pediatric invasive bacterial disease (IBD) but the evidence has not been systematically reviewed. We carried out a systematic review and meta-analysis of SHS exposure and two outcomes, IBD and pharyngeal carriage of bacteria, for Neisseria meningitidis (N. meningitidis), Haemophilus influenzae type B (Hib), and Streptococcus pneumoniae (S. pneumoniae). Methods and Findings Two independent reviewers searched Medline, EMBASE, and selected other databases, and screened articles for inclusion and exclusion criteria. We identified 30 case-control studies on SHS and IBD, and 12 cross-sectional studies on SHS and bacterial carriage. Weighted summary odd ratios (ORs) were calculated for each outcome and for studies with specific design and quality characteristics. Tests for heterogeneity and publication bias were performed. Compared with those unexposed to SHS, summary OR for SHS exposure was 2.02 (95% confidence interval [CI] 1.52-2.69) for invasive meningococcal disease, 1.21 (95% CI 0.69-2.14) for invasive pneumococcal disease, and 1.22 (95% CI 0.93-1.62) for invasive Hib disease. For pharyngeal carriage, summary OR was 1.68 (95% CI, 1.19-2.36) for N. meningitidis, 1.66 (95% CI 1.33-2.07) for S. pneumoniae, and 0.96 (95% CI 0.48-1.95) for Hib. The association between SHS exposure and invasive meningococcal and Hib diseases was consistent regardless of outcome definitions, age groups, study designs, and publication year. The effect estimates were larger in studies among children younger than 6 years of age for all three IBDs, and in studies with the more rigorous laboratory-confirmed diagnosis for invasive meningococcal disease (summary OR 3.24; 95% CI 1.72-6.13). Conclusions When considered together with evidence from direct smoking and biological mechanisms, our systematic review and meta-analysis indicates that SHS exposure may be associated with invasive meningococcal disease. The epidemiologic evidence is currently insufficient to show an association between SHS and invasive Hib disease or pneumococcal disease. Because the burden of IBD is highest in developing countries where SHS is increasing, there is a need for high-quality studies to confirm these results, and for interventions to reduce exposure of children to SHS. Please see later in the article for the Editors' Summary","author":[{"dropping-particle":"","family":"Lee","given":"Chien-Chang","non-dropping-particle":"","parse-names":false,"suffix":""},{"dropping-particle":"","family":"Middaugh","given":"Nicole A","non-dropping-particle":"","parse-names":false,"suffix":""},{"dropping-particle":"","family":"Howie","given":"Stephen R C","non-dropping-particle":"","parse-names":false,"suffix":""},{"dropping-particle":"","family":"Ezzati","given":"Majid","non-dropping-particle":"","parse-names":false,"suffix":""}],"container-title":"PLoS Medicine","id":"ITEM-1","issued":{"date-parts":[["2010"]]},"language":"English","note":"Copyright - © 2010 Lee et al. This is an open-access article distributed under the terms of the Creative Commons Attribution License, which permits unrestricted use, distribution, and reproduction in any medium, provided the original author and source are credited: Lee C-C, Middaugh NA, Howie SRC, Ezzati M (2010) Association of Secondhand Smoke Exposure with Pediatric Invasive Bacterial Disease and Bacterial Carriage: A Systematic Review and Meta-analysis. PLoS Med 7(12): e1000374. doi:10.1371/journal.pmed.1000374\n\nLast updated - 2014-04-02","page":"e1000374","publisher":"Public Library of Science","publisher-place":"San Francisco","title":"Association of secondhand smoke exposure with pediatric invasive bacterial disease and bacterial carriage: A systematic review and meta-analysis","type":"article-journal","volume":"7"},"uris":["http://www.mendeley.com/documents/?uuid=0fe95fea-713e-42fb-9d7c-ca3c6321a53e"]}],"mendeley":{"formattedCitation":"(73)","plainTextFormattedCitation":"(73)","previouslyFormattedCitation":"(73)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(73)</w:t>
            </w:r>
            <w:r>
              <w:rPr>
                <w:rFonts w:ascii="Times New Roman" w:hAnsi="Times New Roman" w:cs="Times New Roman"/>
                <w:sz w:val="20"/>
                <w:szCs w:val="20"/>
              </w:rPr>
              <w:fldChar w:fldCharType="end"/>
            </w:r>
          </w:p>
        </w:tc>
        <w:tc>
          <w:tcPr>
            <w:tcW w:w="567" w:type="dxa"/>
          </w:tcPr>
          <w:p w14:paraId="250F4BA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56D62FD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71F633B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IBD (IMD, IPD, IHD).</w:t>
            </w:r>
          </w:p>
        </w:tc>
        <w:tc>
          <w:tcPr>
            <w:tcW w:w="2126" w:type="dxa"/>
          </w:tcPr>
          <w:p w14:paraId="0D2A701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General and hospital populations </w:t>
            </w:r>
            <w:r w:rsidRPr="00057B1B">
              <w:rPr>
                <w:rFonts w:ascii="Times New Roman" w:hAnsi="Times New Roman" w:cs="Times New Roman"/>
                <w:i/>
                <w:sz w:val="20"/>
                <w:szCs w:val="20"/>
              </w:rPr>
              <w:t>(children)</w:t>
            </w:r>
          </w:p>
        </w:tc>
        <w:tc>
          <w:tcPr>
            <w:tcW w:w="3686" w:type="dxa"/>
            <w:gridSpan w:val="2"/>
          </w:tcPr>
          <w:p w14:paraId="301BB56B"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SHS</w:t>
            </w:r>
            <w:r w:rsidRPr="00700670">
              <w:rPr>
                <w:rFonts w:ascii="Times New Roman" w:hAnsi="Times New Roman" w:cs="Times New Roman"/>
                <w:sz w:val="20"/>
                <w:szCs w:val="20"/>
              </w:rPr>
              <w:t xml:space="preserve"> exposure may be associated with IMD. Evidence was insufficient to show an association be</w:t>
            </w:r>
            <w:r>
              <w:rPr>
                <w:rFonts w:ascii="Times New Roman" w:hAnsi="Times New Roman" w:cs="Times New Roman"/>
                <w:sz w:val="20"/>
                <w:szCs w:val="20"/>
              </w:rPr>
              <w:t>tween SHS and IHD/</w:t>
            </w:r>
            <w:r w:rsidRPr="00700670">
              <w:rPr>
                <w:rFonts w:ascii="Times New Roman" w:hAnsi="Times New Roman" w:cs="Times New Roman"/>
                <w:sz w:val="20"/>
                <w:szCs w:val="20"/>
              </w:rPr>
              <w:t>IPD.</w:t>
            </w:r>
          </w:p>
        </w:tc>
        <w:tc>
          <w:tcPr>
            <w:tcW w:w="425" w:type="dxa"/>
            <w:tcBorders>
              <w:right w:val="single" w:sz="4" w:space="0" w:color="auto"/>
            </w:tcBorders>
          </w:tcPr>
          <w:p w14:paraId="320B9C2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0271FBD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9D7ADD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233F9A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EFE4F0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D2A3F3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48C911D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567" w:type="dxa"/>
          </w:tcPr>
          <w:p w14:paraId="64BEBA5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3FFE69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B3DE4C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07F844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2BC5472C" w14:textId="77777777" w:rsidTr="009B07DB">
        <w:tc>
          <w:tcPr>
            <w:tcW w:w="1702" w:type="dxa"/>
          </w:tcPr>
          <w:p w14:paraId="5C1A65F3"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lastRenderedPageBreak/>
              <w:t xml:space="preserve">Mahmud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{"citationItems":[{"id":"ITEM-1","itemData":{"DOI":"http://dx.doi.org/10.1038/s41598-017-18296-9","abstract":"The aim of this study was to characterize hepatitis C virus (HCV) epidemiology in Iran and estimate the pooled mean HCV antibody prevalence in different risk populations. We systematically reviewed and synthesized reports of HCV incidence and/or prevalence, as informed by the Cochrane Collaboration Handbook, and reported our findings following the PRISMA guidelines. DerSimonian-Laird random effects meta-analyses were implemented to estimate HCV prevalence in various risk populations. We identified five HCV incidence and 472 HCV prevalence measures. Our meta-analyses estimated HCV prevalence at 0.3% among the general population, 6.2% among intermediate risk populations, 32.1% among high risk populations, and 4.6% among special clinical populations. Our meta-analyses for subpopulations estimated HCV prevalence at 52.2% among people who inject drugs (PWID), 20.0% among populations at high risk of healthcare-related exposures, and 7.5% among populations with liver-related conditions. Genotype 1 was the most frequent circulating strain at 58.2%, followed by genotype 3 at 39.0%. HCV prevalence in the general population was lower than that found in other Middle East and North Africa countries and globally. However, HCV prevalence was high in PWID and populations at high risk of healthcare-related exposures. Ongoing transmission appears to be driven by drug injection and specific healthcare procedures.","author":[{"dropping-particle":"","family":"Mahmud","given":"Sarwat","non-dropping-particle":"","parse-names":false,"suffix":""},{"dropping-particle":"","family":"Akbarzadeh","given":"Vajiheh","non-dropping-particle":"","parse-names":false,"suffix":""},{"dropping-particle":"","family":"Abu-Raddad","given":"Laith J","non-dropping-particle":"","parse-names":false,"suffix":""}],"container-title":"Scientific Reports","id":"ITEM-1","issued":{"date-parts":[["2018"]]},"language":"English","note":"Copyright - © 2017. This work is published under http://creativecommons.org/licenses/by/4.0/ (the “License”). Notwithstanding the ProQuest Terms and Conditions, you may use this content in accordance with the terms of the License.\n\nLast updated - 2019-03-25\n\nSubjectsTermNotLitGenreText - Iran","page":"1","publisher":"Nature Publishing Group","publisher-place":"Infectious Disease Epidemiology Group, Weill Cornell Medical College - Qatar, Cornell University, Qatar Foundation - Education City, Doha, Qatar ; Infectious Disease Epidemiology Group, Weill Cornell Medical College - Qatar, Cornell University, Qatar Foun","title":"The epidemiology of hepatitis C virus in Iran: Systematic review and meta-analyses","type":"article-journal","volume":"8"},"uris":["http://www.mendeley.com/documents/?uuid=a079718a-738c-4bae-9185-a9f411bdc2cd"]}],"mendeley":{"formattedCitation":"(45)","plainTextFormattedCitation":"(45)","previouslyFormattedCitation":"(45)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(45)</w:t>
            </w:r>
            <w:r>
              <w:rPr>
                <w:rFonts w:ascii="Times New Roman" w:hAnsi="Times New Roman" w:cs="Times New Roman"/>
                <w:sz w:val="20"/>
                <w:szCs w:val="20"/>
              </w:rPr>
              <w:fldChar w:fldCharType="end"/>
            </w:r>
          </w:p>
        </w:tc>
        <w:tc>
          <w:tcPr>
            <w:tcW w:w="567" w:type="dxa"/>
          </w:tcPr>
          <w:p w14:paraId="7BC60C44"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7D1899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Iran</w:t>
            </w:r>
          </w:p>
        </w:tc>
        <w:tc>
          <w:tcPr>
            <w:tcW w:w="1275" w:type="dxa"/>
          </w:tcPr>
          <w:p w14:paraId="3C98F7B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536423C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General population</w:t>
            </w:r>
          </w:p>
        </w:tc>
        <w:tc>
          <w:tcPr>
            <w:tcW w:w="3686" w:type="dxa"/>
            <w:gridSpan w:val="2"/>
          </w:tcPr>
          <w:p w14:paraId="43BDBCF9"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HCV prevalence was higher in </w:t>
            </w:r>
            <w:r w:rsidRPr="00700670">
              <w:rPr>
                <w:rFonts w:ascii="Times New Roman" w:hAnsi="Times New Roman" w:cs="Times New Roman"/>
                <w:b/>
                <w:sz w:val="20"/>
                <w:szCs w:val="20"/>
              </w:rPr>
              <w:t>PWID</w:t>
            </w:r>
            <w:r w:rsidRPr="00700670">
              <w:rPr>
                <w:rFonts w:ascii="Times New Roman" w:hAnsi="Times New Roman" w:cs="Times New Roman"/>
                <w:sz w:val="20"/>
                <w:szCs w:val="20"/>
              </w:rPr>
              <w:t xml:space="preserve"> compared to the general population.</w:t>
            </w:r>
          </w:p>
        </w:tc>
        <w:tc>
          <w:tcPr>
            <w:tcW w:w="425" w:type="dxa"/>
            <w:tcBorders>
              <w:right w:val="single" w:sz="4" w:space="0" w:color="auto"/>
            </w:tcBorders>
          </w:tcPr>
          <w:p w14:paraId="610765F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73DF6F7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DC45E6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1659EF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28FF02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26FDB9A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6EC8043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0A55EBC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D42DD4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92FB82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6B93F7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4E6DB0EF" w14:textId="77777777" w:rsidTr="009B07DB">
        <w:tc>
          <w:tcPr>
            <w:tcW w:w="1702" w:type="dxa"/>
          </w:tcPr>
          <w:p w14:paraId="4A4835A1"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Mertz et al., 2013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{"citationItems":[{"id":"ITEM-1","itemData":{"DOI":"http://dx.doi.org/10.1136/bmj.f5061","abstract":"Objective To evaluate risk factors for severe outcomes in patients with seasonal and pandemic influenza. Design Systematic review. Study selection Observational studies reporting on risk factor-outcome combinations of interest in participants with influenza. Outcomes included death, ventilator support, admission to hospital, admission to an intensive care unit, pneumonia, and composite outcomes. Data sources Medline, Embase, CINAHL, Global Health, and the Cochrane Central Register of Controlled Trials to March 2011. Risk of bias assessment Newcastle-Ottawa scale to assess the risk of bias. GRADE framework to evaluate the quality of evidence. Results 63 537 articles were identified of which 234 with a total of 610 782 participants met the inclusion criteria. The evidence supporting risk factors for severe outcomes of influenza ranged from being limited to absent. This was particularly relevant for the relative lack of data for non-2009 H1N1 pandemics and for seasonal influenza studies. Limitations in the published literature included lack of power and lack of adjustment for confounders was widespread: adjusted risk estimates were provided for only 5% of risk factor-outcome comparisons in 39 of 260 (15%) studies. The level of evidence was low for \"any risk factor\" (odds ratio for mortality 2.77, 95% confidence interval 1.90 to 4.05 for pandemic influenza and 2.04, 1.74 to 2.39 for seasonal influenza), obesity (2.74, 1.56 to 4.80 and 30.1, 1.74 to 2.39), cardiovascular diseases (2.92, 1.76 to 4.86 and 1.97, 1.06 to 3.67), and neuromuscular disease (2.68, 1.91 to 3.75 and 3.21, 1.84 to 5.58). The level of evidence was very low for all other risk factors. Some well accepted risk factors such as pregnancy and belonging to an ethnic minority group could not be identified as risk factors. In contrast, women who were less than four weeks post partum had a significantly increased risk of death from pandemic influenza (4.43, 1.24 to 15.81). Conclusion The level of evidence to support risk factors for influenza related complications is low and some well accepted risk factors, including pregnancy and ethnicity, could not be confirmed as risks. Rigorous and adequately powered studies are needed.","author":[{"dropping-particle":"","family":"Mertz","given":"Dominik","non-dropping-particle":"","parse-names":false,"suffix":""},{"dropping-particle":"","family":"Kim","given":"Tae Hyong","non-dropping-particle":"","parse-names":false,"suffix":""},{"dropping-particle":"","family":"Johnstone","given":"Jennie","non-dropping-particle":"","parse-names":false,"suffix":""},{"dropping-particle":"","family":"Lam","given":"Po-Po","non-dropping-particle":"","parse-names":false,"suffix":""},{"dropping-particle":"","family":"Science","given":"Michelle","non-dropping-particle":"","parse-names":false,"suffix":""},{"dropping-particle":"","family":"Kuster","given":"Stefan P","non-dropping-particle":"","parse-names":false,"suffix":""},{"dropping-particle":"","family":"Fadel","given":"Shaza A","non-dropping-particle":"","parse-names":false,"suffix":""},{"dropping-particle":"","family":"Tran","given":"Dat","non-dropping-particle":"","parse-names":false,"suffix":""},{"dropping-particle":"","family":"Fernandez","given":"Eduardo","non-dropping-particle":"","parse-names":false,"suffix":""},{"dropping-particle":"","family":"Bhatnagar","given":"Neera","non-dropping-particle":"","parse-names":false,"suffix":""},{"dropping-particle":"","family":"Loeb","given":"Mark","non-dropping-particle":"","parse-names":false,"suffix":""}],"container-title":"BMJ","id":"ITEM-1","issued":{"date-parts":[["2013"]]},"language":"English","note":"Copyright - Copyright: 2013 © Mertz et al 2013\n\nLast updated - 2020-07-28","page":"f5061","publisher":"BMJ Publishing Group LTD","publisher-place":"London, United Kingdom London, London","title":"Populations at risk for severe or complicated influenza illness: systematic review and meta-analysis","type":"article-journal","volume":"347"},"uris":["http://www.mendeley.com/documents/?uuid=785f0ec2-c4d6-4b8d-b736-cf95276dd3a4"]}],"mendeley":{"formattedCitation":"(53)","plainTextFormattedCitation":"(53)","previouslyFormattedCitation":"(53)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(53)</w:t>
            </w:r>
            <w:r>
              <w:rPr>
                <w:rFonts w:ascii="Times New Roman" w:hAnsi="Times New Roman" w:cs="Times New Roman"/>
                <w:sz w:val="20"/>
                <w:szCs w:val="20"/>
              </w:rPr>
              <w:fldChar w:fldCharType="end"/>
            </w:r>
          </w:p>
        </w:tc>
        <w:tc>
          <w:tcPr>
            <w:tcW w:w="567" w:type="dxa"/>
          </w:tcPr>
          <w:p w14:paraId="4F3E48BD"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379600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266304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Influenza</w:t>
            </w:r>
          </w:p>
        </w:tc>
        <w:tc>
          <w:tcPr>
            <w:tcW w:w="2126" w:type="dxa"/>
          </w:tcPr>
          <w:p w14:paraId="2556188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Individuals with influenza infection</w:t>
            </w:r>
          </w:p>
        </w:tc>
        <w:tc>
          <w:tcPr>
            <w:tcW w:w="3686" w:type="dxa"/>
            <w:gridSpan w:val="2"/>
          </w:tcPr>
          <w:p w14:paraId="72F82153"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Obesity</w:t>
            </w:r>
            <w:r w:rsidRPr="00700670">
              <w:rPr>
                <w:rFonts w:ascii="Times New Roman" w:hAnsi="Times New Roman" w:cs="Times New Roman"/>
                <w:sz w:val="20"/>
                <w:szCs w:val="20"/>
              </w:rPr>
              <w:t xml:space="preserve"> was an important cause of death with pandemic and seasonal influenza. However, the level of evidence was low.</w:t>
            </w:r>
          </w:p>
        </w:tc>
        <w:tc>
          <w:tcPr>
            <w:tcW w:w="425" w:type="dxa"/>
            <w:tcBorders>
              <w:right w:val="single" w:sz="4" w:space="0" w:color="auto"/>
            </w:tcBorders>
          </w:tcPr>
          <w:p w14:paraId="34237107"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4EB3E765" w14:textId="77777777" w:rsidR="00BF0F1A" w:rsidRPr="007B66F5" w:rsidRDefault="00BF0F1A" w:rsidP="009B07DB">
            <w:pPr>
              <w:rPr>
                <w:rFonts w:ascii="Times New Roman" w:hAnsi="Times New Roman" w:cs="Times New Roman"/>
                <w:sz w:val="20"/>
                <w:szCs w:val="20"/>
              </w:rPr>
            </w:pPr>
          </w:p>
        </w:tc>
        <w:tc>
          <w:tcPr>
            <w:tcW w:w="284" w:type="dxa"/>
            <w:tcBorders>
              <w:left w:val="single" w:sz="4" w:space="0" w:color="auto"/>
            </w:tcBorders>
          </w:tcPr>
          <w:p w14:paraId="66C0DCF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FE9D05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7E96C1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0E3D4A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F626DB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E17544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0080E9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023990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0B399C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51E81F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23444077" w14:textId="77777777" w:rsidTr="009B07DB">
        <w:tc>
          <w:tcPr>
            <w:tcW w:w="1702" w:type="dxa"/>
          </w:tcPr>
          <w:p w14:paraId="61299B7C"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Mohidem</w:t>
            </w:r>
            <w:proofErr w:type="spellEnd"/>
            <w:r>
              <w:rPr>
                <w:rFonts w:ascii="Times New Roman" w:hAnsi="Times New Roman" w:cs="Times New Roman"/>
                <w:sz w:val="20"/>
                <w:szCs w:val="20"/>
              </w:rPr>
              <w:t xml:space="preserv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{"citationItems":[{"id":"ITEM-1","itemData":{"DOI":"http://dx.doi.org/10.1515/reveh-2018-0026","ISSN":"00487554","abstract":"Tuberculosis (TB) is making a comeback and has remained one of the main causes of mortality among the list of infectious diseases in Malaysia.Objective&lt;/b&gt;To evaluate the burden and demographic, socio-economic and behavior as risk factors of TB among communities in Malaysia.Method&lt;/b&gt;A comprehensive search of Scopus, Sciencedirect, PubMed, DOAJ, CINAHL Plus, MyJournal, BIREME, BMC Public Health, Medline, CAB, EMBASE (Excerpta Medica dataBASE), and Web of Science (WoS) was undertaken from the articles published from 1st January 2008 to 31st December 2017 using medical subject heading (MeSH) key terms.Results&lt;/b&gt;Of 717 papers screened, 31 eligible studies met our inclusion criteria. Gender, age, marriage status, ethnicity, area of living, being in prison and immigrant were evaluated as demographic factors, while educational level, occupation and household income were evaluated as socio-economic factors. For behavioral factors, smoking, drug abuse, alcohol consumption and other lifestyle practices were evaluated. However, not all the studies were statistically significantly associated with these risk factors. Studies on household income were few and too small to permit a conclusion. We also did not find any study that investigated TB infection among sex workers.Conclusion&lt;/b&gt;Immigrant in high density settings may increase the progression of disease infection in Malaysia. The risk factors for the development of TB, specifically in a high-risk population, should be targeted through the implementation of specialized interventions. Further research into the role of indoor and outdoor physical environments is required to better understand the association between the physical environment and the social environment with TB infection.","author":[{"dropping-particle":"","family":"Mohidem","given":"Nur Adibah","non-dropping-particle":"","parse-names":false,"suffix":""},{"dropping-particle":"","family":"Hashim","given":"Zailina","non-dropping-particle":"","parse-names":false,"suffix":""},{"dropping-particle":"","family":"Osman","given":"Malina","non-dropping-particle":"","parse-names":false,"suffix":""},{"dropping-particle":"","family":"Shaharudin","given":"Rafiza","non-dropping-particle":"","parse-names":false,"suffix":""},{"dropping-particle":"","family":"Farrah","given":"Melissa Muharam","non-dropping-particle":"","parse-names":false,"suffix":""},{"dropping-particle":"","family":"Makeswaran","given":"Punitha","non-dropping-particle":"","parse-names":false,"suffix":""}],"container-title":"Reviews on Environmental Health","id":"ITEM-1","issued":{"date-parts":[["2018"]]},"language":"English","note":"Copyright - ©2018 Walter de Gruyter GmbH, Berlin/Boston\n\nLast updated - 2020-05-11\n\nSubjectsTermNotLitGenreText - Malaysia","page":"407-421","publisher":"Walter de Gruyter GmbH","publisher-place":"Tel Aviv","title":"Demographic, socio-economic and behavior as risk factors of tuberculosis in Malaysia: a systematic review of the literature","type":"article-journal","volume":"33"},"uris":["http://www.mendeley.com/documents/?uuid=a8f39df5-1f19-4f4f-b9d4-728af47ce58a"]}],"mendeley":{"formattedCitation":"(23)","plainTextFormattedCitation":"(23)","previouslyFormattedCitation":"(23)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(23)</w:t>
            </w:r>
            <w:r>
              <w:rPr>
                <w:rFonts w:ascii="Times New Roman" w:hAnsi="Times New Roman" w:cs="Times New Roman"/>
                <w:sz w:val="20"/>
                <w:szCs w:val="20"/>
              </w:rPr>
              <w:fldChar w:fldCharType="end"/>
            </w:r>
          </w:p>
        </w:tc>
        <w:tc>
          <w:tcPr>
            <w:tcW w:w="567" w:type="dxa"/>
          </w:tcPr>
          <w:p w14:paraId="143EDC03"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4A8B0B2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Malaysia</w:t>
            </w:r>
          </w:p>
        </w:tc>
        <w:tc>
          <w:tcPr>
            <w:tcW w:w="1275" w:type="dxa"/>
          </w:tcPr>
          <w:p w14:paraId="5337832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 infection and disease</w:t>
            </w:r>
          </w:p>
        </w:tc>
        <w:tc>
          <w:tcPr>
            <w:tcW w:w="2126" w:type="dxa"/>
          </w:tcPr>
          <w:p w14:paraId="13AF3A8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Not given</w:t>
            </w:r>
          </w:p>
        </w:tc>
        <w:tc>
          <w:tcPr>
            <w:tcW w:w="3686" w:type="dxa"/>
            <w:gridSpan w:val="2"/>
          </w:tcPr>
          <w:p w14:paraId="4465DC5C"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No clear conclusions drawn for </w:t>
            </w:r>
            <w:r w:rsidRPr="00700670">
              <w:rPr>
                <w:rFonts w:ascii="Times New Roman" w:hAnsi="Times New Roman" w:cs="Times New Roman"/>
                <w:b/>
                <w:sz w:val="20"/>
                <w:szCs w:val="20"/>
              </w:rPr>
              <w:t>alcohol</w:t>
            </w:r>
            <w:r w:rsidRPr="00700670">
              <w:rPr>
                <w:rFonts w:ascii="Times New Roman" w:hAnsi="Times New Roman" w:cs="Times New Roman"/>
                <w:sz w:val="20"/>
                <w:szCs w:val="20"/>
              </w:rPr>
              <w:t xml:space="preserve"> or </w:t>
            </w:r>
            <w:r w:rsidRPr="00700670">
              <w:rPr>
                <w:rFonts w:ascii="Times New Roman" w:hAnsi="Times New Roman" w:cs="Times New Roman"/>
                <w:b/>
                <w:sz w:val="20"/>
                <w:szCs w:val="20"/>
              </w:rPr>
              <w:t>drug use</w:t>
            </w:r>
            <w:r w:rsidRPr="00700670">
              <w:rPr>
                <w:rFonts w:ascii="Times New Roman" w:hAnsi="Times New Roman" w:cs="Times New Roman"/>
                <w:sz w:val="20"/>
                <w:szCs w:val="20"/>
              </w:rPr>
              <w:t xml:space="preserve">. Authors suggested that results support increased susceptibility of </w:t>
            </w:r>
            <w:r w:rsidRPr="00700670">
              <w:rPr>
                <w:rFonts w:ascii="Times New Roman" w:hAnsi="Times New Roman" w:cs="Times New Roman"/>
                <w:b/>
                <w:sz w:val="20"/>
                <w:szCs w:val="20"/>
              </w:rPr>
              <w:t>smokers</w:t>
            </w:r>
            <w:r w:rsidRPr="00700670">
              <w:rPr>
                <w:rFonts w:ascii="Times New Roman" w:hAnsi="Times New Roman" w:cs="Times New Roman"/>
                <w:sz w:val="20"/>
                <w:szCs w:val="20"/>
              </w:rPr>
              <w:t xml:space="preserve"> to poor treatment outcomes and prognosis with TB.</w:t>
            </w:r>
          </w:p>
        </w:tc>
        <w:tc>
          <w:tcPr>
            <w:tcW w:w="425" w:type="dxa"/>
            <w:tcBorders>
              <w:right w:val="single" w:sz="4" w:space="0" w:color="auto"/>
            </w:tcBorders>
          </w:tcPr>
          <w:p w14:paraId="12C3848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71C0C1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ACC591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C83931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EADAB5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27943E3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7D22C01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3930B1A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1C1B8E5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831389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P</w:t>
            </w:r>
          </w:p>
        </w:tc>
        <w:tc>
          <w:tcPr>
            <w:tcW w:w="283" w:type="dxa"/>
          </w:tcPr>
          <w:p w14:paraId="4354B22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4</w:t>
            </w:r>
          </w:p>
        </w:tc>
      </w:tr>
      <w:tr w:rsidR="00BF0F1A" w:rsidRPr="00DE5914" w14:paraId="208FE624" w14:textId="77777777" w:rsidTr="009B07DB">
        <w:trPr>
          <w:trHeight w:val="187"/>
        </w:trPr>
        <w:tc>
          <w:tcPr>
            <w:tcW w:w="1702" w:type="dxa"/>
          </w:tcPr>
          <w:p w14:paraId="0C69E016"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Nie</w:t>
            </w:r>
            <w:proofErr w:type="spellEnd"/>
            <w:r>
              <w:rPr>
                <w:rFonts w:ascii="Times New Roman" w:hAnsi="Times New Roman" w:cs="Times New Roman"/>
                <w:sz w:val="20"/>
                <w:szCs w:val="20"/>
              </w:rPr>
              <w:t xml:space="preserve"> et al., 2014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{"citationItems":[{"id":"ITEM-1","itemData":{"DOI":"http://dx.doi.org/10.1186/1741-7015-12-61","abstract":"Doc number: 61 Abstract Background: It is unclear whether an 'obesity survival paradox' exists for pneumonia. Therefore, we conducted a meta-analysis to assess the associations between increased body mass index (BMI), pneumonia risk, and mortality risk. Methods: Cohort studies were identified from the PubMed and Embase databases. Summary relative risks (RRs) with their corresponding 95% confidence intervals (CIs) were calculated using a random effects model. Results: Thirteen cohort studies on pneumonia risk (n = 1,536,623), and ten cohort studies on mortality (n = 1,375,482) were included. Overweight and obese individuals were significantly associated with an increased risk of pneumonia (RR = 1.33, 95% CI 1.04 to 1.71, P = 0.02, I 2 = 87%). In the dose-response analysis, the estimated summary RR of pneumonia per 5 kg/m2 increase in BMI was 1.04 (95% CI 1.01 to 1.07, P = 0.01, I 2 = 84%). Inversely, overweight and obese subjects were significantly associated with reduced risk of pneumonia mortality (RR = 0.83, 95% CI 0.77 to 0.91, P &lt; 0.01, I 2 = 34%). The estimated summary RR of mortality per 5 kg/m2 increase in BMI was 0.95 (95% CI 0.93 to 0.98, P &lt; 0.01, I 2 = 77%). Conclusions: This meta-analysis suggests that an 'obesity survival paradox' exists for pneumonia. Because this meta-analysis is based on observational studies, more studies are required to confirm the results.","author":[{"dropping-particle":"","family":"Nie","given":"Wei","non-dropping-particle":"","parse-names":false,"suffix":""},{"dropping-particle":"","family":"Zhang","given":"Yi","non-dropping-particle":"","parse-names":false,"suffix":""},{"dropping-particle":"","family":"Jee","given":"Sun Ha","non-dropping-particle":"","parse-names":false,"suffix":""},{"dropping-particle":"","family":"Jung","given":"Keum Ji","non-dropping-particle":"","parse-names":false,"suffix":""},{"dropping-particle":"","family":"Li","given":"Bing","non-dropping-particle":"","parse-names":false,"suffix":""},{"dropping-particle":"","family":"Xiu","given":"Qingyu","non-dropping-particle":"","parse-names":false,"suffix":""}],"container-title":"BMC Medicine","id":"ITEM-1","issued":{"date-parts":[["2014"]]},"language":"English","note":"Copyright - © 2014 Nie et al.; licensee BioMed Central Ltd. This is an Open Access article distributed under the terms of the Creative Commons Attribution License (http://creativecommons.org/licenses/by/2.0), which permits unrestricted use, distribution, and reproduction in any medium, provided the original work is properly credited. The Creative Commons Public Domain Dedication waiver (http://creativecommons.org/publicdomain/zero/1.0/) applies to the data made available in this article, unless otherwise stated.\n\nLast updated - 2014-07-15","page":"61","publisher":"BioMed Central","publisher-place":"London","title":"Obesity survival paradox in pneumonia: a meta-analysis","type":"article-journal","volume":"12"},"uris":["http://www.mendeley.com/documents/?uuid=f187e82d-1aea-4285-967f-9f1895221508"]}],"mendeley":{"formattedCitation":"(59)","plainTextFormattedCitation":"(59)","previouslyFormattedCitation":"(59)"},"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(59)</w:t>
            </w:r>
            <w:r>
              <w:rPr>
                <w:rFonts w:ascii="Times New Roman" w:hAnsi="Times New Roman" w:cs="Times New Roman"/>
                <w:sz w:val="20"/>
                <w:szCs w:val="20"/>
              </w:rPr>
              <w:fldChar w:fldCharType="end"/>
            </w:r>
          </w:p>
        </w:tc>
        <w:tc>
          <w:tcPr>
            <w:tcW w:w="567" w:type="dxa"/>
          </w:tcPr>
          <w:p w14:paraId="54C67113"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5BECD1D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273C4E6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(Hospital acquired and CAP)</w:t>
            </w:r>
          </w:p>
        </w:tc>
        <w:tc>
          <w:tcPr>
            <w:tcW w:w="2126" w:type="dxa"/>
          </w:tcPr>
          <w:p w14:paraId="4F98789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Not given</w:t>
            </w:r>
          </w:p>
        </w:tc>
        <w:tc>
          <w:tcPr>
            <w:tcW w:w="3686" w:type="dxa"/>
            <w:gridSpan w:val="2"/>
          </w:tcPr>
          <w:p w14:paraId="27573B62"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An ‘obesity survival paradox’ exists for pneumonia: </w:t>
            </w:r>
            <w:r w:rsidRPr="00700670">
              <w:rPr>
                <w:rFonts w:ascii="Times New Roman" w:hAnsi="Times New Roman" w:cs="Times New Roman"/>
                <w:b/>
                <w:sz w:val="20"/>
                <w:szCs w:val="20"/>
              </w:rPr>
              <w:t>obese</w:t>
            </w:r>
            <w:r w:rsidRPr="00700670">
              <w:rPr>
                <w:rFonts w:ascii="Times New Roman" w:hAnsi="Times New Roman" w:cs="Times New Roman"/>
                <w:sz w:val="20"/>
                <w:szCs w:val="20"/>
              </w:rPr>
              <w:t xml:space="preserve"> individuals might have a higher risk of contracting pneumonia but a lower mortality risk.</w:t>
            </w:r>
          </w:p>
        </w:tc>
        <w:tc>
          <w:tcPr>
            <w:tcW w:w="425" w:type="dxa"/>
            <w:tcBorders>
              <w:right w:val="single" w:sz="4" w:space="0" w:color="auto"/>
            </w:tcBorders>
          </w:tcPr>
          <w:p w14:paraId="588DE21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56283F4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10FC72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559016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296E5F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2020F7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4196D4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E81229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B18DBB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3B2B62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A03D85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16542BA2" w14:textId="77777777" w:rsidTr="009B07DB">
        <w:tc>
          <w:tcPr>
            <w:tcW w:w="1702" w:type="dxa"/>
          </w:tcPr>
          <w:p w14:paraId="4B7CA6B4"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Patra</w:t>
            </w:r>
            <w:proofErr w:type="spellEnd"/>
            <w:r>
              <w:rPr>
                <w:rFonts w:ascii="Times New Roman" w:hAnsi="Times New Roman" w:cs="Times New Roman"/>
                <w:sz w:val="20"/>
                <w:szCs w:val="20"/>
              </w:rPr>
              <w:t xml:space="preserve"> et al., 2015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{"citationItems":[{"id":"ITEM-1","itemData":{"DOI":"http://dx.doi.org/10.1371/journal.pmed.1001835","ISSN":"15491277","abstract":"Background According to WHO Global Health Estimates, tuberculosis (TB) is among the top ten causes of global mortality and ranks second after cardiovascular disease in most high-burden regions. In this systematic review and meta-analysis, we investigated the role of second-hand smoke (SHS) exposure as a risk factor for TB among children and adults. Methods and Findings We performed a systematic literature search of PubMed, Embase, Scopus, Web of Science, and Google Scholar up to August 31, 2014. Our a priori inclusion criteria encompassed only original studies where latent TB infection (LTBI) and active TB disease were diagnosed microbiologically, clinically, histologically, or radiologically. Effect estimates were pooled using fixed- and random-effects models. We identified 18 eligible studies, with 30,757 children and 44,432 adult non-smokers, containing SHS exposure and TB outcome data for inclusion in the meta-analysis. Twelve studies assessed children and eight studies assessed adult non-smokers; two studies assessed both populations. Summary relative risk (RR) of LTBI associated with SHS exposure in children was similar to the overall effect size, with high heterogeneity (pooled RR 1.64, 95% CI 1.00-2.83). Children showed a more than 3-fold increased risk of SHS-associated active TB (pooled RR 3.41, 95% CI 1.81-6.45), which was higher than the risk in adults exposed to SHS (summary RR 1.32, 95% CI 1.04-1.68). Positive and significant exposure-response relationships were observed among children under 5 y (RR 5.88, 95% CI 2.09-16.54), children exposed to SHS through any parent (RR 4.20, 95% CI 1.92-9.20), and children living under the most crowded household conditions (RR 5.53, 95% CI 2.36-12.98). Associations for LTBI and active TB disease remained significant after adjustment for age, biomass fuel (BMF) use, and presence of a TB patient in the household, although the meta-analysis was limited to a subset of studies that adjusted for these variables. There was a loss of association with increased risk of LTBI (but not active TB) after adjustment for socioeconomic status (SES) and study quality. The major limitation of this analysis is the high heterogeneity in outcomes among studies of pediatric cases of LTBI and TB disease. Conclusions We found that SHS exposure is associated with an increase in the relative risk of LTBI and active TB after controlling for age, BMF use, and contact with a TB patient, and there was no significant association of SHS…","author":[{"dropping-particle":"","family":"Patra","given":"Jayadeep","non-dropping-particle":"","parse-names":false,"suffix":""},{"dropping-particle":"","family":"Bhatia","given":"Mehak","non-dropping-particle":"","parse-names":false,"suffix":""},{"dropping-particle":"","family":"Suraweera","given":"Wilson","non-dropping-particle":"","parse-names":false,"suffix":""},{"dropping-particle":"","family":"Morris","given":"Shaun K","non-dropping-particle":"","parse-names":false,"suffix":""},{"dropping-particle":"","family":"Patra","given":"Cyril","non-dropping-particle":"","parse-names":false,"suffix":""},{"dropping-particle":"","family":"Gupta","given":"Prakash C","non-dropping-particle":"","parse-names":false,"suffix":""},{"dropping-particle":"","family":"Jha","given":"Prabhat","non-dropping-particle":"","parse-names":false,"suffix":""}],"container-title":"PLoS Medicine","id":"ITEM-1","issued":{"date-parts":[["2015"]]},"language":"English","note":"Copyright - © 2015 Public Library of Science. This is an open-access article distributed under the terms of the Creative Commons Attribution License, which permits unrestricted use, distribution, and reproduction in any medium, provided the original author and source are credited: Patra J, Bhatia M, Suraweera W, Morris SK, Patra C, Gupta PC, et al. (2015) Exposure to Second-Hand Smoke and the Risk of Tuberculosis in Children and Adults: A Systematic Review and Meta-Analysis of 18 Observational Studies. PLoS Med 12(6): e1001835. doi:10.1371/journal.pmed.1001835\n\nLast updated - 2015-07-17","page":"e1001835","publisher":"Public Library of Science","publisher-place":"San Francisco","title":"Exposure to second-hand smoke and the risk of tuberculosis in children and adults: A systematic review and meta-analysis of 18 observational studies","type":"article-journal","volume":"12"},"uris":["http://www.mendeley.com/documents/?uuid=d80e221a-7379-47d4-9fef-8e8e8a7883fa"]}],"mendeley":{"formattedCitation":"(72)","plainTextFormattedCitation":"(72)","previouslyFormattedCitation":"(72)"},"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(72)</w:t>
            </w:r>
            <w:r>
              <w:rPr>
                <w:rFonts w:ascii="Times New Roman" w:hAnsi="Times New Roman" w:cs="Times New Roman"/>
                <w:sz w:val="20"/>
                <w:szCs w:val="20"/>
              </w:rPr>
              <w:fldChar w:fldCharType="end"/>
            </w:r>
          </w:p>
        </w:tc>
        <w:tc>
          <w:tcPr>
            <w:tcW w:w="567" w:type="dxa"/>
          </w:tcPr>
          <w:p w14:paraId="08142701"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828FC2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275E0CC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 infection and disease</w:t>
            </w:r>
          </w:p>
        </w:tc>
        <w:tc>
          <w:tcPr>
            <w:tcW w:w="2126" w:type="dxa"/>
          </w:tcPr>
          <w:p w14:paraId="5E1D195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General and hospital populations</w:t>
            </w:r>
          </w:p>
        </w:tc>
        <w:tc>
          <w:tcPr>
            <w:tcW w:w="3686" w:type="dxa"/>
            <w:gridSpan w:val="2"/>
          </w:tcPr>
          <w:p w14:paraId="1D62F448"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SHS</w:t>
            </w:r>
            <w:r w:rsidRPr="00700670">
              <w:rPr>
                <w:rFonts w:ascii="Times New Roman" w:hAnsi="Times New Roman" w:cs="Times New Roman"/>
                <w:sz w:val="20"/>
                <w:szCs w:val="20"/>
              </w:rPr>
              <w:t xml:space="preserve"> </w:t>
            </w:r>
            <w:r w:rsidRPr="00700670">
              <w:rPr>
                <w:rFonts w:ascii="Times New Roman" w:hAnsi="Times New Roman" w:cs="Times New Roman"/>
                <w:b/>
                <w:sz w:val="20"/>
                <w:szCs w:val="20"/>
              </w:rPr>
              <w:t>exposure</w:t>
            </w:r>
            <w:r w:rsidRPr="00700670">
              <w:rPr>
                <w:rFonts w:ascii="Times New Roman" w:hAnsi="Times New Roman" w:cs="Times New Roman"/>
                <w:sz w:val="20"/>
                <w:szCs w:val="20"/>
              </w:rPr>
              <w:t xml:space="preserve"> increased the risk of </w:t>
            </w:r>
            <w:r>
              <w:rPr>
                <w:rFonts w:ascii="Times New Roman" w:hAnsi="Times New Roman" w:cs="Times New Roman"/>
                <w:sz w:val="20"/>
                <w:szCs w:val="20"/>
              </w:rPr>
              <w:t xml:space="preserve">LTBI </w:t>
            </w:r>
            <w:r w:rsidRPr="00700670">
              <w:rPr>
                <w:rFonts w:ascii="Times New Roman" w:hAnsi="Times New Roman" w:cs="Times New Roman"/>
                <w:sz w:val="20"/>
                <w:szCs w:val="20"/>
              </w:rPr>
              <w:t xml:space="preserve">and active TB after controlling for age, biomass fuel use and contact with </w:t>
            </w:r>
            <w:r>
              <w:rPr>
                <w:rFonts w:ascii="Times New Roman" w:hAnsi="Times New Roman" w:cs="Times New Roman"/>
                <w:sz w:val="20"/>
                <w:szCs w:val="20"/>
              </w:rPr>
              <w:t xml:space="preserve">a </w:t>
            </w:r>
            <w:r w:rsidRPr="00700670">
              <w:rPr>
                <w:rFonts w:ascii="Times New Roman" w:hAnsi="Times New Roman" w:cs="Times New Roman"/>
                <w:sz w:val="20"/>
                <w:szCs w:val="20"/>
              </w:rPr>
              <w:t xml:space="preserve">TB patient. There was no significant association of SHS with </w:t>
            </w:r>
            <w:r>
              <w:rPr>
                <w:rFonts w:ascii="Times New Roman" w:hAnsi="Times New Roman" w:cs="Times New Roman"/>
                <w:sz w:val="20"/>
                <w:szCs w:val="20"/>
              </w:rPr>
              <w:t xml:space="preserve">LTBI </w:t>
            </w:r>
            <w:r w:rsidRPr="00700670">
              <w:rPr>
                <w:rFonts w:ascii="Times New Roman" w:hAnsi="Times New Roman" w:cs="Times New Roman"/>
                <w:sz w:val="20"/>
                <w:szCs w:val="20"/>
              </w:rPr>
              <w:t>after adjustment for SES and study quality.</w:t>
            </w:r>
            <w:r>
              <w:rPr>
                <w:rFonts w:ascii="Times New Roman" w:hAnsi="Times New Roman" w:cs="Times New Roman"/>
                <w:sz w:val="20"/>
                <w:szCs w:val="20"/>
              </w:rPr>
              <w:t xml:space="preserve"> A</w:t>
            </w:r>
            <w:r w:rsidRPr="006E206E">
              <w:rPr>
                <w:rFonts w:ascii="Times New Roman" w:hAnsi="Times New Roman" w:cs="Times New Roman"/>
                <w:sz w:val="20"/>
                <w:szCs w:val="20"/>
              </w:rPr>
              <w:t>nalysis may not show sufficient evidence to confirm an association.</w:t>
            </w:r>
          </w:p>
        </w:tc>
        <w:tc>
          <w:tcPr>
            <w:tcW w:w="425" w:type="dxa"/>
            <w:tcBorders>
              <w:right w:val="single" w:sz="4" w:space="0" w:color="auto"/>
            </w:tcBorders>
          </w:tcPr>
          <w:p w14:paraId="78422C6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Pr>
                <w:rFonts w:ascii="Times New Roman" w:hAnsi="Times New Roman" w:cs="Times New Roman"/>
                <w:sz w:val="20"/>
                <w:szCs w:val="20"/>
              </w:rPr>
              <w:t>-</w:t>
            </w:r>
          </w:p>
        </w:tc>
        <w:tc>
          <w:tcPr>
            <w:tcW w:w="284" w:type="dxa"/>
            <w:tcBorders>
              <w:left w:val="single" w:sz="4" w:space="0" w:color="auto"/>
            </w:tcBorders>
          </w:tcPr>
          <w:p w14:paraId="1DAF02E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E0F1F7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53750B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61FEAE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18252E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7FB3B6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2C5BB87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5BF6A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B53FB2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FD76BE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9FD0A51" w14:textId="77777777" w:rsidTr="009B07DB">
        <w:tc>
          <w:tcPr>
            <w:tcW w:w="1702" w:type="dxa"/>
          </w:tcPr>
          <w:p w14:paraId="361A92BC"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Peacock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{"citationItems":[{"id":"ITEM-1","itemData":{"DOI":"10.1111/add.15239","ISSN":"13600443","abstract":"Aims: To estimate pooled all-cause and cause-specific mortality risk for people with regular or problematic cocaine use. Methods: Systematic review and meta-analysis of prospective or retrospective cohort studies or clinical trials (n ≥30) of people with regular or problematic cocaine use with data on all-cause or cause-specific mortality. Of 2808 papers, 28 were eligible and reported on 21 cohorts, with a total 170 019 individuals. Cohorts identified based on acute care for drug poisoning or other severe health presentation were excluded. Title/abstract screening was conducted by one reviewer; a second reviewer independently checked 10% of excluded studies. Two reviewers conducted full-text screening. Data were extracted by one reviewer and checked by a second. A customized review-specific study reporting quality/risk of bias tool was used. Data on crude mortality rates (CMR) and standardized mortality ratios were extracted for both all-cause and cause-specific mortality. Standardized mortality ratios were imputed where not provided by the author using extracted data and information from the Global Burden of Disease Study 2017. Data were pooled using a random-effects model. Results: The pooled all-cause crude mortality rate was 1.24 per 100 person-years [95% confidence interval (CI) = 0.86, 1.78; n = 16 cohorts], but with considerable heterogeneity (I2 = 98.8%). The pooled all-cause standardized mortality ratio (SMR) was 6.13 (95% CI = 4.15, 9.05; n = 16 cohorts). Suicide (SMR = 6.26, 95% CI = 2.84, 13.80), accidental injury (SMR = 6.36, 95% CI = 4.18, 9.68), homicide (SMR = 9.38, 95% CI 3.45–25.48) and AIDS-related mortality (SMR = 23.12, 95% CI = 11.30, 47.31) were all elevated compared with age and sex peers in the general population. Conclusions: There are elevated rates of mortality among people with regular or problematic cocaine use for traumatic deaths and deaths attributable to infectious disease.","author":[{"dropping-particle":"","family":"Peacock","given":"Amy","non-dropping-particle":"","parse-names":false,"suffix":""},{"dropping-particle":"","family":"Tran","given":"Lucy Thi","non-dropping-particle":"","parse-names":false,"suffix":""},{"dropping-particle":"","family":"Larney","given":"Sarah","non-dropping-particle":"","parse-names":false,"suffix":""},{"dropping-particle":"","family":"Stockings","given":"Emily","non-dropping-particle":"","parse-names":false,"suffix":""},{"dropping-particle":"","family":"Santo","given":"Thomas","non-dropping-particle":"","parse-names":false,"suffix":""},{"dropping-particle":"","family":"Jones","given":"Hayley","non-dropping-particle":"","parse-names":false,"suffix":""},{"dropping-particle":"","family":"Santomauro","given":"Damian","non-dropping-particle":"","parse-names":false,"suffix":""},{"dropping-particle":"","family":"Degenhardt","given":"Louisa","non-dropping-particle":"","parse-names":false,"suffix":""}],"container-title":"Addiction","id":"ITEM-1","issued":{"date-parts":[["2021"]]},"page":"725-742","title":"All-cause and cause-specific mortality among people with regular or problematic cocaine use: a systematic review and meta-analysis","type":"article-journal","volume":"116"},"uris":["http://www.mendeley.com/documents/?uuid=7e85e8b4-c0c0-451a-9926-1bc0d7c74ea2"]}],"mendeley":{"formattedCitation":"(41)","plainTextFormattedCitation":"(41)","previouslyFormattedCitation":"(41)"},"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(41)</w:t>
            </w:r>
            <w:r>
              <w:rPr>
                <w:rFonts w:ascii="Times New Roman" w:hAnsi="Times New Roman" w:cs="Times New Roman"/>
                <w:sz w:val="20"/>
                <w:szCs w:val="20"/>
              </w:rPr>
              <w:fldChar w:fldCharType="end"/>
            </w:r>
          </w:p>
        </w:tc>
        <w:tc>
          <w:tcPr>
            <w:tcW w:w="567" w:type="dxa"/>
          </w:tcPr>
          <w:p w14:paraId="347C0892"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15618D7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5A7C486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6CF23FC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People with regular or problematic cocaine use in various settings</w:t>
            </w:r>
          </w:p>
        </w:tc>
        <w:tc>
          <w:tcPr>
            <w:tcW w:w="3686" w:type="dxa"/>
            <w:gridSpan w:val="2"/>
          </w:tcPr>
          <w:p w14:paraId="24869801"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There were elevated rates of mortality among </w:t>
            </w:r>
            <w:r w:rsidRPr="00700670">
              <w:rPr>
                <w:rFonts w:ascii="Times New Roman" w:hAnsi="Times New Roman" w:cs="Times New Roman"/>
                <w:b/>
                <w:sz w:val="20"/>
                <w:szCs w:val="20"/>
              </w:rPr>
              <w:t>people with regular or problematic cocaine use</w:t>
            </w:r>
            <w:r w:rsidRPr="00700670">
              <w:rPr>
                <w:rFonts w:ascii="Times New Roman" w:hAnsi="Times New Roman" w:cs="Times New Roman"/>
                <w:sz w:val="20"/>
                <w:szCs w:val="20"/>
              </w:rPr>
              <w:t xml:space="preserve"> for deaths attributable to infectious disease (including AIDS).</w:t>
            </w:r>
          </w:p>
        </w:tc>
        <w:tc>
          <w:tcPr>
            <w:tcW w:w="425" w:type="dxa"/>
            <w:tcBorders>
              <w:right w:val="single" w:sz="4" w:space="0" w:color="auto"/>
            </w:tcBorders>
          </w:tcPr>
          <w:p w14:paraId="5A823401"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5011FBCE" w14:textId="77777777" w:rsidR="00BF0F1A" w:rsidRPr="00FC4F8D" w:rsidRDefault="00BF0F1A" w:rsidP="009B07DB">
            <w:pPr>
              <w:spacing w:after="0" w:line="240" w:lineRule="auto"/>
              <w:ind w:hanging="97"/>
              <w:jc w:val="center"/>
              <w:rPr>
                <w:rFonts w:ascii="Times New Roman" w:hAnsi="Times New Roman" w:cs="Times New Roman"/>
                <w:sz w:val="20"/>
                <w:szCs w:val="20"/>
              </w:rPr>
            </w:pPr>
          </w:p>
        </w:tc>
        <w:tc>
          <w:tcPr>
            <w:tcW w:w="284" w:type="dxa"/>
            <w:tcBorders>
              <w:left w:val="single" w:sz="4" w:space="0" w:color="auto"/>
            </w:tcBorders>
          </w:tcPr>
          <w:p w14:paraId="5CF5E7D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0CB694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692007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5A298A6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6AEBCD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788EC1B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17AA8C3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4D28BE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C4ECA6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5B8B4C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7BABC4D" w14:textId="77777777" w:rsidTr="009B07DB">
        <w:tc>
          <w:tcPr>
            <w:tcW w:w="1702" w:type="dxa"/>
          </w:tcPr>
          <w:p w14:paraId="2B81AA35"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Peres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{"citationItems":[{"id":"ITEM-1","itemData":{"DOI":"http://dx.doi.org/10.3389/fendo.2020.00562","ISSN":"1664-2392, 1664-2392","abstract":"A better understanding of the SARS-CoV-2 virus behavior and possible risk factors implicated in poor outcome has become an urgent need. We performed a systematic review in order to investigate a possible association between body weight and prognosis among patients diagnosed with COVID-19. We searched in Cochrane Library, EMBASE, MEDLINE, WHO-Global Literature on Coronavirus Disease, OpenGrey, and Medrxiv. We used the ROBINS-I tool or Cross-Sectional/Prevalence Study Quality tool from AHRQ, to evaluate the methodological quality of included studies. Nine studies (two prospective cohorts, four retrospective cohorts and three cross-sectional) were included and assessed the relationship between obesity and COVID-19 prognosis. Risk of bias of the included studies ranged from moderate to critical. Clinical and methodological heterogeneity among them precluded meta-analyses. Most of the included studies showed some degree of association to: (a) higher BMI and worse clinical presentation and (b) obesity and need of hospitalization. The results were inconsistent about the impact of obesity on mortality. Based on limited methodological quality studies, obesity seems to predict poor clinical evolution in patients with COVID-19. Further studies with appropriate prospective design are needed to reduce the uncertainty on this evidence.","author":[{"dropping-particle":"","family":"Peres","given":"Karina Colombera","non-dropping-particle":"","parse-names":false,"suffix":""},{"dropping-particle":"","family":"Riera","given":"Rachel","non-dropping-particle":"","parse-names":false,"suffix":""},{"dropping-particle":"","family":"Martimbianco","given":"Ana Luiza Cabrera","non-dropping-particle":"","parse-names":false,"suffix":""},{"dropping-particle":"","family":"Ward","given":"Laura Sterian","non-dropping-particle":"","parse-names":false,"suffix":""},{"dropping-particle":"","family":"Cunha","given":"Lucas Leite","non-dropping-particle":"","parse-names":false,"suffix":""}],"container-title":"Frontiers in endocrinology","id":"ITEM-1","issued":{"date-parts":[["2020"]]},"language":"English","note":"Date completed - 2020-09-28\n\nDate created - 2020-09-14\n\nDate revised - 2020-09-30\n\nSuppNotes - Cited By: Clin Infect Dis. 2020 Jul 28;71(15):896-897 [32271368] Nat Clin Pract Cardiovasc Med. 2007 Aug;4(8):436-43 [17653116] PLoS Med. 2009 Jul 21;6(7):e1000097 [19621072] MMWR Morb Mortal Wkly Rep. 2020 Apr 17;69(15):458-464 [32298251] Metabolism. 2020 Jul;108:154244 [32320741] Zhonghua Jie He He Hu Xi Za Zhi. 2020 Mar 12;43(3):209-214 [32164090] Metabolism. 2020 Jul;108:154256 [32360211] BMJ. 2017 Sep 21;358:j4008 [28935701] Free Radic Biol Med. 2008 Mar 15;44(6):1209-15 [18191647] Syst Rev. 2016 Dec 5;5(1):210 [27919275] Allergy. 2020 Jul;75(7):1730-1741 [32077115] Lancet Respir Med. 2020 May;8(5):475-481 [32105632] BMJ. 2020 May 29;369:m1996 [32471884] Obesity (Silver Spring). 2020 Jul;28(7):1178-1179 [32314871] Obesity (Silver Spring). 2020 Jul;28(7):1191-1194 [32314868] JAMA. 2020 May 26;323(20):2052-2059 [32320003] J Leukoc Biol. 2018 Sep;104(3):525-534 [30066958] BMJ. 2016 Oct 12;355:i4919 [27733354] J Am Coll Cardiol. 2018 Sep 25;72(13):1506-1531 [30236314] Scand J Public Health. 2018 Jul;46(5):522-529 [29569525] Zhonghua Xin Xue Guan Bing Za Zhi. 2020 Jun 24;48(6):450-455 [32120458] Lancet. 2020 Feb 15;395(10223):497-506 [31986264] Curr Opin Hematol. 2013 Sep;20(5):437-44 [23817170] J Clin Endocrinol Metab. 2020 Aug 1;105(8): [32474598] Lancet. 2020 Jun 6;395(10239):1763-1770 [32442528] Obesity (Silver Spring). 2020 Jul;28(7):1195-1199 [32271993] J Clin Endocrinol Metab. 2008 Nov;93(11 Suppl 1):S1-8 [18987267] Nat Rev Immunol. 2006 Oct;6(10):772-83 [16998510] J Clin Invest. 2017 Jan 3;127(1):5-13 [28045397] Cell Host Microbe. 2020 Jun 10;27(6):992-1000.e3 [32320677]\n\nLast updated - 2020-09-30","page":"562","publisher-place":"Laboratory of Cancer Molecular Genetics, School of Medical Sciences, University of Campinas, Campinas, Brazil. ; Discipline of Evidence-Based Medicine, Escola Paulista de Medicina, Universidade Federal de São Paulo, São Paulo, Brazil. ; Postgraduate Progr","title":"Body Mass Index and Prognosis of COVID-19 Infection. A Systematic Review.","type":"article-journal","volume":"11"},"uris":["http://www.mendeley.com/documents/?uuid=abe299cf-7bb8-4db0-93d1-101f4a041ba9"]}],"mendeley":{"formattedCitation":"(55)","plainTextFormattedCitation":"(55)","previouslyFormattedCitation":"(55)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(55)</w:t>
            </w:r>
            <w:r>
              <w:rPr>
                <w:rFonts w:ascii="Times New Roman" w:hAnsi="Times New Roman" w:cs="Times New Roman"/>
                <w:sz w:val="20"/>
                <w:szCs w:val="20"/>
              </w:rPr>
              <w:fldChar w:fldCharType="end"/>
            </w:r>
          </w:p>
        </w:tc>
        <w:tc>
          <w:tcPr>
            <w:tcW w:w="567" w:type="dxa"/>
          </w:tcPr>
          <w:p w14:paraId="286B727F"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3D14314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4AB4358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7E76851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confirmed COVID-19</w:t>
            </w:r>
          </w:p>
        </w:tc>
        <w:tc>
          <w:tcPr>
            <w:tcW w:w="3686" w:type="dxa"/>
            <w:gridSpan w:val="2"/>
          </w:tcPr>
          <w:p w14:paraId="23DC7F4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Obesity</w:t>
            </w:r>
            <w:r w:rsidRPr="00700670">
              <w:rPr>
                <w:rFonts w:ascii="Times New Roman" w:hAnsi="Times New Roman" w:cs="Times New Roman"/>
                <w:sz w:val="20"/>
                <w:szCs w:val="20"/>
              </w:rPr>
              <w:t xml:space="preserve"> is likely to be a predictor of poor COVID-19 outcomes.</w:t>
            </w:r>
          </w:p>
        </w:tc>
        <w:tc>
          <w:tcPr>
            <w:tcW w:w="425" w:type="dxa"/>
            <w:tcBorders>
              <w:right w:val="single" w:sz="4" w:space="0" w:color="auto"/>
            </w:tcBorders>
          </w:tcPr>
          <w:p w14:paraId="5D0C6C6F" w14:textId="77777777" w:rsidR="00BF0F1A" w:rsidRDefault="00BF0F1A" w:rsidP="009B07DB">
            <w:pPr>
              <w:spacing w:after="0" w:line="240" w:lineRule="auto"/>
              <w:ind w:hanging="97"/>
              <w:jc w:val="center"/>
            </w:pPr>
            <w:r w:rsidRPr="00057B1B">
              <w:rPr>
                <w:rFonts w:ascii="Times New Roman" w:hAnsi="Times New Roman" w:cs="Times New Roman"/>
                <w:sz w:val="20"/>
              </w:rPr>
              <w:t>↑</w:t>
            </w:r>
            <w:r>
              <w:rPr>
                <w:rFonts w:ascii="Times New Roman" w:hAnsi="Times New Roman" w:cs="Times New Roman"/>
                <w:sz w:val="20"/>
              </w:rPr>
              <w:t>-</w:t>
            </w:r>
          </w:p>
          <w:p w14:paraId="40A8D8C2" w14:textId="77777777" w:rsidR="00BF0F1A" w:rsidRPr="00FC4F8D" w:rsidRDefault="00BF0F1A" w:rsidP="009B07DB">
            <w:pPr>
              <w:spacing w:after="0" w:line="240" w:lineRule="auto"/>
              <w:ind w:hanging="97"/>
              <w:rPr>
                <w:rFonts w:ascii="Times New Roman" w:hAnsi="Times New Roman" w:cs="Times New Roman"/>
                <w:sz w:val="20"/>
                <w:szCs w:val="20"/>
              </w:rPr>
            </w:pPr>
          </w:p>
        </w:tc>
        <w:tc>
          <w:tcPr>
            <w:tcW w:w="284" w:type="dxa"/>
            <w:tcBorders>
              <w:left w:val="single" w:sz="4" w:space="0" w:color="auto"/>
            </w:tcBorders>
          </w:tcPr>
          <w:p w14:paraId="28905CA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540164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6A3ECA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19B984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D1CFC3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C03A78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133F146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5FE80E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FA3A3F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3D6EFD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08B7D031" w14:textId="77777777" w:rsidTr="009B07DB">
        <w:tc>
          <w:tcPr>
            <w:tcW w:w="1702" w:type="dxa"/>
          </w:tcPr>
          <w:p w14:paraId="01D6C997"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Phung</w:t>
            </w:r>
            <w:proofErr w:type="spellEnd"/>
            <w:r>
              <w:rPr>
                <w:rFonts w:ascii="Times New Roman" w:hAnsi="Times New Roman" w:cs="Times New Roman"/>
                <w:sz w:val="20"/>
                <w:szCs w:val="20"/>
              </w:rPr>
              <w:t xml:space="preserve"> et al., 2013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{"citationItems":[{"id":"ITEM-1","itemData":{"DOI":"http://dx.doi.org/10.1111/obr.12055","ISSN":"14677881","abstract":"Summary The aims of our meta-analysis were to examine the pattern and gender's influence on body mass index (BMI) - pneumonia relationship. Published studies were searched from PubMed, Web of Science, Cochrane Library databases using keywords of pneumonia, BMI and epidemiologic studies. Random-effects analysis was applied to estimate pooled effect sizes from individual studies. The Cochrane Q-test and index of heterogeneity (I2) were used to evaluate heterogeneity, and Egger's test was used to evaluate publication bias. Random-effects meta-regression was applied to examine the pattern and gender's influence on BMI-pneumonia relationship. A total of 1,531 studies were initially identified, and 25 studies finally were included. The pooled relative risk (RR) and meta-regression model revealed a J-shaped relationship between BMI and risk of community-acquired pneumonia (underweight, RR 1.8, 95% confidence interval [CI], 1.4-2.2, P&lt;0.01; overweight, 0.89, 95%CI, 0.8-1.03, P, 0.1; obesity, 1.03, 95% CI, 0.8-1.3, p. 8) and U-shaped relationship between BMI and risk of influenza-related pneumonia (underweight, RR 1.9, 95% CI, 1.2-3, P&lt;0.01; overweight, 0.89, 95% CI, 0.79-0.99, P, 0.03; obesity, 1.3, 95% CI, 1.05-1.63, p. 2; morbidity obesity, 4.6, 95% CI, 2.2-9.8, P&lt;0.01); whereas, no difference in risk of nosocomial pneumonia was found across the BMI groups. Gender difference did not make significant contribution in modifying BMI-pneumonia risk relationship. [PUBLICATION ABSTRACT]","author":[{"dropping-particle":"","family":"Phung","given":"D T","non-dropping-particle":"","parse-names":false,"suffix":""},{"dropping-particle":"","family":"Wang","given":"Z","non-dropping-particle":"","parse-names":false,"suffix":""},{"dropping-particle":"","family":"Rutherford","given":"S","non-dropping-particle":"","parse-names":false,"suffix":""},{"dropping-particle":"","family":"Huang","given":"C","non-dropping-particle":"","parse-names":false,"suffix":""},{"dropping-particle":"","family":"Chu","given":"C","non-dropping-particle":"","parse-names":false,"suffix":""}],"container-title":"Obesity Reviews","id":"ITEM-1","issued":{"date-parts":[["2013"]]},"language":"English","note":"Copyright - Obesity Reviews © 2013 International Association for the Study of Obesity\n\nLast updated - 2013-09-12","page":"839-857","publisher":"Wiley Subscription Services, Inc.","publisher-place":"Oxford","title":"Body mass index and risk of pneumonia: a systematic review and meta-analysis","type":"article-journal","volume":"14"},"uris":["http://www.mendeley.com/documents/?uuid=3d47eba8-4be6-4f15-bde0-df908099e5a8"]}],"mendeley":{"formattedCitation":"(58)","plainTextFormattedCitation":"(58)","previouslyFormattedCitation":"(58)"},"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(58)</w:t>
            </w:r>
            <w:r>
              <w:rPr>
                <w:rFonts w:ascii="Times New Roman" w:hAnsi="Times New Roman" w:cs="Times New Roman"/>
                <w:sz w:val="20"/>
                <w:szCs w:val="20"/>
              </w:rPr>
              <w:fldChar w:fldCharType="end"/>
            </w:r>
          </w:p>
        </w:tc>
        <w:tc>
          <w:tcPr>
            <w:tcW w:w="567" w:type="dxa"/>
          </w:tcPr>
          <w:p w14:paraId="280063BF"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31FF719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2FB5076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(CAP, influenza related or nosocomial)</w:t>
            </w:r>
          </w:p>
        </w:tc>
        <w:tc>
          <w:tcPr>
            <w:tcW w:w="2126" w:type="dxa"/>
          </w:tcPr>
          <w:p w14:paraId="4EEA66B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Not given </w:t>
            </w:r>
            <w:r w:rsidRPr="00057B1B">
              <w:rPr>
                <w:rFonts w:ascii="Times New Roman" w:hAnsi="Times New Roman" w:cs="Times New Roman"/>
                <w:i/>
                <w:sz w:val="20"/>
                <w:szCs w:val="20"/>
              </w:rPr>
              <w:t>(≥ 12 years)</w:t>
            </w:r>
          </w:p>
        </w:tc>
        <w:tc>
          <w:tcPr>
            <w:tcW w:w="3686" w:type="dxa"/>
            <w:gridSpan w:val="2"/>
          </w:tcPr>
          <w:p w14:paraId="11745CD2"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Obese</w:t>
            </w:r>
            <w:r w:rsidRPr="00700670">
              <w:rPr>
                <w:rFonts w:ascii="Times New Roman" w:hAnsi="Times New Roman" w:cs="Times New Roman"/>
                <w:sz w:val="20"/>
                <w:szCs w:val="20"/>
              </w:rPr>
              <w:t xml:space="preserve"> persons had a non-significant increased risk of CAP. Obese and morbidly obese persons had an increased risk of influenza-related pneumonia.</w:t>
            </w:r>
          </w:p>
        </w:tc>
        <w:tc>
          <w:tcPr>
            <w:tcW w:w="425" w:type="dxa"/>
            <w:tcBorders>
              <w:right w:val="single" w:sz="4" w:space="0" w:color="auto"/>
            </w:tcBorders>
          </w:tcPr>
          <w:p w14:paraId="381996F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8C06D4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92DDCF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F82E03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ADFD0A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6754857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3091D8B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6632AE5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156B6E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6B4062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35CC32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4AF3F5CC" w14:textId="77777777" w:rsidTr="009B07DB">
        <w:tc>
          <w:tcPr>
            <w:tcW w:w="1702" w:type="dxa"/>
          </w:tcPr>
          <w:p w14:paraId="0EBAA88B"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lastRenderedPageBreak/>
              <w:t>Pimpin</w:t>
            </w:r>
            <w:proofErr w:type="spellEnd"/>
            <w:r>
              <w:rPr>
                <w:rFonts w:ascii="Times New Roman" w:hAnsi="Times New Roman" w:cs="Times New Roman"/>
                <w:sz w:val="20"/>
                <w:szCs w:val="20"/>
              </w:rPr>
              <w:t xml:space="preserve"> et al., 2011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{"citationItems":[{"id":"ITEM-1","itemData":{"ISSN":"0903-1936, 0903-1936","abstract":"In order to ensure the availability of resources for tuberculosis (TB) and HIV management and control, it is imperative that countries monitor and plan for co-infection in order to identify, treat and prevent TB-HIV co-infection, thereby reducing TB burden and increasing the years of healthy life of people living with HIV. A systematic review was undertaken to determine the burden of TB-HIV infection in the European Union (EU) and European Economic Area (EEA). Data on the burden of HIV infection in TB patients and risk factors for TB-HIV co-infection in the EU/EEA were extracted from studies that collected information in 1996 and later, regardless of the year of initiation of data collection, and a narrative synthesis presented. The proportion of HIV-co-infected TB patients varied from 0 to 15%. Western and eastern countries had higher levels and increasing trends of infection over time compared with central EU/EEA countries. Groups at higher risk of TB-HIV co-infection were males, young adults, foreign-born persons, the homeless, injecting drug users and prisoners. Further research is needed into the burden and associated risk factors of co-infection in Europe, to help plan effective control measures. Increased HIV testing of TB patients and targeted and informed strategies for control and prevention could help curb the co-infection epidemic.","author":[{"dropping-particle":"","family":"Pimpin","given":"L","non-dropping-particle":"","parse-names":false,"suffix":""},{"dropping-particle":"","family":"Drumright","given":"L N","non-dropping-particle":"","parse-names":false,"suffix":""},{"dropping-particle":"","family":"Kruijshaar","given":"M E","non-dropping-particle":"","parse-names":false,"suffix":""},{"dropping-particle":"","family":"Abubakar","given":"I","non-dropping-particle":"","parse-names":false,"suffix":""},{"dropping-particle":"","family":"Rice","given":"B","non-dropping-particle":"","parse-names":false,"suffix":""},{"dropping-particle":"","family":"Delpech","given":"V","non-dropping-particle":"","parse-names":false,"suffix":""},{"dropping-particle":"","family":"Hollo","given":"V","non-dropping-particle":"","parse-names":false,"suffix":""},{"dropping-particle":"","family":"Amato-Gauci","given":"A","non-dropping-particle":"","parse-names":false,"suffix":""},{"dropping-particle":"","family":"Manissero","given":"D","non-dropping-particle":"","parse-names":false,"suffix":""},{"dropping-particle":"","family":"Koedmoen","given":"C","non-dropping-particle":"","parse-names":false,"suffix":""}],"container-title":"European Respiratory Journal","id":"ITEM-1","issued":{"date-parts":[["2011"]]},"language":"English","note":"Date revised - 2012-01-01\n\nLast updated - 2012-09-24\n\nSubjectsTermNotLitGenreText - Epidemics; Data processing; Risk factors; Economics; Tuberculosis; Data collections; Drug abuse; Infection; Mycobacterium; Human immunodeficiency virus","page":"1382-1392","publisher":"W.S. Maney &amp; Son Ltd., Hudson Road Leeds LS9 7DL United Kingdom","publisher-place":"Tuberculosis Section, Respiratory Diseases Dept","title":"Tuberculosis and HIV co-infection in European Union and European Economic Area countries","type":"article-journal","volume":"38"},"uris":["http://www.mendeley.com/documents/?uuid=c8e1d11b-29e6-4b17-a82d-60131c3118ef"]}],"mendeley":{"formattedCitation":"(43)","plainTextFormattedCitation":"(43)","previouslyFormattedCitation":"(43)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(43)</w:t>
            </w:r>
            <w:r>
              <w:rPr>
                <w:rFonts w:ascii="Times New Roman" w:hAnsi="Times New Roman" w:cs="Times New Roman"/>
                <w:sz w:val="20"/>
                <w:szCs w:val="20"/>
              </w:rPr>
              <w:fldChar w:fldCharType="end"/>
            </w:r>
          </w:p>
        </w:tc>
        <w:tc>
          <w:tcPr>
            <w:tcW w:w="567" w:type="dxa"/>
          </w:tcPr>
          <w:p w14:paraId="29E08D93"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26A4194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EU/EEA</w:t>
            </w:r>
          </w:p>
        </w:tc>
        <w:tc>
          <w:tcPr>
            <w:tcW w:w="1275" w:type="dxa"/>
          </w:tcPr>
          <w:p w14:paraId="006A2FE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HIV-TB co-infection</w:t>
            </w:r>
          </w:p>
        </w:tc>
        <w:tc>
          <w:tcPr>
            <w:tcW w:w="2126" w:type="dxa"/>
          </w:tcPr>
          <w:p w14:paraId="04BB8CF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TB</w:t>
            </w:r>
          </w:p>
        </w:tc>
        <w:tc>
          <w:tcPr>
            <w:tcW w:w="3686" w:type="dxa"/>
            <w:gridSpan w:val="2"/>
          </w:tcPr>
          <w:p w14:paraId="2A1C1C2E"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Injecting drug users</w:t>
            </w:r>
            <w:r w:rsidRPr="00700670">
              <w:rPr>
                <w:rFonts w:ascii="Times New Roman" w:hAnsi="Times New Roman" w:cs="Times New Roman"/>
                <w:sz w:val="20"/>
                <w:szCs w:val="20"/>
              </w:rPr>
              <w:t xml:space="preserve"> were a high-risk group for TB-HIV co-infection.</w:t>
            </w:r>
          </w:p>
        </w:tc>
        <w:tc>
          <w:tcPr>
            <w:tcW w:w="425" w:type="dxa"/>
            <w:tcBorders>
              <w:right w:val="single" w:sz="4" w:space="0" w:color="auto"/>
            </w:tcBorders>
          </w:tcPr>
          <w:p w14:paraId="1371C90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F3970C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9A7C3E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413CCC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6A2B0B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A61245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0BBC225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4B7E480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469D5DD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E2647F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DA3AB6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3ED78EDB" w14:textId="77777777" w:rsidTr="009B07DB">
        <w:tc>
          <w:tcPr>
            <w:tcW w:w="1702" w:type="dxa"/>
          </w:tcPr>
          <w:p w14:paraId="0C29695B"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Ragan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{"citationItems":[{"id":"ITEM-1","itemData":{"DOI":"http://dx.doi.org/10.5588/ijtld.19.0080","ISSN":"1027-3719","abstract":"Alcohol use is associated with increased risk of developing tuberculosis (TB) disease, yet the impact of alcohol use on TB treatment outcomes has not been summarized. We aimed to quantitatively review evidence of the relationship between alcohol use and poor TB treatment outcomes. We conducted a systematic review of PubMed, EMBASE, and Web of Science (January 1980–May 2018). We categorized studies as having a high- or low-quality alcohol use definition and examined poor treatment outcomes individually and as two aggregated definitions (i.e., including or excluding loss to follow-up [LTFU]). We analyzed drug-susceptible (DS-) and multidrug-resistant (MDR-) TB studies separately. Our systematic review yielded 111 studies reporting alcohol use as a predictor of DS- and MDR-TB treatment outcomes. Alcohol use was associated with increased odds of poor treatment outcomes (i.e., death, treatment failure, and LTFU) in DS (OR 1.99, 95% CI 1.57–2.51) and MDR-TB studies (OR 2.00, 95% CI 1.73–2.32). This association persisted for aggregated poor treatment outcomes excluding LTFU, each individual poor outcome, and across sub-group and sensitivity analyses. Only 19% of studies used high-quality alcohol definitions. Alcohol use significantly increased the risk of poor treatment outcomes in both DS- and MDR-TB patients. This study highlights the need for improved assessment of alcohol use in TB outcomes research and potentially modified treatment guidelines for TB patients who consume alcohol.","author":[{"dropping-particle":"","family":"Ragan","given":"E J","non-dropping-particle":"","parse-names":false,"suffix":""},{"dropping-particle":"","family":"Kleinman","given":"M B","non-dropping-particle":"","parse-names":false,"suffix":""},{"dropping-particle":"","family":"Sweigart","given":"B","non-dropping-particle":"","parse-names":false,"suffix":""},{"dropping-particle":"","family":"Gnatienko","given":"N","non-dropping-particle":"","parse-names":false,"suffix":""},{"dropping-particle":"","family":"Parry","given":"C D","non-dropping-particle":"","parse-names":false,"suffix":""},{"dropping-particle":"","family":"Horsburgh","given":"C R","non-dropping-particle":"","parse-names":false,"suffix":""},{"dropping-particle":"","family":"LaValley","given":"M P","non-dropping-particle":"","parse-names":false,"suffix":""},{"dropping-particle":"","family":"Myers","given":"B","non-dropping-particle":"","parse-names":false,"suffix":""},{"dropping-particle":"","family":"Jacobson","given":"K R","non-dropping-particle":"","parse-names":false,"suffix":""}],"container-title":"The International Journal of Tuberculosis and Lung Disease","id":"ITEM-1","issued":{"date-parts":[["2020"]]},"language":"English","note":"Copyright - Copyright International Union against Tuberculosis and Lung Disease (IUATLD) Jan 2020\n\nLast updated - 2020-02-06","page":"73-82","publisher":"International Union against Tuberculosis and Lung Disease (IUATLD)","publisher-place":"Paris","title":"The impact of alcohol use on tuberculosis treatment outcomes: a systematic review and meta-analysis","type":"article-journal","volume":"24"},"uris":["http://www.mendeley.com/documents/?uuid=94e78591-bea0-4984-8ee8-c09a44a69a6d"]}],"mendeley":{"formattedCitation":"(27)","plainTextFormattedCitation":"(27)","previouslyFormattedCitation":"(27)"},"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(27)</w:t>
            </w:r>
            <w:r>
              <w:rPr>
                <w:rFonts w:ascii="Times New Roman" w:hAnsi="Times New Roman" w:cs="Times New Roman"/>
                <w:sz w:val="20"/>
                <w:szCs w:val="20"/>
              </w:rPr>
              <w:fldChar w:fldCharType="end"/>
            </w:r>
          </w:p>
        </w:tc>
        <w:tc>
          <w:tcPr>
            <w:tcW w:w="567" w:type="dxa"/>
          </w:tcPr>
          <w:p w14:paraId="2BBB7E29"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52E3A3E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2142A9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 (DS or MDR-TB)</w:t>
            </w:r>
          </w:p>
        </w:tc>
        <w:tc>
          <w:tcPr>
            <w:tcW w:w="2126" w:type="dxa"/>
          </w:tcPr>
          <w:p w14:paraId="5AB3A45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treated for DS or MDR-TB disease </w:t>
            </w:r>
            <w:r w:rsidRPr="00057B1B">
              <w:rPr>
                <w:rFonts w:ascii="Times New Roman" w:hAnsi="Times New Roman" w:cs="Times New Roman"/>
                <w:i/>
                <w:sz w:val="20"/>
                <w:szCs w:val="20"/>
              </w:rPr>
              <w:t>(child studies excluded)</w:t>
            </w:r>
          </w:p>
        </w:tc>
        <w:tc>
          <w:tcPr>
            <w:tcW w:w="3686" w:type="dxa"/>
            <w:gridSpan w:val="2"/>
          </w:tcPr>
          <w:p w14:paraId="38B5BA77"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 use</w:t>
            </w:r>
            <w:r w:rsidRPr="00700670">
              <w:rPr>
                <w:rFonts w:ascii="Times New Roman" w:hAnsi="Times New Roman" w:cs="Times New Roman"/>
                <w:sz w:val="20"/>
                <w:szCs w:val="20"/>
              </w:rPr>
              <w:t xml:space="preserve"> significantly increased the risk of poor treatment outcomes in both DR- and MDR-TB patients.</w:t>
            </w:r>
          </w:p>
        </w:tc>
        <w:tc>
          <w:tcPr>
            <w:tcW w:w="425" w:type="dxa"/>
            <w:tcBorders>
              <w:right w:val="single" w:sz="4" w:space="0" w:color="auto"/>
            </w:tcBorders>
          </w:tcPr>
          <w:p w14:paraId="2EBF2B91"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76F72653" w14:textId="77777777" w:rsidR="00BF0F1A" w:rsidRPr="006E206E" w:rsidRDefault="00BF0F1A" w:rsidP="009B07DB">
            <w:pPr>
              <w:rPr>
                <w:rFonts w:ascii="Times New Roman" w:hAnsi="Times New Roman" w:cs="Times New Roman"/>
                <w:sz w:val="20"/>
                <w:szCs w:val="20"/>
              </w:rPr>
            </w:pPr>
          </w:p>
        </w:tc>
        <w:tc>
          <w:tcPr>
            <w:tcW w:w="284" w:type="dxa"/>
            <w:tcBorders>
              <w:left w:val="single" w:sz="4" w:space="0" w:color="auto"/>
            </w:tcBorders>
          </w:tcPr>
          <w:p w14:paraId="0286376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207A6E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A9AF93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1658536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5838F3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331B4A0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567" w:type="dxa"/>
          </w:tcPr>
          <w:p w14:paraId="38F3450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7AC2BF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320217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2B1821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7C878440" w14:textId="77777777" w:rsidTr="009B07DB">
        <w:tc>
          <w:tcPr>
            <w:tcW w:w="1702" w:type="dxa"/>
          </w:tcPr>
          <w:p w14:paraId="6E9048BD"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Rajendran</w:t>
            </w:r>
            <w:proofErr w:type="spellEnd"/>
            <w:r>
              <w:rPr>
                <w:rFonts w:ascii="Times New Roman" w:hAnsi="Times New Roman" w:cs="Times New Roman"/>
                <w:sz w:val="20"/>
                <w:szCs w:val="20"/>
              </w:rPr>
              <w:t xml:space="preserve">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{"citationItems":[{"id":"ITEM-1","itemData":{"DOI":"http://dx.doi.org/10.1016/j.tube.2020.101925","ISSN":"14729792","abstract":"Multidrug-resistant tuberculosis (MDR-TB) is one of the causes of morbidity and mortality, among tuberculosis (TB) patients in Malaysia. The purpose of this study was to determine the contributing risk factors to the prevalence of (MDR-TB). Based on systematic review of the literatures, the prevalence of (MDR-TB) and associated risk factors in Malaysia were studied. A comprehensive search of Scopus, Science direct, PubMed, DOAJ, CINAHL Plus, MyJournal, BIREME, BMC Public Health, Medline, CAB, and WoS databases were done among the articles published from 31st January 2009 to 31st December 2018, by using medical subject heading (MeSH) key terms. In conducting this study, a total of 121 papers were reviewed and 23 research papers were chosen, because, they met the specific inclusion criteria. In this study, gender, age, marital status, ethnicity, homeless status, living in urban area and history of imprisonment were evaluated as demographic factors, while educational level and employment were evaluated as socioeconomic factors. Smoking, diabetes mellitus, drug abuse and alcohol consumption were evaluated as behavioral and co-morbidities factors. All the studies chosen as eligible to be included in this study were found to be significantly associated with the risk factors for the prevalence of (MDR-TB). It was also discovered that, lack of adequate knowledge among the community and (TB) patients might increase the progression of (MDR-TB) infection in Malaysia. Thus, carried out a systematic review provided a comprehensive assessment of the (MDR-TB) which might be useful for policy makers, health experts and researchers to implement appropriate strategies for (TB) infected population in Malaysia.","author":[{"dropping-particle":"","family":"Rajendran","given":"Mahindran","non-dropping-particle":"","parse-names":false,"suffix":""},{"dropping-particle":"","family":"Zaki","given":"Rafdzah Ahmad","non-dropping-particle":"","parse-names":false,"suffix":""},{"dropping-particle":"","family":"Aghamohammadi","given":"Nasrin","non-dropping-particle":"","parse-names":false,"suffix":""}],"container-title":"Tuberculosis","id":"ITEM-1","issued":{"date-parts":[["2020"]]},"language":"English","note":"Copyright - Copyright Elsevier Science Ltd. May 2020\n\nLast updated - 2020-09-12\n\nSubjectsTermNotLitGenreText - Malaysia","page":"1","publisher":"Elsevier Science Ltd.","publisher-place":"Department of Social and Preventive Medicine, Faculty of Medicine, University of Malaya, 50603, Kuala Lumpur, Malaysia ; Department of Social and Preventive Medicine, Faculty of Medicine, University of Malaya, 50603, Kuala Lumpur, Malaysia","title":"Contributing risk factors towards the prevalence of multidrug-resistant tuberculosis in Malaysia: A systematic review","type":"article-journal","volume":"122"},"uris":["http://www.mendeley.com/documents/?uuid=8dd3fd8b-12de-4fdf-b646-0223f7c9cecf"]}],"mendeley":{"formattedCitation":"(25)","plainTextFormattedCitation":"(25)","previouslyFormattedCitation":"(25)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(25)</w:t>
            </w:r>
            <w:r>
              <w:rPr>
                <w:rFonts w:ascii="Times New Roman" w:hAnsi="Times New Roman" w:cs="Times New Roman"/>
                <w:sz w:val="20"/>
                <w:szCs w:val="20"/>
              </w:rPr>
              <w:fldChar w:fldCharType="end"/>
            </w:r>
          </w:p>
        </w:tc>
        <w:tc>
          <w:tcPr>
            <w:tcW w:w="567" w:type="dxa"/>
          </w:tcPr>
          <w:p w14:paraId="30436B0E"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256EBD3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Malaysia</w:t>
            </w:r>
          </w:p>
        </w:tc>
        <w:tc>
          <w:tcPr>
            <w:tcW w:w="1275" w:type="dxa"/>
          </w:tcPr>
          <w:p w14:paraId="245EE67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67BC2F2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TB</w:t>
            </w:r>
          </w:p>
        </w:tc>
        <w:tc>
          <w:tcPr>
            <w:tcW w:w="3686" w:type="dxa"/>
            <w:gridSpan w:val="2"/>
          </w:tcPr>
          <w:p w14:paraId="39690544"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Drug abuse, alcohol use</w:t>
            </w:r>
            <w:r w:rsidRPr="00700670">
              <w:rPr>
                <w:rFonts w:ascii="Times New Roman" w:hAnsi="Times New Roman" w:cs="Times New Roman"/>
                <w:sz w:val="20"/>
                <w:szCs w:val="20"/>
              </w:rPr>
              <w:t xml:space="preserve"> and </w:t>
            </w: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were strongly associated with the prevalence of MDR-TB.</w:t>
            </w:r>
          </w:p>
        </w:tc>
        <w:tc>
          <w:tcPr>
            <w:tcW w:w="425" w:type="dxa"/>
            <w:tcBorders>
              <w:right w:val="single" w:sz="4" w:space="0" w:color="auto"/>
            </w:tcBorders>
          </w:tcPr>
          <w:p w14:paraId="0CFBDA5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4F4373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7F7EDC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D691A1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41A024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54D61A2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34B7665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7ADE460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3C31C21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BEF480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5AA97A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084EF1A1" w14:textId="77777777" w:rsidTr="009B07DB">
        <w:tc>
          <w:tcPr>
            <w:tcW w:w="1702" w:type="dxa"/>
          </w:tcPr>
          <w:p w14:paraId="75E9951D" w14:textId="77777777" w:rsidR="00BF0F1A" w:rsidRDefault="00BF0F1A" w:rsidP="009B07DB">
            <w:pPr>
              <w:spacing w:after="0" w:line="240" w:lineRule="auto"/>
              <w:rPr>
                <w:rFonts w:ascii="Times New Roman" w:hAnsi="Times New Roman" w:cs="Times New Roman"/>
                <w:sz w:val="20"/>
                <w:szCs w:val="20"/>
              </w:rPr>
            </w:pPr>
            <w:r w:rsidRPr="003B3BD4">
              <w:rPr>
                <w:rFonts w:ascii="Times New Roman" w:hAnsi="Times New Roman" w:cs="Times New Roman"/>
                <w:noProof/>
                <w:szCs w:val="24"/>
              </w:rPr>
              <w:t>Rumbwere</w:t>
            </w:r>
            <w:r w:rsidRPr="00057B1B">
              <w:rPr>
                <w:rFonts w:ascii="Times New Roman" w:hAnsi="Times New Roman" w:cs="Times New Roman"/>
                <w:sz w:val="20"/>
                <w:szCs w:val="20"/>
              </w:rPr>
              <w:t xml:space="preserve"> </w:t>
            </w:r>
            <w:proofErr w:type="spellStart"/>
            <w:r>
              <w:rPr>
                <w:rFonts w:ascii="Times New Roman" w:hAnsi="Times New Roman" w:cs="Times New Roman"/>
                <w:sz w:val="20"/>
                <w:szCs w:val="20"/>
              </w:rPr>
              <w:t>Dube</w:t>
            </w:r>
            <w:proofErr w:type="spellEnd"/>
            <w:r>
              <w:rPr>
                <w:rFonts w:ascii="Times New Roman" w:hAnsi="Times New Roman" w:cs="Times New Roman"/>
                <w:sz w:val="20"/>
                <w:szCs w:val="20"/>
              </w:rPr>
              <w:t xml:space="preserve"> </w:t>
            </w:r>
            <w:r w:rsidRPr="00057B1B">
              <w:rPr>
                <w:rFonts w:ascii="Times New Roman" w:hAnsi="Times New Roman" w:cs="Times New Roman"/>
                <w:sz w:val="20"/>
                <w:szCs w:val="20"/>
              </w:rPr>
              <w:t>et a</w:t>
            </w:r>
            <w:r>
              <w:rPr>
                <w:rFonts w:ascii="Times New Roman" w:hAnsi="Times New Roman" w:cs="Times New Roman"/>
                <w:sz w:val="20"/>
                <w:szCs w:val="20"/>
              </w:rPr>
              <w:t xml:space="preserve">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{"citationItems":[{"id":"ITEM-1","itemData":{"DOI":"10.1186/s13643-018-0744-3","ISSN":"20464053","PMID":"29859533","abstract":"Background: Early diagnosis of human immunodeficiency virus (HIV) is important because antiretroviral therapies are more effective if infected individuals are diagnosed early. Diagnosis of HIV relies on laboratory testing and determining the demographic and clinical characteristics of undiagnosed HIV-infected patients may be useful in identifying patients for testing. This systematic review aims to identify characteristics of HIV-infected adults prior to diagnosis that could be used in a prediction model for early detection of patients for HIV testing in UK primary care. Methods: The population of interest was adults aged ≥ 18 years in developed countries. The exposures were demographic, socio-economic or clinical characteristics associated with the outcome, laboratory confirmed HIV/AIDS infection. Observational studies with a comparator group were included in the systematic review. Electronic searches for articles from January 1995 to April 2016 were conducted on online databases of EMBASE, MEDLINE, The Cochrane Library and grey literature. Two reviewers selected studies for inclusion. A checklist was developed for quality assessment, and a data extraction form was created to collate data from selected studies. Results: Full-text screening of 429 articles identified 17 cohort and case-control studies, from 26,819 retrieved articles. Demographic and socio-economic characteristics associated with HIV infection included age, gender and measures of deprivation. Lifestyle choices identified were drug use, binge-drinking, number of lifetime partners and having a partner with risky behaviour. Eighteen clinical features and comorbid conditions identified in this systematic review are included in the 51 conditions listed in the British HIV Association guidelines. Additional clinical features and comorbid conditions identified but not specified in the guidelines included hyperlipidemia, hypertension, minor trauma and diabetes. Conclusion: This systematic review consolidates existing scientific evidence on characteristics of HIV-infected individuals that could be used to inform decision making in prognostic model development. Further exploration of availability of some of the demographic and behavioural predictors of HIV, such as ethnicity, number of lifetime partners and partner characteristics, in primary care records will be required to determine whether they can be applied in the prediction model.","author":[{"dropping-particle":"","family":"Rumbwere Dube","given":"Benhildah N.","non-dropping-particle":"","parse-names":false,"suffix":""},{"dropping-particle":"","family":"Marshall","given":"Tom P.","non-dropping-particle":"","parse-names":false,"suffix":""},{"dropping-particle":"","family":"Ryan","given":"Ronan P.","non-dropping-particle":"","parse-names":false,"suffix":""},{"dropping-particle":"","family":"Omonijo","given":"Modupe","non-dropping-particle":"","parse-names":false,"suffix":""}],"container-title":"Systematic Reviews","id":"ITEM-1","issued":{"date-parts":[["2018"]]},"page":"82","publisher":"Systematic Reviews","title":"Predictors of human immunodeficiency virus (HIV) infection in primary care among adults living in developed countries: A systematic review","type":"article-journal","volume":"7"},"uris":["http://www.mendeley.com/documents/?uuid=730f3e9c-4c44-48ad-bbbf-571391bb3c9a"]}],"mendeley":{"formattedCitation":"(33)","plainTextFormattedCitation":"(33)","previouslyFormattedCitation":"(33)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(33)</w:t>
            </w:r>
            <w:r>
              <w:rPr>
                <w:rFonts w:ascii="Times New Roman" w:hAnsi="Times New Roman" w:cs="Times New Roman"/>
                <w:sz w:val="20"/>
                <w:szCs w:val="20"/>
              </w:rPr>
              <w:fldChar w:fldCharType="end"/>
            </w:r>
          </w:p>
        </w:tc>
        <w:tc>
          <w:tcPr>
            <w:tcW w:w="567" w:type="dxa"/>
          </w:tcPr>
          <w:p w14:paraId="1D0A8222"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372F0AE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22C2DEE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28EDC4E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Not given </w:t>
            </w:r>
            <w:r w:rsidRPr="00057B1B">
              <w:rPr>
                <w:rFonts w:ascii="Times New Roman" w:hAnsi="Times New Roman" w:cs="Times New Roman"/>
                <w:i/>
                <w:sz w:val="20"/>
                <w:szCs w:val="20"/>
              </w:rPr>
              <w:t>(adults)</w:t>
            </w:r>
          </w:p>
        </w:tc>
        <w:tc>
          <w:tcPr>
            <w:tcW w:w="3686" w:type="dxa"/>
            <w:gridSpan w:val="2"/>
          </w:tcPr>
          <w:p w14:paraId="44A74687" w14:textId="77777777" w:rsidR="00BF0F1A" w:rsidRPr="00700670" w:rsidRDefault="00BF0F1A" w:rsidP="009B07DB">
            <w:pPr>
              <w:spacing w:after="0" w:line="240" w:lineRule="auto"/>
              <w:rPr>
                <w:rFonts w:ascii="Times New Roman" w:hAnsi="Times New Roman" w:cs="Times New Roman"/>
                <w:b/>
                <w:sz w:val="20"/>
                <w:szCs w:val="20"/>
              </w:rPr>
            </w:pPr>
            <w:r w:rsidRPr="00700670">
              <w:rPr>
                <w:rFonts w:ascii="Times New Roman" w:hAnsi="Times New Roman" w:cs="Times New Roman"/>
                <w:sz w:val="20"/>
                <w:szCs w:val="20"/>
              </w:rPr>
              <w:t xml:space="preserve">Being a </w:t>
            </w:r>
            <w:r w:rsidRPr="00700670">
              <w:rPr>
                <w:rFonts w:ascii="Times New Roman" w:hAnsi="Times New Roman" w:cs="Times New Roman"/>
                <w:b/>
                <w:sz w:val="20"/>
                <w:szCs w:val="20"/>
              </w:rPr>
              <w:t xml:space="preserve">current smoker, binge drinking, alcohol misuse </w:t>
            </w:r>
            <w:r w:rsidRPr="00700670">
              <w:rPr>
                <w:rFonts w:ascii="Times New Roman" w:hAnsi="Times New Roman" w:cs="Times New Roman"/>
                <w:sz w:val="20"/>
                <w:szCs w:val="20"/>
              </w:rPr>
              <w:t>and</w:t>
            </w:r>
            <w:r w:rsidRPr="00700670">
              <w:rPr>
                <w:rFonts w:ascii="Times New Roman" w:hAnsi="Times New Roman" w:cs="Times New Roman"/>
                <w:b/>
                <w:sz w:val="20"/>
                <w:szCs w:val="20"/>
              </w:rPr>
              <w:t xml:space="preserve"> drug use</w:t>
            </w:r>
            <w:r w:rsidRPr="00700670">
              <w:rPr>
                <w:rFonts w:ascii="Times New Roman" w:hAnsi="Times New Roman" w:cs="Times New Roman"/>
                <w:sz w:val="20"/>
                <w:szCs w:val="20"/>
              </w:rPr>
              <w:t xml:space="preserve"> were predictors of HIV infection.</w:t>
            </w:r>
          </w:p>
        </w:tc>
        <w:tc>
          <w:tcPr>
            <w:tcW w:w="425" w:type="dxa"/>
            <w:tcBorders>
              <w:right w:val="single" w:sz="4" w:space="0" w:color="auto"/>
            </w:tcBorders>
          </w:tcPr>
          <w:p w14:paraId="604991DE" w14:textId="77777777" w:rsidR="00BF0F1A" w:rsidRPr="00057B1B" w:rsidRDefault="00BF0F1A" w:rsidP="009B07DB">
            <w:pPr>
              <w:spacing w:after="0" w:line="240" w:lineRule="auto"/>
              <w:ind w:hanging="97"/>
              <w:jc w:val="center"/>
              <w:rPr>
                <w:rFonts w:ascii="Times New Roman" w:hAnsi="Times New Roman" w:cs="Times New Roman"/>
                <w:sz w:val="20"/>
              </w:rPr>
            </w:pPr>
            <w:r w:rsidRPr="00057B1B">
              <w:rPr>
                <w:rFonts w:ascii="Times New Roman" w:hAnsi="Times New Roman" w:cs="Times New Roman"/>
                <w:sz w:val="20"/>
              </w:rPr>
              <w:t>↑</w:t>
            </w:r>
          </w:p>
        </w:tc>
        <w:tc>
          <w:tcPr>
            <w:tcW w:w="284" w:type="dxa"/>
            <w:tcBorders>
              <w:left w:val="single" w:sz="4" w:space="0" w:color="auto"/>
            </w:tcBorders>
          </w:tcPr>
          <w:p w14:paraId="016DCFE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CCDE47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1C2029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AE9648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6C3099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6354425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282FFC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669BDAF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42B6BB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0CFA08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49179F9" w14:textId="77777777" w:rsidTr="009B07DB">
        <w:tc>
          <w:tcPr>
            <w:tcW w:w="1702" w:type="dxa"/>
          </w:tcPr>
          <w:p w14:paraId="57986E00"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Sales-Peres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{"citationItems":[{"id":"ITEM-1","itemData":{"DOI":"http://dx.doi.org/10.1016/j.orcp.2020.07.007","ISSN":"1871-403X, 1871-403X","abstract":"OBJECTIVESTo investigate the relationship between coronavirus disease 2019 (COVID-19) and obesity in critically ill patients admitted to the intensive care unit (ICU).METHODSWe systematically searched PubMed, SCOPUS, Embase, LILACS, and Web of Science for studies published up to April 27, 2020. The outcome of interest was composite poor outcome, comprising mortality and severe COVID-19. We used a standardized data extraction form to collect information from published reports of eligible studies. Heterogeneity and publication bias were assessed using I2 statistic and funnel plots, respectively.RESULTSNine studies including 6577 patients were selected for evaluation. The COVID-19 patients were 59.80% male and had comorbidities such as hypertension (51.51%), diabetes (30.3%), cardiovascular disease (16.66%), lung disease (15.99%), renal disease (7.49%), cancer (5.07%), and immunosuppression (1.8%). For patients with severe complications, the overall pooled event rates were 56.2% (random; 95% CI: 35.3-75.1; p = 0.015; I2 = 71.461) for obesity, 23.6% (random; 95% CI: 17.9-30.5; p = 0.000; I2 = 87.705) for type 2 diabetes, 45.9% (random; 95% CI: 38.0-53.9; p = 0.000; I2 = 90.152) for hypertension, 20.0% (random; 95% CI: 7.9-42.0; p = 0.000; I2 = 94.577) for smoking, 21.6% (random; 95% CI: 14.1-31.4%; p = 0.000, I2 = 92.983) for lung diseases, and 20.6% (random; 95% CI: 15.2-27.5; p = 0.000, I2 = 85.735) for cardiovascular diseases.DISCUSSIONThis systematic review indicated the relationship between obesity, ICU admission, severe COVID-19, and disease progression in patients with COVID-19. Obese patients with hypertension, type 2 diabetes, smoking habit, lung disease, and/or cardiovascular disease should be cared for with increased attention.","author":[{"dropping-particle":"","family":"Sales-Peres","given":"Silvia Helena de Carvalho","non-dropping-particle":"","parse-names":false,"suffix":""},{"dropping-particle":"","family":"Azevedo-Silva","given":"Lucas José","non-dropping-particle":"de","parse-names":false,"suffix":""},{"dropping-particle":"","family":"Bonato","given":"Rafaela Carolina Soares","non-dropping-particle":"","parse-names":false,"suffix":""},{"dropping-particle":"","family":"Sales-Peres","given":"Matheus de Carvalho","non-dropping-particle":"","parse-names":false,"suffix":""},{"dropping-particle":"","family":"Pinto","given":"Ana Carolina da Silvia","non-dropping-particle":"","parse-names":false,"suffix":""},{"dropping-particle":"","family":"Santiago Junior","given":"Joel Ferreira","non-dropping-particle":"","parse-names":false,"suffix":""}],"container-title":"Obesity research &amp; clinical practice","id":"ITEM-1","issued":{"date-parts":[["2020"]]},"language":"English","note":"Date created - 2020-08-11\n\nDate revised - 2020-09-10\n\nSuppNotes - Cited By: Front Immunol. 2019 May 10;10:1071 [31134099] Lancet Infect Dis. 2020 May;20(5):512-513 [32171058] Int J Oral Maxillofac Surg. 2018 Apr;47(4):480-491 [28651805] J Infect Dis. 2018 Sep 22;218(9):1378-1382 [30085119] N Engl J Med. 2017 Jul 6;377(1):13-27 [28604169] J Clin Periodontol. 2012 Nov;39(11):1097-113 [22931292] Proc Natl Acad Sci U S A. 2018 Jan 30;115(5):1081-1086 [29348203] JAMA. 2020 Feb 21;: [32083643] Lancet Infect Dis. 2020 Apr;20(4):410-411 [32087116] PLoS Med. 2009 Jul 21;6(7):e1000097 [19621072] BMJ Open Diabetes Res Care. 2017 May 8;5(1):e000379 [28761653] Metabolism. 2020 Jul;108:154244 [32320741] J Microbiol Biotechnol. 2020 Mar 28;30(3):313-324 [32238757] Obesity (Silver Spring). 2020 Jul;28(7):1200-1204 [32352637] Liver Transpl. 2020 Jun;26(6):832-834 [32196933] Clin Immunol. 2020 Jun;215:108448 [32353634] JAMA. 2004 Sep 22;292(12):1440-6 [15383514] JAMA. 2020 Apr 22;: [32320003] Acta Diabetol. 2020 Jun;57(6):759-764 [32249357] Nat Rev Immunol. 2011 Feb;11(2):85-97 [21252989] Obesity (Silver Spring). 2020 Jul;28(7):1195-1199 [32271993] Oral Dis. 2019 May;25(4):972-981 [29908101] Lancet. 2020 May 16;395(10236):1544-1545 [32380044] Anaesth Crit Care Pain Med. 2020 Apr 9;: [32278670] Diabet Med. 2006 May;23(5):469-80 [16681555] Environ Toxicol Pharmacol. 2015 Nov;40(3):924-30 [26509733] BMJ. 2013 Aug 23;347:f5061 [23974637] N Engl J Med. 2020 Mar 5;382(10):970-971 [32003551] Cardiovasc Res. 2020 Aug 1;116(10):1666-1687 [32352535] J Med Virol. 2020 Apr 24;: [32330302] mBio. 2020 Mar 3;11(2): [32127459]\n\nLast updated - 2020-09-10","page":"389-397","publisher-place":"Department of Pediatric Dentistry, Orthodontics and Public Health, Bauru School of Dentistry, University of São Paulo, Al. Octávio Pinheiro Brisolla, 9-75, Vila Universitária, Bauru, Brazil. Electronic address: shcperes@usp.br. ; Department of Prosthodont","title":"Coronavirus (SARS-CoV-2) and the risk of obesity for critically illness and ICU admitted: Meta-analysis of the epidemiological evidence.","type":"article-journal","volume":"14"},"uris":["http://www.mendeley.com/documents/?uuid=732960f0-490e-4b70-b6a4-6f339f93f4c3"]}],"mendeley":{"formattedCitation":"(56)","plainTextFormattedCitation":"(56)","previouslyFormattedCitation":"(56)"},"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(56)</w:t>
            </w:r>
            <w:r>
              <w:rPr>
                <w:rFonts w:ascii="Times New Roman" w:hAnsi="Times New Roman" w:cs="Times New Roman"/>
                <w:sz w:val="20"/>
                <w:szCs w:val="20"/>
              </w:rPr>
              <w:fldChar w:fldCharType="end"/>
            </w:r>
          </w:p>
        </w:tc>
        <w:tc>
          <w:tcPr>
            <w:tcW w:w="567" w:type="dxa"/>
          </w:tcPr>
          <w:p w14:paraId="0DC0DEE7"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3B3402C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555B9BB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36713B8E"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COVID-19</w:t>
            </w:r>
          </w:p>
        </w:tc>
        <w:tc>
          <w:tcPr>
            <w:tcW w:w="3686" w:type="dxa"/>
            <w:gridSpan w:val="2"/>
          </w:tcPr>
          <w:p w14:paraId="31069765"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Patients with </w:t>
            </w:r>
            <w:r w:rsidRPr="00700670">
              <w:rPr>
                <w:rFonts w:ascii="Times New Roman" w:hAnsi="Times New Roman" w:cs="Times New Roman"/>
                <w:b/>
                <w:sz w:val="20"/>
                <w:szCs w:val="20"/>
              </w:rPr>
              <w:t>severe obesity</w:t>
            </w:r>
            <w:r w:rsidRPr="00700670">
              <w:rPr>
                <w:rFonts w:ascii="Times New Roman" w:hAnsi="Times New Roman" w:cs="Times New Roman"/>
                <w:sz w:val="20"/>
                <w:szCs w:val="20"/>
              </w:rPr>
              <w:t xml:space="preserve"> are at high risk of severe COVID-19, IMV, ICU admission and mortality, independent of age, race, sex and co-morbidities.</w:t>
            </w:r>
          </w:p>
        </w:tc>
        <w:tc>
          <w:tcPr>
            <w:tcW w:w="425" w:type="dxa"/>
            <w:tcBorders>
              <w:right w:val="single" w:sz="4" w:space="0" w:color="auto"/>
            </w:tcBorders>
          </w:tcPr>
          <w:p w14:paraId="64EACB3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1E83E34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4B3589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F5A500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6BC043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5FA814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63D7B3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0FAC0C2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65BDA1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CCB541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F66C49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3981DD56" w14:textId="77777777" w:rsidTr="009B07DB">
        <w:tc>
          <w:tcPr>
            <w:tcW w:w="1702" w:type="dxa"/>
          </w:tcPr>
          <w:p w14:paraId="3C01357A"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Samokhvalov</w:t>
            </w:r>
            <w:proofErr w:type="spellEnd"/>
            <w:r>
              <w:rPr>
                <w:rFonts w:ascii="Times New Roman" w:hAnsi="Times New Roman" w:cs="Times New Roman"/>
                <w:sz w:val="20"/>
                <w:szCs w:val="20"/>
              </w:rPr>
              <w:t xml:space="preserve"> et al., 2010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{"citationItems":[{"id":"ITEM-1","itemData":{"DOI":"10.1017/S0950268810000774","ISSN":"0950-2688","abstract":"The aim of this study was to quantify the association between alcohol consumption and incidence of pneumonia and to examine possible pathways. This was done by a systematic review and meta-analyses on the dose–response relationship between alcohol consumption or alcohol-use disorders and the incidence of community-acquired pneumonia (CAP). The relative risk (RR) of CAP increased monotonically with increasing alcohol consumption. Individuals consuming 24, 60, and 120 g of pure alcohol daily demonstrated RRs for incident CAP of 1·12 (95% CI 1·02–1·23), 1·33 (95% CI 1·06–1·67) and 1·76 (95% CI 1·13–2·77), respectively, relative to non-drinkers. Clinically defined alcohol-use disorders were associated with an eightfold increased risk of CAP (RR 8·22, 95% CI 4·85–13·95). In conclusion, alcohol was found to be a risk factor for pneumonia with a clear statistical association, and a monotonic dose–response relationship.","author":[{"dropping-particle":"","family":"Samokhvalov","given":"A.V.","non-dropping-particle":"","parse-names":false,"suffix":""},{"dropping-particle":"","family":"Irving","given":"H. M.","non-dropping-particle":"","parse-names":false,"suffix":""},{"dropping-particle":"","family":"Rehm","given":"J.","non-dropping-particle":"","parse-names":false,"suffix":""}],"container-title":"Epidemiology and Infection","id":"ITEM-1","issued":{"date-parts":[["2010"]]},"language":"English","note":"Copyright - Copyright © Cambridge University Press 2010\n\nLast updated - 2015-08-15","page":"1789-1795","publisher":"Cambridge University Press","publisher-place":"Cambridge","title":"Alcohol consumption as a risk factor for pneumonia: a systematic review and meta-analysis","type":"article-journal","volume":"138"},"uris":["http://www.mendeley.com/documents/?uuid=71baf02e-66ab-44de-b020-68cf833b53c0"]}],"mendeley":{"formattedCitation":"(35)","plainTextFormattedCitation":"(35)","previouslyFormattedCitation":"(35)"},"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(35)</w:t>
            </w:r>
            <w:r>
              <w:rPr>
                <w:rFonts w:ascii="Times New Roman" w:hAnsi="Times New Roman" w:cs="Times New Roman"/>
                <w:sz w:val="20"/>
                <w:szCs w:val="20"/>
              </w:rPr>
              <w:fldChar w:fldCharType="end"/>
            </w:r>
          </w:p>
        </w:tc>
        <w:tc>
          <w:tcPr>
            <w:tcW w:w="567" w:type="dxa"/>
          </w:tcPr>
          <w:p w14:paraId="156D5201"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1DEFAB2F"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E86F41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(CAP)</w:t>
            </w:r>
          </w:p>
        </w:tc>
        <w:tc>
          <w:tcPr>
            <w:tcW w:w="2126" w:type="dxa"/>
          </w:tcPr>
          <w:p w14:paraId="6A4F74F7" w14:textId="77777777" w:rsidR="00BF0F1A" w:rsidRPr="00057B1B" w:rsidRDefault="00BF0F1A" w:rsidP="009B07DB">
            <w:pPr>
              <w:spacing w:after="0" w:line="240" w:lineRule="auto"/>
              <w:rPr>
                <w:rFonts w:ascii="Times New Roman" w:hAnsi="Times New Roman" w:cs="Times New Roman"/>
                <w:iCs/>
                <w:sz w:val="20"/>
                <w:szCs w:val="20"/>
              </w:rPr>
            </w:pPr>
            <w:r w:rsidRPr="00057B1B">
              <w:rPr>
                <w:rFonts w:ascii="Times New Roman" w:hAnsi="Times New Roman" w:cs="Times New Roman"/>
                <w:iCs/>
                <w:sz w:val="20"/>
                <w:szCs w:val="20"/>
              </w:rPr>
              <w:t>Not given</w:t>
            </w:r>
          </w:p>
        </w:tc>
        <w:tc>
          <w:tcPr>
            <w:tcW w:w="3686" w:type="dxa"/>
            <w:gridSpan w:val="2"/>
          </w:tcPr>
          <w:p w14:paraId="05471AAD"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w:t>
            </w:r>
            <w:r w:rsidRPr="00700670">
              <w:rPr>
                <w:rFonts w:ascii="Times New Roman" w:hAnsi="Times New Roman" w:cs="Times New Roman"/>
                <w:sz w:val="20"/>
                <w:szCs w:val="20"/>
              </w:rPr>
              <w:t xml:space="preserve"> was a risk factor for pneumonia.</w:t>
            </w:r>
          </w:p>
        </w:tc>
        <w:tc>
          <w:tcPr>
            <w:tcW w:w="425" w:type="dxa"/>
            <w:tcBorders>
              <w:right w:val="single" w:sz="4" w:space="0" w:color="auto"/>
            </w:tcBorders>
          </w:tcPr>
          <w:p w14:paraId="13D7046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AD023E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DFD476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58A8298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464D2ED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1A0A434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16C2A5A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4458A78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81F5C3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621FEC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137ECB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3A76ADDC" w14:textId="77777777" w:rsidTr="009B07DB">
        <w:tc>
          <w:tcPr>
            <w:tcW w:w="1702" w:type="dxa"/>
          </w:tcPr>
          <w:p w14:paraId="4614FB71" w14:textId="77777777" w:rsidR="00BF0F1A" w:rsidRPr="00057B1B" w:rsidRDefault="00BF0F1A" w:rsidP="009B07DB">
            <w:pPr>
              <w:spacing w:after="0" w:line="240" w:lineRule="auto"/>
              <w:rPr>
                <w:rFonts w:ascii="Times New Roman" w:hAnsi="Times New Roman" w:cs="Times New Roman"/>
                <w:b/>
                <w:sz w:val="20"/>
                <w:szCs w:val="20"/>
              </w:rPr>
            </w:pPr>
            <w:r w:rsidRPr="00057B1B">
              <w:rPr>
                <w:rFonts w:ascii="Times New Roman" w:hAnsi="Times New Roman" w:cs="Times New Roman"/>
                <w:sz w:val="20"/>
                <w:szCs w:val="20"/>
              </w:rPr>
              <w:t>Samuels et al., 2</w:t>
            </w:r>
            <w:r>
              <w:rPr>
                <w:rFonts w:ascii="Times New Roman" w:hAnsi="Times New Roman" w:cs="Times New Roman"/>
                <w:sz w:val="20"/>
                <w:szCs w:val="20"/>
              </w:rPr>
              <w:t xml:space="preserve">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{"citationItems":[{"id":"ITEM-1","itemData":{"DOI":"http://dx.doi.org/10.1038/s41598-018-23344-z","abstract":"Little is known about the impact of comorbidities on multidrug resistant (MDR) and extensively drug resistant (XDR) tuberculosis (TB) treatment outcomes. We aimed to examine the effect of human immunodeficiency virus (HIV), diabetes, chronic kidney disease (CKD), alcohol misuse, and smoking on MDR/XDRTB treatment outcomes. We searched MEDLINE, EMBASE, Cochrane Central Registrar and Cochrane Database of Systematic Reviews as per PRISMA guidelines. Eligible studies were identified and treatment outcome data were extracted. We performed a meta-analysis to generate a pooled relative risk (RR) for unsuccessful outcome in MDR/XDRTB treatment by co-morbidity. From 2457 studies identified, 48 reported on 18,257 participants, which were included in the final analysis. Median study population was 235 (range 60–1768). Pooled RR of unsuccessful outcome was higher in people living with HIV (RR = 1.41 [95%CI: 1.15–1.73]) and in people with alcohol misuse (RR = 1.45 [95%CI: 1.21–1.74]). Outcomes were similar in people with diabetes or in people that smoked. Data was insufficient to examine outcomes in exclusive XDRTB or CKD cohorts. In this systematic review and meta-analysis, alcohol misuse and HIV were associated with higher pooled OR of an unsuccessful outcome in MDR/XDRTB treatment. Further research is required to understand the role of comorbidities in driving unsuccessful treatment outcomes.","author":[{"dropping-particle":"","family":"Samuels","given":"Joel Philip","non-dropping-particle":"","parse-names":false,"suffix":""},{"dropping-particle":"","family":"Sood","given":"Aashna","non-dropping-particle":"","parse-names":false,"suffix":""},{"dropping-particle":"","family":"Campbell","given":"Jonathon R","non-dropping-particle":"","parse-names":false,"suffix":""},{"dropping-particle":"","family":"Khan","given":"Faiz Ahmad","non-dropping-particle":"","parse-names":false,"suffix":""},{"dropping-particle":"","family":"Johnston","given":"James Cameron","non-dropping-particle":"","parse-names":false,"suffix":""}],"container-title":"Scientific Reports","id":"ITEM-1","issued":{"date-parts":[["2018"]]},"language":"English","note":"Copyright - © 2018. This work is published under http://creativecommons.org/licenses/by/4.0/ (the “License”). Notwithstanding the ProQuest Terms and Conditions, you may use this content in accordance with the terms of the License.\n\nLast updated - 2019-06-24","page":"1-13","publisher":"Nature Publishing Group","publisher-place":"Faculty of Medicine, University of British Columbia, Vancouver, British Columbia, Canada ; Royal College of Surgeons in Ireland, Dublin, Ireland ; Faculty of Pharmaceutical Sciences, University of British Columbia, Vancouver, British Columbia, Canada ; Re","title":"Comorbidities and treatment outcomes in multidrug resistant tuberculosis: a systematic review and meta-analysis","type":"article-journal","volume":"8"},"uris":["http://www.mendeley.com/documents/?uuid=f4806446-0ebe-4250-8e90-857d8d56e65c"]}],"mendeley":{"formattedCitation":"(34)","plainTextFormattedCitation":"(34)","previouslyFormattedCitation":"(34)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(34)</w:t>
            </w:r>
            <w:r>
              <w:rPr>
                <w:rFonts w:ascii="Times New Roman" w:hAnsi="Times New Roman" w:cs="Times New Roman"/>
                <w:sz w:val="20"/>
                <w:szCs w:val="20"/>
              </w:rPr>
              <w:fldChar w:fldCharType="end"/>
            </w:r>
          </w:p>
        </w:tc>
        <w:tc>
          <w:tcPr>
            <w:tcW w:w="567" w:type="dxa"/>
          </w:tcPr>
          <w:p w14:paraId="2DFEF7AB"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97017E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Global </w:t>
            </w:r>
          </w:p>
        </w:tc>
        <w:tc>
          <w:tcPr>
            <w:tcW w:w="1275" w:type="dxa"/>
          </w:tcPr>
          <w:p w14:paraId="4C51453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64D9427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treated for MDR/XDR TB</w:t>
            </w:r>
          </w:p>
        </w:tc>
        <w:tc>
          <w:tcPr>
            <w:tcW w:w="3686" w:type="dxa"/>
            <w:gridSpan w:val="2"/>
          </w:tcPr>
          <w:p w14:paraId="7DD6E5BA"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 xml:space="preserve">Alcohol misuse </w:t>
            </w:r>
            <w:r w:rsidRPr="00700670">
              <w:rPr>
                <w:rFonts w:ascii="Times New Roman" w:hAnsi="Times New Roman" w:cs="Times New Roman"/>
                <w:sz w:val="20"/>
                <w:szCs w:val="20"/>
              </w:rPr>
              <w:t xml:space="preserve">was associated with unsuccessful treatment outcomes. Outcomes were similar in people that </w:t>
            </w:r>
            <w:r w:rsidRPr="00700670">
              <w:rPr>
                <w:rFonts w:ascii="Times New Roman" w:hAnsi="Times New Roman" w:cs="Times New Roman"/>
                <w:b/>
                <w:sz w:val="20"/>
                <w:szCs w:val="20"/>
              </w:rPr>
              <w:t>smoked</w:t>
            </w:r>
            <w:r w:rsidRPr="00700670">
              <w:rPr>
                <w:rFonts w:ascii="Times New Roman" w:hAnsi="Times New Roman" w:cs="Times New Roman"/>
                <w:sz w:val="20"/>
                <w:szCs w:val="20"/>
              </w:rPr>
              <w:t xml:space="preserve"> compared to non-smokers.</w:t>
            </w:r>
          </w:p>
        </w:tc>
        <w:tc>
          <w:tcPr>
            <w:tcW w:w="425" w:type="dxa"/>
            <w:tcBorders>
              <w:right w:val="single" w:sz="4" w:space="0" w:color="auto"/>
            </w:tcBorders>
          </w:tcPr>
          <w:p w14:paraId="38381A5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5B583D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32DB83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C00C34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451A9C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7BEB2FB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0891E25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FA4BDE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E163DC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64BF21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A9392E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49122752" w14:textId="77777777" w:rsidTr="009B07DB">
        <w:tc>
          <w:tcPr>
            <w:tcW w:w="1702" w:type="dxa"/>
          </w:tcPr>
          <w:p w14:paraId="75F8AEE1" w14:textId="77777777" w:rsidR="00BF0F1A" w:rsidRPr="00057B1B" w:rsidRDefault="00BF0F1A" w:rsidP="009B07DB">
            <w:pPr>
              <w:spacing w:after="0" w:line="240" w:lineRule="auto"/>
              <w:rPr>
                <w:rFonts w:ascii="Times New Roman" w:hAnsi="Times New Roman" w:cs="Times New Roman"/>
                <w:b/>
                <w:sz w:val="20"/>
                <w:szCs w:val="20"/>
              </w:rPr>
            </w:pPr>
            <w:r w:rsidRPr="00057B1B">
              <w:rPr>
                <w:rFonts w:ascii="Times New Roman" w:hAnsi="Times New Roman" w:cs="Times New Roman"/>
                <w:sz w:val="20"/>
                <w:szCs w:val="20"/>
              </w:rPr>
              <w:t>San</w:t>
            </w:r>
            <w:r>
              <w:rPr>
                <w:rFonts w:ascii="Times New Roman" w:hAnsi="Times New Roman" w:cs="Times New Roman"/>
                <w:sz w:val="20"/>
                <w:szCs w:val="20"/>
              </w:rPr>
              <w:t xml:space="preserve">chez-Ramirez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{"citationItems":[{"id":"ITEM-1","itemData":{"author":[{"dropping-particle":"","family":"Sanchez-Ramirez","given":"Diana C","non-dropping-particle":"","parse-names":false,"suffix":""},{"dropping-particle":"","family":"Mackey","given":"Denise","non-dropping-particle":"","parse-names":false,"suffix":""}],"container-title":"Respiratory Medicine","id":"ITEM-1","issued":{"date-parts":[["2020"]]},"page":"106096","title":"Underlying respiratory diseases, specifically COPD, and smoking are associated with severe COVID-19 outcomes: A systematic review and meta-analysis","type":"article-journal","volume":"171"},"uris":["http://www.mendeley.com/documents/?uuid=93fb6d09-fcd3-4cc4-8d6c-81e7ba2fd547"]}],"mendeley":{"formattedCitation":"(68)","plainTextFormattedCitation":"(68)","previouslyFormattedCitation":"(68)"},"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(68)</w:t>
            </w:r>
            <w:r>
              <w:rPr>
                <w:rFonts w:ascii="Times New Roman" w:hAnsi="Times New Roman" w:cs="Times New Roman"/>
                <w:sz w:val="20"/>
                <w:szCs w:val="20"/>
              </w:rPr>
              <w:fldChar w:fldCharType="end"/>
            </w:r>
          </w:p>
        </w:tc>
        <w:tc>
          <w:tcPr>
            <w:tcW w:w="567" w:type="dxa"/>
          </w:tcPr>
          <w:p w14:paraId="6059E566"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3C2570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 USA</w:t>
            </w:r>
          </w:p>
        </w:tc>
        <w:tc>
          <w:tcPr>
            <w:tcW w:w="1275" w:type="dxa"/>
          </w:tcPr>
          <w:p w14:paraId="01920470"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59C0DC1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COVID-19</w:t>
            </w:r>
          </w:p>
        </w:tc>
        <w:tc>
          <w:tcPr>
            <w:tcW w:w="3686" w:type="dxa"/>
            <w:gridSpan w:val="2"/>
          </w:tcPr>
          <w:p w14:paraId="56C7EF97"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was associated with severe outcomes.</w:t>
            </w:r>
          </w:p>
        </w:tc>
        <w:tc>
          <w:tcPr>
            <w:tcW w:w="425" w:type="dxa"/>
            <w:tcBorders>
              <w:right w:val="single" w:sz="4" w:space="0" w:color="auto"/>
            </w:tcBorders>
          </w:tcPr>
          <w:p w14:paraId="4F3F509E"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B04924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96D195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97307F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0D062A6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095CC2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4DC584A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2D7ED30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571D37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ACB1B2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CDCAE2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75AF69BD" w14:textId="77777777" w:rsidTr="009B07DB">
        <w:trPr>
          <w:trHeight w:val="685"/>
        </w:trPr>
        <w:tc>
          <w:tcPr>
            <w:tcW w:w="1702" w:type="dxa"/>
          </w:tcPr>
          <w:p w14:paraId="587B591E"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Simou</w:t>
            </w:r>
            <w:proofErr w:type="spellEnd"/>
            <w:r>
              <w:rPr>
                <w:rFonts w:ascii="Times New Roman" w:hAnsi="Times New Roman" w:cs="Times New Roman"/>
                <w:sz w:val="20"/>
                <w:szCs w:val="20"/>
              </w:rPr>
              <w:t xml:space="preserv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{"citationItems":[{"id":"ITEM-1","itemData":{"DOI":"http://dx.doi.org/10.1136/bmjopen-2018-022344","abstract":"ObjectiveA systematic review and meta-analysis to estimate the magnitude of the association between alcohol consumption and the risk of community-acquired pneumonia (CAP) in adults was undertaken.DesignSystematic review and meta-analysis.MethodsComprehensive searches of Medline, Embase and Web of Science were carried out to identify comparative studies of the association between alcohol intake and CAP between 1985 and 2017. Reference lists were also screened. A random-effects meta-analysis was used to estimate pooled effect sizes. A dose–response meta-analysis was also performed.ResultsWe found 17 papers eligible for inclusion in the review, of which 14 provided results which could be pooled. Meta-analysis of these 14 studies identified an 83% increased risk of CAP among people who consumed alcohol or in higher amounts, relative to those who consumed no or lower amounts of alcohol, respectively (relative risk=1.83, 95% CI 1.30 to 2.57). There was substantial between-study heterogeneity, which was attributable in part to differences in study continent, adjustment for confounders and pneumonia diagnosis (clinical vs death). Dose–response analysis found that for every 10–20 g higher alcohol intake per day, there was an 8% increase in the risk of CAP.ConclusionsThe findings suggest that alcohol consumption increases the risk of CAP. Therefore, strengthening policies to reduce alcohol intake would be likely to reduce the incidence of CAP.","author":[{"dropping-particle":"","family":"Simou","given":"Evangelia","non-dropping-particle":"","parse-names":false,"suffix":""},{"dropping-particle":"","family":"Britton","given":"John","non-dropping-particle":"","parse-names":false,"suffix":""},{"dropping-particle":"","family":"Leonardi-Bee","given":"Jo","non-dropping-particle":"","parse-names":false,"suffix":""}],"container-title":"BMJ Open","id":"ITEM-1","issued":{"date-parts":[["2018"]]},"language":"English","note":"Name - World Health Organization\n\nCopyright - © 2018 Author(s) (or their employer(s)) 2018. Re-use permitted under CC BY. Published by BMJ. This is an open access article distributed in accordance with the Creative Commons Attribution 4.0 Unported (CC BY 4.0) license, which permits others to copy, redistribute, remix, transform and build upon this work for any purpose, provided the original work is properly cited, a link to the licence is given, and indication of whether changes were made. See: https://creativecommons.org/licenses/by/4.0/ . Notwithstanding the ProQuest Terms and Conditions, you may use this content in accordance with the terms of the License.\n\nLast updated - 2020-07-28\n\nSubjectsTermNotLitGenreText - United States--US; Europe","page":"e022344","publisher":"BMJ Publishing Group LTD","publisher-place":"Division of Epidemiology and Public Health, UK Centre for Tobacco and Alcohol Studies, University of Nottingham, Nottingham, UK ; Division of Epidemiology and Public Health, UK Centre for Tobacco and Alcohol Studies, University of Nottingham, Nottingham,","title":"Alcohol and the risk of pneumonia: a systematic review and meta-analysis","type":"article-journal","volume":"8"},"uris":["http://www.mendeley.com/documents/?uuid=b7126ee5-edd8-4bbb-9858-a32e3fb40264"]}],"mendeley":{"formattedCitation":"(31)","plainTextFormattedCitation":"(31)","previouslyFormattedCitation":"(31)"},"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(31)</w:t>
            </w:r>
            <w:r>
              <w:rPr>
                <w:rFonts w:ascii="Times New Roman" w:hAnsi="Times New Roman" w:cs="Times New Roman"/>
                <w:sz w:val="20"/>
                <w:szCs w:val="20"/>
              </w:rPr>
              <w:fldChar w:fldCharType="end"/>
            </w:r>
          </w:p>
        </w:tc>
        <w:tc>
          <w:tcPr>
            <w:tcW w:w="567" w:type="dxa"/>
          </w:tcPr>
          <w:p w14:paraId="0F16B60F"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5530EF9"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E72692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(CAP)</w:t>
            </w:r>
          </w:p>
        </w:tc>
        <w:tc>
          <w:tcPr>
            <w:tcW w:w="2126" w:type="dxa"/>
          </w:tcPr>
          <w:p w14:paraId="56380EC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Generally representative populations </w:t>
            </w:r>
            <w:r w:rsidRPr="00057B1B">
              <w:rPr>
                <w:rFonts w:ascii="Times New Roman" w:hAnsi="Times New Roman" w:cs="Times New Roman"/>
                <w:i/>
                <w:sz w:val="20"/>
                <w:szCs w:val="20"/>
              </w:rPr>
              <w:t>(adults)</w:t>
            </w:r>
          </w:p>
        </w:tc>
        <w:tc>
          <w:tcPr>
            <w:tcW w:w="3686" w:type="dxa"/>
            <w:gridSpan w:val="2"/>
          </w:tcPr>
          <w:p w14:paraId="3F9C92F5"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w:t>
            </w:r>
            <w:r w:rsidRPr="00700670">
              <w:rPr>
                <w:rFonts w:ascii="Times New Roman" w:hAnsi="Times New Roman" w:cs="Times New Roman"/>
                <w:sz w:val="20"/>
                <w:szCs w:val="20"/>
              </w:rPr>
              <w:t xml:space="preserve"> </w:t>
            </w:r>
            <w:r w:rsidRPr="00700670">
              <w:rPr>
                <w:rFonts w:ascii="Times New Roman" w:hAnsi="Times New Roman" w:cs="Times New Roman"/>
                <w:b/>
                <w:sz w:val="20"/>
                <w:szCs w:val="20"/>
              </w:rPr>
              <w:t>consumption</w:t>
            </w:r>
            <w:r w:rsidRPr="00700670">
              <w:rPr>
                <w:rFonts w:ascii="Times New Roman" w:hAnsi="Times New Roman" w:cs="Times New Roman"/>
                <w:sz w:val="20"/>
                <w:szCs w:val="20"/>
              </w:rPr>
              <w:t xml:space="preserve"> increased the risk of CAP.</w:t>
            </w:r>
          </w:p>
        </w:tc>
        <w:tc>
          <w:tcPr>
            <w:tcW w:w="425" w:type="dxa"/>
            <w:tcBorders>
              <w:right w:val="single" w:sz="4" w:space="0" w:color="auto"/>
            </w:tcBorders>
          </w:tcPr>
          <w:p w14:paraId="74BE9B9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4F63E0D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5B5BB6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7E223D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69860AB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6568C0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14728E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1F84A5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D49604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2FE2CE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C0D4F7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57A90644" w14:textId="77777777" w:rsidTr="009B07DB">
        <w:tc>
          <w:tcPr>
            <w:tcW w:w="1702" w:type="dxa"/>
          </w:tcPr>
          <w:p w14:paraId="6578771C"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Simou</w:t>
            </w:r>
            <w:proofErr w:type="spellEnd"/>
            <w:r>
              <w:rPr>
                <w:rFonts w:ascii="Times New Roman" w:hAnsi="Times New Roman" w:cs="Times New Roman"/>
                <w:sz w:val="20"/>
                <w:szCs w:val="20"/>
              </w:rPr>
              <w:t xml:space="preserve">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{"citationItems":[{"id":"ITEM-1","itemData":{"DOI":"http://dx.doi.org/10.5588/ijtld.18.0092","ISSN":"1027-3719","abstract":"OBJECTIVE: To perform a systematic review and meta-analysis of the association between alcohol consumption and risk of tuberculosis (TB). METHODS: Medline, EMBASE and Web of Science were searched for observational studies from 2005 to April 2018. Reference lists of included studies were screened. RESULTS: Forty-nine studies were included. Compared with people with low or no alcohol intake, the risk of TB in people with high or any alcohol consumption was increased by relative odds of 1.90 (95%CI 1.63–2.23). Substantial levels of heterogeneity were seen (I= 82%); however, there was no evidence of publication bias (P = 0.54). Sensitivity analysis restricted to studies using no alcohol drinking as a reference group found a slightly lower but still increased risk (OR 1.60, 95%CI 1.39–1.84). Subgroup analyses revealed no significant differences in relation to study design and quality, geographic location, publication year or adjustment for confounders. A pooled analysis of a further four studies reporting hazard ratios (HRs) found a nearly three-fold increase in risk of TB in relation to alcohol consumption during follow-up (HR 2.81, 95%CI 2.12–3.74). An exposure-response analysis showed that for every 10–20 g daily alcohol intake, there was a 12% increase in TB risk. CONCLUSION: Alcohol consumption is an important risk factor for the development of TB.","author":[{"dropping-particle":"","family":"Simou","given":"Evangelia","non-dropping-particle":"","parse-names":false,"suffix":""},{"dropping-particle":"","family":"Britton","given":"John","non-dropping-particle":"","parse-names":false,"suffix":""},{"dropping-particle":"","family":"Leonardi-Bee","given":"Jo","non-dropping-particle":"","parse-names":false,"suffix":""}],"container-title":"The International Journal of Tuberculosis and Lung Disease","id":"ITEM-1","issued":{"date-parts":[["2018"]]},"language":"English","note":"Copyright - Copyright International Union against Tuberculosis and Lung Disease (IUATLD) Nov 2018\n\nLast updated - 2019-10-25","page":"1277-1285","publisher":"International Union against Tuberculosis and Lung Disease (IUATLD)","publisher-place":"Paris","title":"Alcohol consumption and risk of tuberculosis: a systematic review and meta-analysis","type":"article-journal","volume":"22"},"uris":["http://www.mendeley.com/documents/?uuid=f746932c-a5de-4a4b-9ed9-3fd4738c5151"]}],"mendeley":{"formattedCitation":"(32)","plainTextFormattedCitation":"(32)","previouslyFormattedCitation":"(32)"},"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(32)</w:t>
            </w:r>
            <w:r>
              <w:rPr>
                <w:rFonts w:ascii="Times New Roman" w:hAnsi="Times New Roman" w:cs="Times New Roman"/>
                <w:sz w:val="20"/>
                <w:szCs w:val="20"/>
              </w:rPr>
              <w:fldChar w:fldCharType="end"/>
            </w:r>
          </w:p>
        </w:tc>
        <w:tc>
          <w:tcPr>
            <w:tcW w:w="567" w:type="dxa"/>
          </w:tcPr>
          <w:p w14:paraId="597E6C53"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620E8F5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639E82C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Active TB</w:t>
            </w:r>
          </w:p>
        </w:tc>
        <w:tc>
          <w:tcPr>
            <w:tcW w:w="2126" w:type="dxa"/>
          </w:tcPr>
          <w:p w14:paraId="530BFBA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General and hospital populations </w:t>
            </w:r>
            <w:r w:rsidRPr="00057B1B">
              <w:rPr>
                <w:rFonts w:ascii="Times New Roman" w:hAnsi="Times New Roman" w:cs="Times New Roman"/>
                <w:i/>
                <w:sz w:val="20"/>
                <w:szCs w:val="20"/>
              </w:rPr>
              <w:t>(adults)</w:t>
            </w:r>
          </w:p>
        </w:tc>
        <w:tc>
          <w:tcPr>
            <w:tcW w:w="3686" w:type="dxa"/>
            <w:gridSpan w:val="2"/>
          </w:tcPr>
          <w:p w14:paraId="0DC172E9"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 xml:space="preserve">Alcohol consumption </w:t>
            </w:r>
            <w:r w:rsidRPr="00700670">
              <w:rPr>
                <w:rFonts w:ascii="Times New Roman" w:hAnsi="Times New Roman" w:cs="Times New Roman"/>
                <w:sz w:val="20"/>
                <w:szCs w:val="20"/>
              </w:rPr>
              <w:t>was an important risk factor for the development of TB.</w:t>
            </w:r>
          </w:p>
        </w:tc>
        <w:tc>
          <w:tcPr>
            <w:tcW w:w="425" w:type="dxa"/>
            <w:tcBorders>
              <w:right w:val="single" w:sz="4" w:space="0" w:color="auto"/>
            </w:tcBorders>
          </w:tcPr>
          <w:p w14:paraId="51620E3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9C7347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A34515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421FCA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16E58DE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F81691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2AACFC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0DF21FE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CBD7D4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C7C3A1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4CDD67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770B1C86" w14:textId="77777777" w:rsidTr="009B07DB">
        <w:tc>
          <w:tcPr>
            <w:tcW w:w="1702" w:type="dxa"/>
          </w:tcPr>
          <w:p w14:paraId="0A624EA6"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Sonego</w:t>
            </w:r>
            <w:proofErr w:type="spellEnd"/>
            <w:r>
              <w:rPr>
                <w:rFonts w:ascii="Times New Roman" w:hAnsi="Times New Roman" w:cs="Times New Roman"/>
                <w:sz w:val="20"/>
                <w:szCs w:val="20"/>
              </w:rPr>
              <w:t xml:space="preserve"> et al., 2015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{"citationItems":[{"id":"ITEM-1","itemData":{"DOI":"http://dx.doi.org/10.1371/journal.pone.0116380","abstract":"Objective: To evaluate risk factors for death from acute lower respiratory infections (ALRI) in children in low- and middle-income countries. Design: Systematic review and meta-analysis. Study selection: Observational studies reporting on risk factors for death from ALRI in children below five years in low- and middle income countries. Data sources: Medline, Embase, Global Health Library, Lilacs, and Web of Science to January 2014 Risk of bias assessment: Quality In Prognosis Studies tool with minor adaptations to assess the risk of bias; funnel plots and Egger's test to evaluate publication bias. Results: Out of 10655 papers retrieved, 77 studies from 39 countries (198359 children) met the inclusion criteria. Host and disease characteristics more strongly associated with ALRI mortality were: diagnosis of very severe pneumonia as per WHO definition (odds ratio 9.42, 95% confidence interval 6.37–13.92); age below two months (5.22, 1.70–16.03); diagnosis of Pneumocystis Carinii (4.79, 2.67–8.61), chronic underlying diseases (4.76, 3.27–6.93); HIV/AIDS (4.68, 3.72–5.90); and severe malnutrition (OR 4.27, 3.47–5.25). Socio-economic and environmental factors significantly associated with increased odds of death from ALRI were: young maternal age (1.84, 1.03–3.31); low maternal education (1.43, 1.13–1.82); low socio-economic status (1.62, 1.32–2.00); second-hand smoke exposure (1.52, 1.20 to 1.93); indoor air pollution (3.02, 2.11–4.31). Immunisation (0.46, 0.36–0.58) and good antenatal practices (0.50, 0.31–0.81) were associated with decreased odds of death. Conclusions: Host and disease characteristics as well as socio-economic and environmental determinants affect the risk of death from ALRI in children. Together with the prevention and treatment of chronic diseases, interventions to modify underlying risk factors such as poverty, lack of female education, and poor environmental conditions, should be considered among the strategies to reduce ALRI mortality in children in low- and middle-income countries. (PsycInfo Database Record (c) 2020 APA, all rights reserved) (Source: journal abstract)","author":[{"dropping-particle":"","family":"Sonego","given":"Michela","non-dropping-particle":"","parse-names":false,"suffix":""},{"dropping-particle":"","family":"Pellegrin","given":"Maria Chiara","non-dropping-particle":"","parse-names":false,"suffix":""},{"dropping-particle":"","family":"Becker","given":"Genevieve","non-dropping-particle":"","parse-names":false,"suffix":""},{"dropping-particle":"","family":"Lazzerini","given":"Marzia","non-dropping-particle":"","parse-names":false,"suffix":""}],"container-title":"PLoS ONE","id":"ITEM-1","issued":{"date-parts":[["2015"]]},"language":"English","note":"Copyright - © 2015, Sonego et al.\n\nDate completed - 2014-12-06\n\nDate created - 2014-07-30\n\nDate revised - 20150914\n\nPublication note - Open access\n\nNumber of references - 48\n\nLast updated - 2020-06-25\n\nSubjectsTermNotLitGenreText - Death and Dying 2301P0A 9154P0A 2275P9A 9028P9A; Infectious Disorders 2566P0A 4473P0A 6773P0A 9154P0A 2538P9A 4420P9A 6694P9A 9028P9A; Pediatrics 5352P0A 6563P0A 7967P0A 9154P0A 5290P9A 6487P9A 7863P9A 9028P9A; Risk Factors 7329P0A 7775P0A 9154P0A 7239P9A 7675P9A 9028P9A; 2227P0A 4416P0A 5121P0A 8448P0A 8476P0A 8480P0A 8481P0A 8678P0A 9154P0A 2202P9A 4365P9A 5059P9A 8327P9A 8355P9A 8359P9A 8556P9A 9028P9A; 2227P0A 4416P0A 5512P0A 8448P0A 8476P0A 8480P0A 8481P0A 8678P0A 9154P0A 2202P9A 4365P9A 5446P9A 8327P9A 8355P9A 8359P9A 8556P9A 9028P9A","page":"17","publisher":"Public Library of Science","publisher-place":"WHO Collaborating Centre for Maternal and Child Health, Institute for Maternal and Child Health IRCCS Burlo Garofolo, Trieste, Italy marzia.lazzerini@burlo.trieste.it; University of Trieste, Trieste, Italy ; Lazzerini, Marzia,Piazzale Europa, 1,Trieste,It","title":"Risk factors for mortality from acute lower respiratory infections (ALRI) in children under five years of age in low and middle-income countries: A systematic review and meta-analysis of observational studies","type":"article-journal","volume":"10"},"uris":["http://www.mendeley.com/documents/?uuid=2e39a0ed-0c12-4dfc-9973-5c25f4178caf"]}],"mendeley":{"formattedCitation":"(74)","plainTextFormattedCitation":"(74)","previouslyFormattedCitation":"(74)"},"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(74)</w:t>
            </w:r>
            <w:r>
              <w:rPr>
                <w:rFonts w:ascii="Times New Roman" w:hAnsi="Times New Roman" w:cs="Times New Roman"/>
                <w:sz w:val="20"/>
                <w:szCs w:val="20"/>
              </w:rPr>
              <w:fldChar w:fldCharType="end"/>
            </w:r>
          </w:p>
        </w:tc>
        <w:tc>
          <w:tcPr>
            <w:tcW w:w="567" w:type="dxa"/>
          </w:tcPr>
          <w:p w14:paraId="786FF804"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A8A96C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LMIC</w:t>
            </w:r>
          </w:p>
        </w:tc>
        <w:tc>
          <w:tcPr>
            <w:tcW w:w="1275" w:type="dxa"/>
          </w:tcPr>
          <w:p w14:paraId="31C65A2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Pneumonia; ALRI</w:t>
            </w:r>
          </w:p>
        </w:tc>
        <w:tc>
          <w:tcPr>
            <w:tcW w:w="2126" w:type="dxa"/>
          </w:tcPr>
          <w:p w14:paraId="217C931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Hospital and community populations </w:t>
            </w:r>
            <w:r w:rsidRPr="00057B1B">
              <w:rPr>
                <w:rFonts w:ascii="Times New Roman" w:hAnsi="Times New Roman" w:cs="Times New Roman"/>
                <w:i/>
                <w:sz w:val="20"/>
                <w:szCs w:val="20"/>
              </w:rPr>
              <w:t>(&lt; 5 years)</w:t>
            </w:r>
          </w:p>
        </w:tc>
        <w:tc>
          <w:tcPr>
            <w:tcW w:w="3686" w:type="dxa"/>
            <w:gridSpan w:val="2"/>
          </w:tcPr>
          <w:p w14:paraId="43245AF6"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SHS</w:t>
            </w:r>
            <w:r w:rsidRPr="00700670">
              <w:rPr>
                <w:rFonts w:ascii="Times New Roman" w:hAnsi="Times New Roman" w:cs="Times New Roman"/>
                <w:sz w:val="20"/>
                <w:szCs w:val="20"/>
              </w:rPr>
              <w:t xml:space="preserve"> exposure increased the odds of death from acute lower respiratory disease, including pneumonia, in children.</w:t>
            </w:r>
          </w:p>
        </w:tc>
        <w:tc>
          <w:tcPr>
            <w:tcW w:w="425" w:type="dxa"/>
            <w:tcBorders>
              <w:right w:val="single" w:sz="4" w:space="0" w:color="auto"/>
            </w:tcBorders>
          </w:tcPr>
          <w:p w14:paraId="64C2554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E4E4A5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C86419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58E5BB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160BDF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76481C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5D3691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2A72666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1CE495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1E1627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E8BDF8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D1E7782" w14:textId="77777777" w:rsidTr="009B07DB">
        <w:tc>
          <w:tcPr>
            <w:tcW w:w="1702" w:type="dxa"/>
          </w:tcPr>
          <w:p w14:paraId="005242C2"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Song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{"citationItems":[{"id":"ITEM-1","itemData":{"DOI":"10.3390/ijerph17082655","ISBN":"8657487600456","ISSN":"16604601","PMID":"32294922","abstract":"A coronavirus pandemic has recently become one of the greatest threats the world is facing. Older adults are under a high risk of infection because of weaker immune systems. Therefore, the purpose of this review is to summarize the recent scientific evidence that outlines the effects of exercise on influenza or pneumonia in older adults. An electronic literature search was conducted using the WEB OF SCIENCE, SCIENCEDIRECT and GOOGLE SCHOLAR databases using the following keywords, “Exercise,” “Older adult,” “Influenza,” and “Pneumonia.” Any randomized control trials, cross-sectional and observational studies that related to this topic were all included. Twenty studies met the eligibility criteria for this review. Thirteen randomized control trials investigated the effects of exercise on the immune responses to influenza or pneumonia vaccination: seven trials employed moderate aerobic exercise, three employed resistance exercise, and the remaining three used Asian martial arts or special home-based exercises. Five cross-sectional and two observational studies examined the associations between exercise/physical condition and influenza/pneumonia. Most of the current studies suggested that prolonged moderate aerobic exercise may help to reduce the risk of influenza-related infection and improve the immune responses to influenza or pneumonia vaccination in older adults. In addition, training in traditional Asian martial arts was also found to be beneficial. Future research should focus on the different effects of moderate and vigorous exercise on influenza-related diseases.","author":[{"dropping-particle":"","family":"Song","given":"Yang","non-dropping-particle":"","parse-names":false,"suffix":""},{"dropping-particle":"","family":"Ren","given":"Feng","non-dropping-particle":"","parse-names":false,"suffix":""},{"dropping-particle":"","family":"Sun","given":"Dong","non-dropping-particle":"","parse-names":false,"suffix":""},{"dropping-particle":"","family":"Wang","given":"Meizi","non-dropping-particle":"","parse-names":false,"suffix":""},{"dropping-particle":"","family":"Baker","given":"Julien S.","non-dropping-particle":"","parse-names":false,"suffix":""},{"dropping-particle":"","family":"István","given":"Bíró","non-dropping-particle":"","parse-names":false,"suffix":""},{"dropping-particle":"","family":"Gu","given":"Yaodong","non-dropping-particle":"","parse-names":false,"suffix":""}],"container-title":"International Journal of Environmental Research and Public Health","id":"ITEM-1","issued":{"date-parts":[["2020"]]},"page":"2655","title":"Benefits of exercise on influenza or pneumonia in older adults: A systematic review","type":"article-journal","volume":"17"},"uris":["http://www.mendeley.com/documents/?uuid=e0714fd1-9363-4093-b9ae-1ef488ec64dd"]}],"mendeley":{"formattedCitation":"(50)","plainTextFormattedCitation":"(50)","previouslyFormattedCitation":"(50)"},"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(50)</w:t>
            </w:r>
            <w:r>
              <w:rPr>
                <w:rFonts w:ascii="Times New Roman" w:hAnsi="Times New Roman" w:cs="Times New Roman"/>
                <w:sz w:val="20"/>
                <w:szCs w:val="20"/>
              </w:rPr>
              <w:fldChar w:fldCharType="end"/>
            </w:r>
          </w:p>
        </w:tc>
        <w:tc>
          <w:tcPr>
            <w:tcW w:w="567" w:type="dxa"/>
          </w:tcPr>
          <w:p w14:paraId="6ED7CC8A"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67CEAF9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7F32F37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Influenza, pneumonia</w:t>
            </w:r>
          </w:p>
        </w:tc>
        <w:tc>
          <w:tcPr>
            <w:tcW w:w="2126" w:type="dxa"/>
          </w:tcPr>
          <w:p w14:paraId="60B32499" w14:textId="77777777" w:rsidR="00BF0F1A" w:rsidRPr="00057B1B" w:rsidRDefault="00BF0F1A" w:rsidP="009B07DB">
            <w:pPr>
              <w:spacing w:after="0" w:line="240" w:lineRule="auto"/>
              <w:rPr>
                <w:rFonts w:ascii="Times New Roman" w:hAnsi="Times New Roman" w:cs="Times New Roman"/>
                <w:i/>
                <w:iCs/>
                <w:sz w:val="20"/>
                <w:szCs w:val="20"/>
              </w:rPr>
            </w:pPr>
            <w:r w:rsidRPr="00057B1B">
              <w:rPr>
                <w:rFonts w:ascii="Times New Roman" w:hAnsi="Times New Roman" w:cs="Times New Roman"/>
                <w:iCs/>
                <w:sz w:val="20"/>
                <w:szCs w:val="20"/>
              </w:rPr>
              <w:t>Not given</w:t>
            </w:r>
            <w:r w:rsidRPr="00057B1B">
              <w:rPr>
                <w:rFonts w:ascii="Times New Roman" w:hAnsi="Times New Roman" w:cs="Times New Roman"/>
                <w:i/>
                <w:iCs/>
                <w:sz w:val="20"/>
                <w:szCs w:val="20"/>
              </w:rPr>
              <w:t xml:space="preserve"> (older adults)</w:t>
            </w:r>
          </w:p>
        </w:tc>
        <w:tc>
          <w:tcPr>
            <w:tcW w:w="3686" w:type="dxa"/>
            <w:gridSpan w:val="2"/>
          </w:tcPr>
          <w:p w14:paraId="538FF1E6"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Prolonged moderate </w:t>
            </w:r>
            <w:r w:rsidRPr="00700670">
              <w:rPr>
                <w:rFonts w:ascii="Times New Roman" w:hAnsi="Times New Roman" w:cs="Times New Roman"/>
                <w:b/>
                <w:sz w:val="20"/>
                <w:szCs w:val="20"/>
              </w:rPr>
              <w:t>aerobic exercise</w:t>
            </w:r>
            <w:r w:rsidRPr="00700670">
              <w:rPr>
                <w:rFonts w:ascii="Times New Roman" w:hAnsi="Times New Roman" w:cs="Times New Roman"/>
                <w:sz w:val="20"/>
                <w:szCs w:val="20"/>
              </w:rPr>
              <w:t xml:space="preserve"> may help to reduce the risk of influenza-related infection.</w:t>
            </w:r>
          </w:p>
        </w:tc>
        <w:tc>
          <w:tcPr>
            <w:tcW w:w="425" w:type="dxa"/>
            <w:tcBorders>
              <w:right w:val="single" w:sz="4" w:space="0" w:color="auto"/>
            </w:tcBorders>
          </w:tcPr>
          <w:p w14:paraId="543FE91C" w14:textId="77777777" w:rsidR="00BF0F1A"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p w14:paraId="32DEA7DF" w14:textId="77777777" w:rsidR="00BF0F1A" w:rsidRPr="006E206E" w:rsidRDefault="00BF0F1A" w:rsidP="009B07DB">
            <w:pPr>
              <w:rPr>
                <w:rFonts w:ascii="Times New Roman" w:hAnsi="Times New Roman" w:cs="Times New Roman"/>
                <w:sz w:val="20"/>
                <w:szCs w:val="20"/>
              </w:rPr>
            </w:pPr>
          </w:p>
        </w:tc>
        <w:tc>
          <w:tcPr>
            <w:tcW w:w="284" w:type="dxa"/>
            <w:tcBorders>
              <w:left w:val="single" w:sz="4" w:space="0" w:color="auto"/>
            </w:tcBorders>
          </w:tcPr>
          <w:p w14:paraId="22DAE18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20B489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5EBCFE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0294642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1D2263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46102EB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75DC4E0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1FAA944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E07159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0D3819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14346E8E" w14:textId="77777777" w:rsidTr="009B07DB">
        <w:tc>
          <w:tcPr>
            <w:tcW w:w="1702" w:type="dxa"/>
          </w:tcPr>
          <w:p w14:paraId="44DB9C47"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lastRenderedPageBreak/>
              <w:t xml:space="preserve">Sublette et al., 2013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{"citationItems":[{"id":"ITEM-1","itemData":{"DOI":"http://dx.doi.org/10.1111/liv.12138","ISSN":"1478-3223, 1478-3223","abstract":"To increase cure rates for Hepatitis C, barriers to treatment adherence and completion must be identified and overcome. This study systematically reviewed evidence on the psychological, lifestyle and social determinants of achieving viral eradication with antiviral therapy. An electronic search strategy was used to identify relevant studies that examined psychological, lifestyle and social factors related to achieving a sustained virological response (SVR). Thirty-four studies that matched our criteria were identified. Of the factors that predict response to treatment, Asian ethnicity was an independent predictor of SVR. We found an indirect relationship between diet and SVR, with non-responders to treatment consuming more polyunsaturated fatty acids, fats and carbohydrates than those who attained SVR. The effect of alcohol consumption relied on the amount consumed; fewer than 30 grams daily had no effect on SVR, whereas &gt;70 grams daily had an adverse impact on a patient's ability to achieve SVR, with termination rates up to 44% in those who drank &gt;2 drinks a day. Patients with psychiatric illnesses had comparable SVR rates to controls if they continued psychological therapy (average 42%), although discontinuation rates were high with 11 studies reporting rates from 14 to 48%. There are major gaps in current knowledge of the impact of variables such as diet, exercise, attitudes and coping skills on cure rates in chronic Hepatitis C. Those who drink limited amounts of alcohol or have psychiatric disorders should be offered treatment for their disease, with adjunctive education and support to improve treatment completion.","author":[{"dropping-particle":"","family":"Sublette","given":"Victoria A","non-dropping-particle":"","parse-names":false,"suffix":""},{"dropping-particle":"","family":"Douglas","given":"Mark W","non-dropping-particle":"","parse-names":false,"suffix":""},{"dropping-particle":"","family":"McCaffery","given":"Kirsten","non-dropping-particle":"","parse-names":false,"suffix":""},{"dropping-particle":"","family":"George","given":"Jacob","non-dropping-particle":"","parse-names":false,"suffix":""},{"dropping-particle":"","family":"Perry","given":"Kathryn Nicholson","non-dropping-particle":"","parse-names":false,"suffix":""}],"container-title":"Liver International","id":"ITEM-1","issued":{"date-parts":[["2013"]]},"language":"English","note":"Date revised - 2013-07-01\n\nLast updated - 2013-07-26\n\nSubjectsTermNotLitGenreText - Diets; Mental disorders; Beverages; Liver; Polyunsaturated fatty acids; Carbohydrates; Hepatitis C; Ethnic groups; Physical training; Ethanol","page":"894-903","publisher":"Wiley-Blackwell, 111 River Street Hoboken NJ 07030-5774 United States","publisher-place":"School of Public Health. University of Sydney","title":"Psychological, lifestyle and social predictors of hepatitis C treatment response: a systematic review","type":"article-journal","volume":"33"},"uris":["http://www.mendeley.com/documents/?uuid=266a56f0-37d5-4888-b418-6bc85217efa3"]}],"mendeley":{"formattedCitation":"(28)","plainTextFormattedCitation":"(28)","previouslyFormattedCitation":"(28)"},"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(28)</w:t>
            </w:r>
            <w:r>
              <w:rPr>
                <w:rFonts w:ascii="Times New Roman" w:hAnsi="Times New Roman" w:cs="Times New Roman"/>
                <w:sz w:val="20"/>
                <w:szCs w:val="20"/>
              </w:rPr>
              <w:fldChar w:fldCharType="end"/>
            </w:r>
          </w:p>
        </w:tc>
        <w:tc>
          <w:tcPr>
            <w:tcW w:w="567" w:type="dxa"/>
          </w:tcPr>
          <w:p w14:paraId="380738EB"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081F6325"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i/>
                <w:sz w:val="20"/>
                <w:szCs w:val="20"/>
              </w:rPr>
              <w:t>Not given</w:t>
            </w:r>
          </w:p>
        </w:tc>
        <w:tc>
          <w:tcPr>
            <w:tcW w:w="1275" w:type="dxa"/>
          </w:tcPr>
          <w:p w14:paraId="372B38C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HCV</w:t>
            </w:r>
          </w:p>
        </w:tc>
        <w:tc>
          <w:tcPr>
            <w:tcW w:w="2126" w:type="dxa"/>
          </w:tcPr>
          <w:p w14:paraId="102D852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chronic HCV</w:t>
            </w:r>
          </w:p>
        </w:tc>
        <w:tc>
          <w:tcPr>
            <w:tcW w:w="3686" w:type="dxa"/>
            <w:gridSpan w:val="2"/>
          </w:tcPr>
          <w:p w14:paraId="3D59193B"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The effect of </w:t>
            </w:r>
            <w:r w:rsidRPr="00700670">
              <w:rPr>
                <w:rFonts w:ascii="Times New Roman" w:hAnsi="Times New Roman" w:cs="Times New Roman"/>
                <w:b/>
                <w:sz w:val="20"/>
                <w:szCs w:val="20"/>
              </w:rPr>
              <w:t>alcohol</w:t>
            </w:r>
            <w:r w:rsidRPr="00700670">
              <w:rPr>
                <w:rFonts w:ascii="Times New Roman" w:hAnsi="Times New Roman" w:cs="Times New Roman"/>
                <w:sz w:val="20"/>
                <w:szCs w:val="20"/>
              </w:rPr>
              <w:t xml:space="preserve"> </w:t>
            </w:r>
            <w:r w:rsidRPr="00700670">
              <w:rPr>
                <w:rFonts w:ascii="Times New Roman" w:hAnsi="Times New Roman" w:cs="Times New Roman"/>
                <w:b/>
                <w:sz w:val="20"/>
                <w:szCs w:val="20"/>
              </w:rPr>
              <w:t>use</w:t>
            </w:r>
            <w:r>
              <w:rPr>
                <w:rFonts w:ascii="Times New Roman" w:hAnsi="Times New Roman" w:cs="Times New Roman"/>
                <w:sz w:val="20"/>
                <w:szCs w:val="20"/>
              </w:rPr>
              <w:t xml:space="preserve"> on the ability to achieve an SVR </w:t>
            </w:r>
            <w:r w:rsidRPr="00700670">
              <w:rPr>
                <w:rFonts w:ascii="Times New Roman" w:hAnsi="Times New Roman" w:cs="Times New Roman"/>
                <w:sz w:val="20"/>
                <w:szCs w:val="20"/>
              </w:rPr>
              <w:t>depends on the amount consumed, with an adverse impact among those consuming &gt;70g per day. The relationship between dietary intake and SVR could not be determined.</w:t>
            </w:r>
          </w:p>
        </w:tc>
        <w:tc>
          <w:tcPr>
            <w:tcW w:w="425" w:type="dxa"/>
            <w:tcBorders>
              <w:right w:val="single" w:sz="4" w:space="0" w:color="auto"/>
            </w:tcBorders>
          </w:tcPr>
          <w:p w14:paraId="1E29C8E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440CD89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BDD620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705C21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2F2C9C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6733118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D348A9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53B48F5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0EB5B4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018F9B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930122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633C5AE0" w14:textId="77777777" w:rsidTr="009B07DB">
        <w:tc>
          <w:tcPr>
            <w:tcW w:w="1702" w:type="dxa"/>
          </w:tcPr>
          <w:p w14:paraId="3A820D03"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Torres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{"citationItems":[{"id":"ITEM-1","itemData":{"DOI":"http://dx.doi.org/10.1371/journal.pone.0226507","abstract":"Objective To produce pooled estimates of the global results of tuberculosis (TB) treatment and analyze the predictive factors of successful TB treatment. Methods Studies published between 2014 and 2019 that reported the results of the treatment of pulmonary TB and the factors that influenced these results. The quality of the studies was evaluated according to the Newcastle-Ottawa quality assessment scale. A random effects model was used to calculate the pooled odds ratio (OR) and 95% confidence interval (CI). This review was registered in the International Prospective Register of Systematic Reviews (PROSPERO) in February 2019 under number CRD42019121512. Results A total of 151 studies met the criteria for inclusion in this review. The success rate for the treatment of drug-sensitive TB in adults was 80.1% (95% CI: 78.4–81.7). America had the lowest treatment success rate, 75.9% (95% CI: 73.8–77.9), and Oceania had the highest, 83.9% (95% CI: 75.2–91.0). In children, the success rate was 84.8% (95% CI: 77.7–90.7); in patients coinfected with HIV, it was 71.0% (95% CI: 63.7–77.8), in patients with multidrug-resistant TB, it was 58.4% (95% CI: 51.4–64.6), in patients with and extensively drug-resistant TB it was 27.1% (12.7–44.5). Patients with negative sputum smears two months after treatment were almost three times more likely to be successfully treated (OR 2.7; 1.5–4.8), whereas patients younger than 65 years (OR 2.0; 1.7–2.4), nondrinkers (OR 2.0; 1.6–2.4) and HIV-negative patients (OR 1.9; 1.6–2.5 3) were two times more likely to be successfully treated. Conclusion The success of TB treatment at the global level was good, but was still below the defined threshold of 85%. Factors such as age, sex, alcohol consumption, smoking, lack of sputum conversion at two months of treatment and HIV affected the success of TB treatment.","author":[{"dropping-particle":"","family":"Torres","given":"Ninfa Marlen Chaves","non-dropping-particle":"","parse-names":false,"suffix":""},{"dropping-particle":"","family":"Rodríguez","given":"Jecxy Julieth Quijano","non-dropping-particle":"","parse-names":false,"suffix":""},{"dropping-particle":"","family":"Andrade","given":"Pablo Sebastián Porras","non-dropping-particle":"","parse-names":false,"suffix":""},{"dropping-particle":"","family":"Arriaga","given":"María Belen","non-dropping-particle":"","parse-names":false,"suffix":""},{"dropping-particle":"","family":"Netto","given":"Eduardo Martins","non-dropping-particle":"","parse-names":false,"suffix":""}],"container-title":"PLoS One","id":"ITEM-1","issued":{"date-parts":[["2019"]]},"language":"English","note":"Name - Federal University of Bahia\n\nCopyright - © 2019 Chaves Torres et al. This is an open access article distributed under the terms of the Creative Commons Attribution License: http://creativecommons.org/licenses/by/4.0/ (the “License”), which permits unrestricted use, distribution, and reproduction in any medium, provided the original author and source are credited. Notwithstanding the ProQuest Terms and Conditions, you may use this content in accordance with the terms of the License.\n\nLast updated - 2019-12-28\n\nSubjectsTermNotLitGenreText - Brazil; Colombia","page":"e0226507","publisher":"Public Library of Science","publisher-place":"San Francisco","title":"Factors predictive of the success of tuberculosis treatment: A systematic review with meta-analysis","type":"article-journal","volume":"14"},"uris":["http://www.mendeley.com/documents/?uuid=14cd1e23-c79e-479a-b84f-bf2305118698"]}],"mendeley":{"formattedCitation":"(30)","plainTextFormattedCitation":"(30)","previouslyFormattedCitation":"(30)"},"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(30)</w:t>
            </w:r>
            <w:r>
              <w:rPr>
                <w:rFonts w:ascii="Times New Roman" w:hAnsi="Times New Roman" w:cs="Times New Roman"/>
                <w:sz w:val="20"/>
                <w:szCs w:val="20"/>
              </w:rPr>
              <w:fldChar w:fldCharType="end"/>
            </w:r>
          </w:p>
        </w:tc>
        <w:tc>
          <w:tcPr>
            <w:tcW w:w="567" w:type="dxa"/>
          </w:tcPr>
          <w:p w14:paraId="2A39F43F"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C5BEBA8"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Global </w:t>
            </w:r>
          </w:p>
        </w:tc>
        <w:tc>
          <w:tcPr>
            <w:tcW w:w="1275" w:type="dxa"/>
          </w:tcPr>
          <w:p w14:paraId="3D6C4C8C"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7EC1596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treated for pulmonary TB</w:t>
            </w:r>
          </w:p>
        </w:tc>
        <w:tc>
          <w:tcPr>
            <w:tcW w:w="3686" w:type="dxa"/>
            <w:gridSpan w:val="2"/>
          </w:tcPr>
          <w:p w14:paraId="5A8F5CEB"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 use</w:t>
            </w:r>
            <w:r w:rsidRPr="00700670">
              <w:rPr>
                <w:rFonts w:ascii="Times New Roman" w:hAnsi="Times New Roman" w:cs="Times New Roman"/>
                <w:sz w:val="20"/>
                <w:szCs w:val="20"/>
              </w:rPr>
              <w:t xml:space="preserve"> and </w:t>
            </w: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negatively affected the success of TB treatment.</w:t>
            </w:r>
          </w:p>
        </w:tc>
        <w:tc>
          <w:tcPr>
            <w:tcW w:w="425" w:type="dxa"/>
            <w:tcBorders>
              <w:right w:val="single" w:sz="4" w:space="0" w:color="auto"/>
            </w:tcBorders>
          </w:tcPr>
          <w:p w14:paraId="48EC8C7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35D6B7E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95A1BF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0EFC70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P</w:t>
            </w:r>
          </w:p>
        </w:tc>
        <w:tc>
          <w:tcPr>
            <w:tcW w:w="425" w:type="dxa"/>
          </w:tcPr>
          <w:p w14:paraId="69B2E10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E70D8E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1A3E42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6177E92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038322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6E8790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F77D53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5D7DEC31" w14:textId="77777777" w:rsidTr="009B07DB">
        <w:tc>
          <w:tcPr>
            <w:tcW w:w="1702" w:type="dxa"/>
          </w:tcPr>
          <w:p w14:paraId="1D773BCA"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Velloza</w:t>
            </w:r>
            <w:proofErr w:type="spellEnd"/>
            <w:r>
              <w:rPr>
                <w:rFonts w:ascii="Times New Roman" w:hAnsi="Times New Roman" w:cs="Times New Roman"/>
                <w:sz w:val="20"/>
                <w:szCs w:val="20"/>
              </w:rPr>
              <w:t xml:space="preserve"> et al., 2019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{"citationItems":[{"id":"ITEM-1","itemData":{"DOI":"10.1007/s10461-019-02716-0","ISBN":"0123456789","ISSN":"15733254","PMID":"31673913","abstract":"Antiretroviral therapy (ART) is efficacious in improving clinical outcomes among people living with HIV (PLWH) and reducing HIV transmission when taken regularly. Research examining modifiable factors associated with ART non-adherence is critical for informing novel intervention development in settings with high HIV prevalence. Alcohol use has been linked with ART non-adherence in studies in sub-Saharan Africa; however, no review has pooled estimates across studies. We reviewed studies of alcohol use and ART non-adherence conducted in sub-Saharan Africa. We searched PubMed, CINAHL, EMBASE, and PsycINFO through August 2019 with terms related to ART non-adherence, alcohol use, and sub-Saharan Africa. One author reviewed titles/abstracts (n = 754) and two authors reviewed full texts (n = 308) for inclusion. Discrepancies were resolved by group consensus. Studies were retained if they quantitatively measured associations between alcohol use and ART non-adherence or viral non-suppression. We defined ART non-adherence using the definitions from each parent study (e.g., patients with &gt; 5% missed ART doses during the previous four, seven or 30 days were considered non-adherent). A random effects meta-analysis was conducted to pool associations and we conducted additional analyses to assess between-study heterogeneity and publication bias and sensitivity analyses to determine robustness of our results when considering only certain study designs, alcohol use or ART scales, or studies that used viral non-suppression as their primary outcome. Of 56 articles meeting our inclusion criteria, 32 articles were included in the meta-analysis. All studies measured alcohol use via self-report. ART non-adherence was assessed using self-report, pill counts, or pharmacy records and definition of non-adherence varied depending on the measure used. Individuals who used alcohol had twice the odds of ART non-adherence compared with those who did not use alcohol (34% non-adherence among alcohol users vs. 18% among non-users; pooled odds ratio: 2.25; 95% confidence interval: 1.87–2.69; p &lt; 0.001). We found evidence of a high degree of heterogeneity between studies (Cochrane Q statistic: 382.84, p&lt; 0.001; I2 proportion: 91.9%) and evidence of publication bias. However, the magnitude of our pooled odds ratio was consistent across a number of sensitivity analyses to account for heterogeneity and publication bias. In a secondary analysis with studies using viral non-suppression as their…","author":[{"dropping-particle":"","family":"Velloza","given":"Jennifer","non-dropping-particle":"","parse-names":false,"suffix":""},{"dropping-particle":"","family":"Kemp","given":"Christopher G.","non-dropping-particle":"","parse-names":false,"suffix":""},{"dropping-particle":"","family":"Aunon","given":"Frances M.","non-dropping-particle":"","parse-names":false,"suffix":""},{"dropping-particle":"","family":"Ramaiya","given":"Megan K.","non-dropping-particle":"","parse-names":false,"suffix":""},{"dropping-particle":"","family":"Creegan","given":"Emma","non-dropping-particle":"","parse-names":false,"suffix":""},{"dropping-particle":"","family":"Simoni","given":"Jane M.","non-dropping-particle":"","parse-names":false,"suffix":""}],"container-title":"AIDS and Behavior","id":"ITEM-1","issued":{"date-parts":[["2020"]]},"page":"1727-1742","publisher":"Springer US","title":"Alcohol use and antiretroviral therapy non-adherence among adults living with HIV/AIDS in sub-saharan Africa: A systematic review and meta-analysis","type":"article-journal","volume":"24"},"uris":["http://www.mendeley.com/documents/?uuid=bbd4d7f6-b27b-441e-b324-09c89ed79662"]}],"mendeley":{"formattedCitation":"(26)","plainTextFormattedCitation":"(26)","previouslyFormattedCitation":"(26)"},"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(26)</w:t>
            </w:r>
            <w:r>
              <w:rPr>
                <w:rFonts w:ascii="Times New Roman" w:hAnsi="Times New Roman" w:cs="Times New Roman"/>
                <w:sz w:val="20"/>
                <w:szCs w:val="20"/>
              </w:rPr>
              <w:fldChar w:fldCharType="end"/>
            </w:r>
          </w:p>
        </w:tc>
        <w:tc>
          <w:tcPr>
            <w:tcW w:w="567" w:type="dxa"/>
          </w:tcPr>
          <w:p w14:paraId="023D63E4"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082DDB7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Sub Saharan Africa</w:t>
            </w:r>
          </w:p>
        </w:tc>
        <w:tc>
          <w:tcPr>
            <w:tcW w:w="1275" w:type="dxa"/>
          </w:tcPr>
          <w:p w14:paraId="62489867"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160B9F2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receiving antiretroviral therapy </w:t>
            </w:r>
            <w:r w:rsidRPr="00057B1B">
              <w:rPr>
                <w:rFonts w:ascii="Times New Roman" w:hAnsi="Times New Roman" w:cs="Times New Roman"/>
                <w:i/>
                <w:sz w:val="20"/>
                <w:szCs w:val="20"/>
              </w:rPr>
              <w:t>(adults)</w:t>
            </w:r>
          </w:p>
        </w:tc>
        <w:tc>
          <w:tcPr>
            <w:tcW w:w="3686" w:type="dxa"/>
            <w:gridSpan w:val="2"/>
          </w:tcPr>
          <w:p w14:paraId="56E52309"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Alcohol users</w:t>
            </w:r>
            <w:r w:rsidRPr="00700670">
              <w:rPr>
                <w:rFonts w:ascii="Times New Roman" w:hAnsi="Times New Roman" w:cs="Times New Roman"/>
                <w:sz w:val="20"/>
                <w:szCs w:val="20"/>
              </w:rPr>
              <w:t xml:space="preserve"> receiving antiretroviral therapy had greater likelihood of viral non-suppression.</w:t>
            </w:r>
          </w:p>
        </w:tc>
        <w:tc>
          <w:tcPr>
            <w:tcW w:w="425" w:type="dxa"/>
            <w:tcBorders>
              <w:right w:val="single" w:sz="4" w:space="0" w:color="auto"/>
            </w:tcBorders>
          </w:tcPr>
          <w:p w14:paraId="2F7DECE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CF5611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C9956D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1A445A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7610D43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EA9EC7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7E16AC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7DC9E3C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4535205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22258C2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57FA8D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604AF748" w14:textId="77777777" w:rsidTr="009B07DB">
        <w:tc>
          <w:tcPr>
            <w:tcW w:w="1702" w:type="dxa"/>
          </w:tcPr>
          <w:p w14:paraId="42DAFFB3" w14:textId="77777777" w:rsidR="00BF0F1A" w:rsidRPr="00057B1B" w:rsidRDefault="00BF0F1A" w:rsidP="009B07DB">
            <w:pPr>
              <w:spacing w:after="0" w:line="240" w:lineRule="auto"/>
              <w:rPr>
                <w:rFonts w:ascii="Times New Roman" w:hAnsi="Times New Roman" w:cs="Times New Roman"/>
                <w:b/>
                <w:sz w:val="20"/>
                <w:szCs w:val="20"/>
              </w:rPr>
            </w:pPr>
            <w:proofErr w:type="spellStart"/>
            <w:r>
              <w:rPr>
                <w:rFonts w:ascii="Times New Roman" w:hAnsi="Times New Roman" w:cs="Times New Roman"/>
                <w:sz w:val="20"/>
                <w:szCs w:val="20"/>
              </w:rPr>
              <w:t>Waitt</w:t>
            </w:r>
            <w:proofErr w:type="spellEnd"/>
            <w:r>
              <w:rPr>
                <w:rFonts w:ascii="Times New Roman" w:hAnsi="Times New Roman" w:cs="Times New Roman"/>
                <w:sz w:val="20"/>
                <w:szCs w:val="20"/>
              </w:rPr>
              <w:t xml:space="preserve"> et al., 2011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{"citationItems":[{"id":"ITEM-1","itemData":{"DOI":"http://dx.doi.org/10.5588/ijtld.10.0352","ISSN":"1027-3719, 1027-3719","abstract":"BACKGROUND: Despite effective anti-tuberculosis chemotherapy, case-fatality rates of up to 25% are described in both industrialised and resource-poor settings. An understanding of the factors predisposing to poor outcome may allow the development of adjunctive treatment strategies or closer clinical monitoring in high-risk individuals. OBJECTIVES: To describe the definitions and timing of deaths due to tuberculosis (TB), and the reported range of risk factors for death. METHODS: All electronically available studies investigating risk factors for death in TB patients from 1966 to 2010 were analysed. Included were peer-reviewed reports of cohort, case control or cross-sectional studies with the primary objective of determination of quantitative effect estimates of the relationship between risk factors and death in adults treated for TB. Many studies were limited by their retrospective design, reliance on data from registries and charts, and risk of reporting bias. RESULTS: Most studies reported risk factors for all-cause mortality throughout anti-tuberculosis treatment. In the context of high TB incidence and human immunodeficiency virus (HIV) prevalence, risk factors for death are HIV positivity, advancing immunosuppression, smear-negative disease and malnutrition. In regions of low TB incidence and HIV prevalence, risk factors include non-infective comorbidities, sputum smear-positive discase and alcohol and substance misuse. CONCLUSIONS: There remains a need for prospective clinical studies, particularly with a focus on deaths occurring during the first months of anti-tuberculosis treatment. Qualitative research should be used to further explore the relationship between sex and health-seeking behaviour, and to optimise delivery of health care to socially marginalised groups.","author":[{"dropping-particle":"","family":"Waitt","given":"C J","non-dropping-particle":"","parse-names":false,"suffix":""},{"dropping-particle":"","family":"Squire","given":"S B","non-dropping-particle":"","parse-names":false,"suffix":""}],"container-title":"International Journal of Tuberculosis and Lung Disease","id":"ITEM-1","issued":{"date-parts":[["2011"]]},"language":"English","note":"Date revised - 2011-07-01\n\nLast updated - 2013-09-20\n\nSubjectsTermNotLitGenreText - Mortality; Malnutrition; Data processing; Chemotherapy; Risk factors; Lung diseases; alcohols; Risk groups; Tuberculosis; Sputum; Immunosuppression; Sex; tuberculosis; Alcohol; Health care; Human immunodeficiency virus; Reviews; chemotherapy; Morbidity; Mycobacterium","page":"871-885","publisher":"International Union Against Tuberculosis and Lung Disease","publisher-place":"Department of Molecular and Clinical Pharmacology, Block A: Waterhouse Building, University of Liverpool, 1-5 Brownlow Street, Liverpool L69 3GL, UK, cwaitt@liv.ac.uk","title":"A systematic review of risk factors for death in adults during and after tuberculosis treatment","type":"article-journal","volume":"15"},"uris":["http://www.mendeley.com/documents/?uuid=5dee2fc4-2f22-472e-9542-57129b631866"]}],"mendeley":{"formattedCitation":"(37)","plainTextFormattedCitation":"(37)","previouslyFormattedCitation":"(37)"},"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(37)</w:t>
            </w:r>
            <w:r>
              <w:rPr>
                <w:rFonts w:ascii="Times New Roman" w:hAnsi="Times New Roman" w:cs="Times New Roman"/>
                <w:sz w:val="20"/>
                <w:szCs w:val="20"/>
              </w:rPr>
              <w:fldChar w:fldCharType="end"/>
            </w:r>
          </w:p>
        </w:tc>
        <w:tc>
          <w:tcPr>
            <w:tcW w:w="567" w:type="dxa"/>
          </w:tcPr>
          <w:p w14:paraId="66903F15"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46D0E64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571F80AB"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6E980D8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being treated for TB </w:t>
            </w:r>
            <w:r w:rsidRPr="00057B1B">
              <w:rPr>
                <w:rFonts w:ascii="Times New Roman" w:hAnsi="Times New Roman" w:cs="Times New Roman"/>
                <w:i/>
                <w:sz w:val="20"/>
                <w:szCs w:val="20"/>
              </w:rPr>
              <w:t>(adults)</w:t>
            </w:r>
          </w:p>
        </w:tc>
        <w:tc>
          <w:tcPr>
            <w:tcW w:w="3686" w:type="dxa"/>
            <w:gridSpan w:val="2"/>
          </w:tcPr>
          <w:p w14:paraId="5A4B6249"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sz w:val="20"/>
                <w:szCs w:val="20"/>
              </w:rPr>
              <w:t xml:space="preserve">In regions with low TB incidence and HIV prevalence, risk factors include </w:t>
            </w:r>
            <w:r w:rsidRPr="00700670">
              <w:rPr>
                <w:rFonts w:ascii="Times New Roman" w:hAnsi="Times New Roman" w:cs="Times New Roman"/>
                <w:b/>
                <w:sz w:val="20"/>
                <w:szCs w:val="20"/>
              </w:rPr>
              <w:t>alcohol</w:t>
            </w:r>
            <w:r w:rsidRPr="00700670">
              <w:rPr>
                <w:rFonts w:ascii="Times New Roman" w:hAnsi="Times New Roman" w:cs="Times New Roman"/>
                <w:sz w:val="20"/>
                <w:szCs w:val="20"/>
              </w:rPr>
              <w:t xml:space="preserve"> and </w:t>
            </w:r>
            <w:r w:rsidRPr="00700670">
              <w:rPr>
                <w:rFonts w:ascii="Times New Roman" w:hAnsi="Times New Roman" w:cs="Times New Roman"/>
                <w:b/>
                <w:sz w:val="20"/>
                <w:szCs w:val="20"/>
              </w:rPr>
              <w:t>substance misuse</w:t>
            </w:r>
            <w:r w:rsidRPr="00700670">
              <w:rPr>
                <w:rFonts w:ascii="Times New Roman" w:hAnsi="Times New Roman" w:cs="Times New Roman"/>
                <w:sz w:val="20"/>
                <w:szCs w:val="20"/>
              </w:rPr>
              <w:t xml:space="preserve">. No conclusions were drawn for </w:t>
            </w: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but the </w:t>
            </w:r>
            <w:r>
              <w:rPr>
                <w:rFonts w:ascii="Times New Roman" w:hAnsi="Times New Roman" w:cs="Times New Roman"/>
                <w:sz w:val="20"/>
                <w:szCs w:val="20"/>
              </w:rPr>
              <w:t>review</w:t>
            </w:r>
            <w:r w:rsidRPr="00700670">
              <w:rPr>
                <w:rFonts w:ascii="Times New Roman" w:hAnsi="Times New Roman" w:cs="Times New Roman"/>
                <w:sz w:val="20"/>
                <w:szCs w:val="20"/>
              </w:rPr>
              <w:t xml:space="preserve"> reported no associations with TB death.</w:t>
            </w:r>
          </w:p>
        </w:tc>
        <w:tc>
          <w:tcPr>
            <w:tcW w:w="425" w:type="dxa"/>
            <w:tcBorders>
              <w:right w:val="single" w:sz="4" w:space="0" w:color="auto"/>
            </w:tcBorders>
          </w:tcPr>
          <w:p w14:paraId="19066290" w14:textId="77777777" w:rsidR="00BF0F1A" w:rsidRPr="00FC4F8D" w:rsidRDefault="00BF0F1A" w:rsidP="009B07DB">
            <w:pPr>
              <w:tabs>
                <w:tab w:val="center" w:pos="56"/>
              </w:tabs>
              <w:spacing w:after="0" w:line="240" w:lineRule="auto"/>
              <w:ind w:hanging="97"/>
              <w:rPr>
                <w:rFonts w:ascii="Times New Roman" w:hAnsi="Times New Roman" w:cs="Times New Roman"/>
                <w:sz w:val="20"/>
                <w:szCs w:val="20"/>
              </w:rPr>
            </w:pPr>
            <w:r>
              <w:rPr>
                <w:rFonts w:ascii="Times New Roman" w:hAnsi="Times New Roman" w:cs="Times New Roman"/>
                <w:sz w:val="20"/>
                <w:szCs w:val="20"/>
              </w:rPr>
              <w:tab/>
            </w:r>
            <w:r w:rsidRPr="00057B1B">
              <w:rPr>
                <w:rFonts w:ascii="Times New Roman" w:hAnsi="Times New Roman" w:cs="Times New Roman"/>
                <w:sz w:val="20"/>
              </w:rPr>
              <w:t>↑</w:t>
            </w:r>
          </w:p>
        </w:tc>
        <w:tc>
          <w:tcPr>
            <w:tcW w:w="284" w:type="dxa"/>
            <w:tcBorders>
              <w:left w:val="single" w:sz="4" w:space="0" w:color="auto"/>
            </w:tcBorders>
          </w:tcPr>
          <w:p w14:paraId="24FFF23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9FB57B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A618C8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5B5910F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02EC286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426" w:type="dxa"/>
          </w:tcPr>
          <w:p w14:paraId="38D7918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w:t>
            </w:r>
          </w:p>
        </w:tc>
        <w:tc>
          <w:tcPr>
            <w:tcW w:w="567" w:type="dxa"/>
          </w:tcPr>
          <w:p w14:paraId="40F696C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4F040E2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699F427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DC66CD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5</w:t>
            </w:r>
          </w:p>
        </w:tc>
      </w:tr>
      <w:tr w:rsidR="00BF0F1A" w:rsidRPr="00DE5914" w14:paraId="164ED186" w14:textId="77777777" w:rsidTr="009B07DB">
        <w:tc>
          <w:tcPr>
            <w:tcW w:w="1702" w:type="dxa"/>
          </w:tcPr>
          <w:p w14:paraId="36FD6A4F"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Wang et al., 2018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{"citationItems":[{"id":"ITEM-1","itemData":{"DOI":"http://dx.doi.org/10.2147/IDR.S164596","ISSN":"1178-6973, 1178-6973","abstract":"BackgroundTobacco smoking is a risk factor for tuberculosis but little is known about the relationship between tobacco smoking and drug-resistant tuberculosis (DR-TB). We undertook a systematic review and meta-analysis to quantitatively assess the association between DR-TB and tobacco smoking.MethodsWe searched for relevant studies in the Ovid MEDLINE, Embase, Cochrane Library, Web of Science, China National Knowledge Infrastructure, WANFANG, and WEIPU data-bases from inception to September 1, 2017. Results were expressed as odds ratios (ORs) with accompanying 95% CIs, and subgroup analyses were performed by study design, smoking type, DR-TB type, and multivariate analysis.ResultsThirty-three studies related to tobacco smoking and DR-TB were included. We found substantial evidence that tobacco smoking is associated with an increased risk of DR-TB (OR 1.57, 95% CI 1.33-1.86). Associations were also found in subgroup analyses: for multidrug-resistant tuberculosis (OR 1.49, 95% CI 1.19-1.86) and for any DR-TB (OR 1.70, 95% CI 1.3-2.23); the pooled OR was 1.45 (95% CI 1.11-1.90) for current smoking, 2.25 (95% CI 1.46-3.47) for past smoking, and 1.56 (95% CI 1.22-1.98) for smoking history; and similar ORs were also observed in study design and multivariate analysis subgroup analysis.ConclusionThis study demonstrated that tobacco smoking is an independent risk factor for DR-TB.","author":[{"dropping-particle":"","family":"Wang","given":"Ming-Gui","non-dropping-particle":"","parse-names":false,"suffix":""},{"dropping-particle":"","family":"Huang","given":"Wei-Wei","non-dropping-particle":"","parse-names":false,"suffix":""},{"dropping-particle":"","family":"Wang","given":"Yu","non-dropping-particle":"","parse-names":false,"suffix":""},{"dropping-particle":"","family":"Zhang","given":"Yun-Xia","non-dropping-particle":"","parse-names":false,"suffix":""},{"dropping-particle":"","family":"Zhang","given":"Miao-Miao","non-dropping-particle":"","parse-names":false,"suffix":""},{"dropping-particle":"","family":"Wu","given":"Shou-Quan","non-dropping-particle":"","parse-names":false,"suffix":""},{"dropping-particle":"","family":"Sandford","given":"Andrew J","non-dropping-particle":"","parse-names":false,"suffix":""},{"dropping-particle":"","family":"He","given":"Jian-Qing","non-dropping-particle":"","parse-names":false,"suffix":""}],"container-title":"Infection and Drug Resistance","id":"ITEM-1","issued":{"date-parts":[["2018"]]},"language":"English","note":"From Duplicate 1 (Association between tobacco smoking and drug-resistant tuberculosis - Ming-Gui, Wang; Wei-Wei, Huang; Wang, Yu; Yun-Xia, Zhang; Miao-Miao, Zhang; Wu, Shou-Quan; Sandford, Andrew J; He, Jian-Qing)\n\nCopyright - © 2018. This work is licensed under https://creativecommons.org/licenses/by-nc/3.0/ (the “License”). Notwithstanding the ProQuest Terms and Conditions, you may use this content in accordance with the terms of the License.\n\nLast updated - 2019-10-24\n\nSubjectsTermNotLitGenreText - China\n\nFrom Duplicate 2 (Association between tobacco smoking and drug-resistant tuberculosis. - Wang, Ming-Gui; Huang, Wei-Wei; Wang, Yu; Zhang, Yun-Xia; Zhang, Miao-Miao; Wu, Shou-Quan; Sandford, Andrew J; He, Jian-Qing)\n\nDate created - 2018-06-22\n\nDate revised - 2020-09-30\n\nSuppNotes - Conflict of Interest: Disclosure The authors report no conflicts of interest in this work. Cited By: Thorax. 2005 Jul;60(7):555-7 [15994262] Sci Rep. 2017 Apr 24;7(1):1090 [28439071] Tuberculosis (Edinb). 2017 Mar;103:44-51 [28237033] Clin Microbiol Infect. 2003 Apr;9(4):289-94 [12667238] PLoS Med. 2007 Jan;4(1):e20 [17227135] J Infect Public Health. 2016 May-Jun;9(3):289-97 [26775848] PLoS One. 2013 Aug 13;8(8):e71867 [23967255] Lancet. 2011 Jul 2;378(9785):57-72 [21420161] PLoS One. 2014 Jan 08;9(1):e82235 [24416139] Chest. 2016 Jul;150(1):164-79 [27102185] Eur J Clin Microbiol Infect Dis. 2011 Jul;30(7):863-7 [21431989] Tuberculosis (Edinb). 2015 Sep;95(5):581-8 [26164355] Arch Bronconeumol. 2015 Jan;51(1):24-30 [25027066] Thorax. 2006 Feb;61(2):158-63 [16254056] Cochrane Database Syst Rev. 2016 Jan 18;(1):CD011125 [26777994] Clin Respir J. 2014 Apr;8(2):234-9 [24131513] Int J Tuberc Lung Dis. 2002 May;6(5):406-14 [12019916] BMC Med Res Methodol. 2008 Nov 27;8:79 [19036172] Can J Public Health. 2013 Jan 08;104(1):e22-7 [23618116] J Egypt Public Health Assoc. 2015 Mar;90(1):24-8 [25853542] BMC Public Health. 2006 Mar 14;6:66 [16536868] Kathmandu Univ Med J (KUMJ). 2010 Oct-Dec;8(32):392-7 [22610768] Eur Respir J. 2015 Mar;45(3):738-45 [25359352] Bull World Health Organ. 2007 Oct;85(10):820-1 [18038065] Open Respir Med J. 2016 Jun 30;10:29-35 [27583054] Bull World Health Organ. 2013 Jan 1;91(1):36-45 [23397349] Lancet. 2009 May 30;373(9678):1861-73 [19375159] PLoS One. 2014 Aug 19;9(8):e105214 [25136966] Rev Clin Esp. 2006 Sep;206(8):376-81 [16863622] BMC Public Health. 2016 Jan 16;16:42 [26775263] Thorax. 2005 Feb;60(2):130-5 [15681501] Am J Respir Crit Care Med. 2009 Sep 1;180(5):475-80 [19542475] Int J Tuberc Lung Dis. 2002 Nov;6(11):942-51 [12475139] Arch Intern Med. 2007 Feb 26;167(4):335-42 [17325294] Lancet. 2006 Dec 16;368(9553):2142-54 [17174706] Arch Med Res. 2015 Feb;46(2):142-8 [25704633] Rev Mal Respir. 2016 Feb;33(2):128-44 [26777112] Lancet. 2012 Oct 20;380(9851):1406-17 [22938757] Rev Saude Publica. 2017 Apr 27;51(0):41 [28489185] J Korean Med Sci. 2009 Aug;24(4):592-5 [19654938] Open Forum Infect Dis. 2016 Jun 16;3(3):ofw126 [27419188] PLoS One. 2013 Oct 16;8(10):e77410 [24146991]\n\nLast updated - 2020-09-30","page":"873-887","publisher":"Taylor &amp; Francis Ltd.","publisher-place":"Macclesfield","title":"Association between tobacco smoking and drug-resistant tuberculosis","type":"article-journal","volume":"11"},"uris":["http://www.mendeley.com/documents/?uuid=3766c5a3-82ed-4dd8-8eea-65847eef5c4d"]}],"mendeley":{"formattedCitation":"(63)","plainTextFormattedCitation":"(63)","previouslyFormattedCitation":"(63)"},"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(63)</w:t>
            </w:r>
            <w:r>
              <w:rPr>
                <w:rFonts w:ascii="Times New Roman" w:hAnsi="Times New Roman" w:cs="Times New Roman"/>
                <w:sz w:val="20"/>
                <w:szCs w:val="20"/>
              </w:rPr>
              <w:fldChar w:fldCharType="end"/>
            </w:r>
          </w:p>
        </w:tc>
        <w:tc>
          <w:tcPr>
            <w:tcW w:w="567" w:type="dxa"/>
          </w:tcPr>
          <w:p w14:paraId="32E43AC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78AFDB9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Global</w:t>
            </w:r>
          </w:p>
        </w:tc>
        <w:tc>
          <w:tcPr>
            <w:tcW w:w="1275" w:type="dxa"/>
          </w:tcPr>
          <w:p w14:paraId="0D879D3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26A67EAD"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 xml:space="preserve">Patients with TB </w:t>
            </w:r>
            <w:r w:rsidRPr="00057B1B">
              <w:rPr>
                <w:rFonts w:ascii="Times New Roman" w:hAnsi="Times New Roman" w:cs="Times New Roman"/>
                <w:i/>
                <w:sz w:val="20"/>
                <w:szCs w:val="20"/>
              </w:rPr>
              <w:t>(≥ 15 years)</w:t>
            </w:r>
          </w:p>
        </w:tc>
        <w:tc>
          <w:tcPr>
            <w:tcW w:w="3686" w:type="dxa"/>
            <w:gridSpan w:val="2"/>
          </w:tcPr>
          <w:p w14:paraId="5C5681D2"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Tobacco smoking</w:t>
            </w:r>
            <w:r w:rsidRPr="00700670">
              <w:rPr>
                <w:rFonts w:ascii="Times New Roman" w:hAnsi="Times New Roman" w:cs="Times New Roman"/>
                <w:sz w:val="20"/>
                <w:szCs w:val="20"/>
              </w:rPr>
              <w:t xml:space="preserve"> was a risk factor for </w:t>
            </w:r>
            <w:r>
              <w:rPr>
                <w:rFonts w:ascii="Times New Roman" w:hAnsi="Times New Roman" w:cs="Times New Roman"/>
                <w:sz w:val="20"/>
                <w:szCs w:val="20"/>
              </w:rPr>
              <w:t>DR-</w:t>
            </w:r>
            <w:r w:rsidRPr="00700670">
              <w:rPr>
                <w:rFonts w:ascii="Times New Roman" w:hAnsi="Times New Roman" w:cs="Times New Roman"/>
                <w:sz w:val="20"/>
                <w:szCs w:val="20"/>
              </w:rPr>
              <w:t>TB regardless of study design, smoking status, and type of DR-TB.</w:t>
            </w:r>
          </w:p>
        </w:tc>
        <w:tc>
          <w:tcPr>
            <w:tcW w:w="425" w:type="dxa"/>
            <w:tcBorders>
              <w:right w:val="single" w:sz="4" w:space="0" w:color="auto"/>
            </w:tcBorders>
          </w:tcPr>
          <w:p w14:paraId="7DBF405C"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2D14F8E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89E0DA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27DFDE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6818E8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344EF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26932D0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77320EB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566BB21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7C9CD36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766301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2C63443A" w14:textId="77777777" w:rsidTr="009B07DB">
        <w:tc>
          <w:tcPr>
            <w:tcW w:w="1702" w:type="dxa"/>
          </w:tcPr>
          <w:p w14:paraId="68C8B0E2" w14:textId="77777777" w:rsidR="00BF0F1A" w:rsidRPr="00057B1B" w:rsidRDefault="00BF0F1A" w:rsidP="009B07DB">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Wang et al., 2020 </w:t>
            </w: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{"citationItems":[{"id":"ITEM-1","itemData":{"DOI":"10.5588/ijtld.19.0002","ISSN":"1027-3719","PMID":"33172536","abstract":"BACKGROUND: Cigarette smoking contributes to tuberculosis (TB) epidemiology. However, limited evidence exists on how smoking impacts TB treatment outcomes such as treatment loss to follow-up and culture conversion. METHODS: This meta-analysis assessed current evidence of the impact of active cigarette smoking on TB treatment outcomes. PubMed, Scopus, Embase, and the Cochrane Library were searched for English-language articles published from database inception through 2017. Articles addressing active pulmonary TB and cigarette smoking were identified and data abstracted. Smokers were defined as those who smoked every day or some days at the time of interview/diagnosis. Non-smokers did not smoke at the time of interview/diagnosis. Unfavorable outcomes included any outcome other than cure or completion of TB treatment. Three different data sets were examined: 8 articles addressing unfavorable treatment outcomes, 9 analyzing only treatment loss to follow-up, and 5 addressing delayed smear or culture conversion. Studies that had &lt;20 subjects or that addressed only populations with comorbidities were excluded. RESULTS: We identified 1030 studies; 21 studies fulfilled the inclusion/exclusion criteria. Smokers had greater odds of unfavorable outcomes (pooled odds ratio [pOR] 1.23, 95%CI 1.14–1.33), delayed smear or culture conversion (pOR 1.55, 95%CI 1.04–2.07), and treatment loss to follow-up (pOR 1.35, 95%CI 1.21–1.50). CONCLUSION: Cigarette smoking is associated with negative treatment results and delayed conversion to negative smear or culture, suggesting smoking is an important factor for consideration in TB elimination efforts.","author":[{"dropping-particle":"","family":"Wang","given":"E. Y.","non-dropping-particle":"","parse-names":false,"suffix":""},{"dropping-particle":"","family":"Arrazola","given":"R. A.","non-dropping-particle":"","parse-names":false,"suffix":""},{"dropping-particle":"","family":"Mathema","given":"B.","non-dropping-particle":"","parse-names":false,"suffix":""},{"dropping-particle":"","family":"Ahluwalia","given":"I. B.","non-dropping-particle":"","parse-names":false,"suffix":""},{"dropping-particle":"","family":"Mase","given":"S. R.","non-dropping-particle":"","parse-names":false,"suffix":""}],"container-title":"The International Journal of Tuberculosis and Lung Disease","id":"ITEM-1","issued":{"date-parts":[["2020"]]},"page":"170-175","title":"The impact of smoking on tuberculosis treatment outcomes: a meta-analysis","type":"article-journal","volume":"24"},"uris":["http://www.mendeley.com/documents/?uuid=f5f9124e-e099-48f2-91f7-add173fd5c48"]}],"mendeley":{"formattedCitation":"(62)","plainTextFormattedCitation":"(62)","previouslyFormattedCitation":"(62)"},"properties":{"noteIndex":0},"schema":"https://github.com/citation-style-language/schema/raw/master/csl-citation.json"}</w:instrText>
            </w:r>
            <w:r>
              <w:rPr>
                <w:rFonts w:ascii="Times New Roman" w:hAnsi="Times New Roman" w:cs="Times New Roman"/>
                <w:sz w:val="20"/>
                <w:szCs w:val="20"/>
              </w:rPr>
              <w:fldChar w:fldCharType="separate"/>
            </w:r>
            <w:r w:rsidRPr="001B6BBC">
              <w:rPr>
                <w:rFonts w:ascii="Times New Roman" w:hAnsi="Times New Roman" w:cs="Times New Roman"/>
                <w:noProof/>
                <w:sz w:val="20"/>
                <w:szCs w:val="20"/>
              </w:rPr>
              <w:t>(62)</w:t>
            </w:r>
            <w:r>
              <w:rPr>
                <w:rFonts w:ascii="Times New Roman" w:hAnsi="Times New Roman" w:cs="Times New Roman"/>
                <w:sz w:val="20"/>
                <w:szCs w:val="20"/>
              </w:rPr>
              <w:fldChar w:fldCharType="end"/>
            </w:r>
          </w:p>
        </w:tc>
        <w:tc>
          <w:tcPr>
            <w:tcW w:w="567" w:type="dxa"/>
          </w:tcPr>
          <w:p w14:paraId="7636B892"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2C53BD8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i/>
                <w:sz w:val="20"/>
                <w:szCs w:val="20"/>
              </w:rPr>
              <w:t>Not given</w:t>
            </w:r>
          </w:p>
        </w:tc>
        <w:tc>
          <w:tcPr>
            <w:tcW w:w="1275" w:type="dxa"/>
          </w:tcPr>
          <w:p w14:paraId="239A29D3"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TB</w:t>
            </w:r>
          </w:p>
        </w:tc>
        <w:tc>
          <w:tcPr>
            <w:tcW w:w="2126" w:type="dxa"/>
          </w:tcPr>
          <w:p w14:paraId="6C435852"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being treated for TB</w:t>
            </w:r>
          </w:p>
        </w:tc>
        <w:tc>
          <w:tcPr>
            <w:tcW w:w="3686" w:type="dxa"/>
            <w:gridSpan w:val="2"/>
          </w:tcPr>
          <w:p w14:paraId="6EA0255E"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Smoking</w:t>
            </w:r>
            <w:r w:rsidRPr="00700670">
              <w:rPr>
                <w:rFonts w:ascii="Times New Roman" w:hAnsi="Times New Roman" w:cs="Times New Roman"/>
                <w:sz w:val="20"/>
                <w:szCs w:val="20"/>
              </w:rPr>
              <w:t xml:space="preserve"> was associated with unfavourable treatment outcomes for TB.</w:t>
            </w:r>
          </w:p>
        </w:tc>
        <w:tc>
          <w:tcPr>
            <w:tcW w:w="425" w:type="dxa"/>
            <w:tcBorders>
              <w:right w:val="single" w:sz="4" w:space="0" w:color="auto"/>
            </w:tcBorders>
          </w:tcPr>
          <w:p w14:paraId="10C6706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27D3C10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1A091D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808BC3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5228E67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CT</w:t>
            </w:r>
          </w:p>
        </w:tc>
        <w:tc>
          <w:tcPr>
            <w:tcW w:w="283" w:type="dxa"/>
          </w:tcPr>
          <w:p w14:paraId="061E44D4"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52432FD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7690099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0ECE1EE3"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483A35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91DEEE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6</w:t>
            </w:r>
          </w:p>
        </w:tc>
      </w:tr>
      <w:tr w:rsidR="00BF0F1A" w:rsidRPr="00DE5914" w14:paraId="491345C5" w14:textId="77777777" w:rsidTr="009B07DB">
        <w:tc>
          <w:tcPr>
            <w:tcW w:w="1702" w:type="dxa"/>
          </w:tcPr>
          <w:p w14:paraId="773D27E7" w14:textId="77777777" w:rsidR="00BF0F1A" w:rsidRPr="00057B1B" w:rsidRDefault="00BF0F1A" w:rsidP="009B07DB">
            <w:pPr>
              <w:spacing w:after="0" w:line="240" w:lineRule="auto"/>
              <w:rPr>
                <w:rFonts w:ascii="Times New Roman" w:hAnsi="Times New Roman" w:cs="Times New Roman"/>
                <w:b/>
                <w:sz w:val="20"/>
                <w:szCs w:val="20"/>
              </w:rPr>
            </w:pPr>
            <w:r w:rsidRPr="00057B1B">
              <w:rPr>
                <w:rFonts w:ascii="Times New Roman" w:hAnsi="Times New Roman" w:cs="Times New Roman"/>
                <w:sz w:val="20"/>
                <w:szCs w:val="20"/>
              </w:rPr>
              <w:t>Zhao et al., 2015 (0970)</w:t>
            </w:r>
          </w:p>
        </w:tc>
        <w:tc>
          <w:tcPr>
            <w:tcW w:w="567" w:type="dxa"/>
          </w:tcPr>
          <w:p w14:paraId="0030CA06" w14:textId="77777777" w:rsidR="00BF0F1A" w:rsidRPr="00057B1B" w:rsidRDefault="00BF0F1A" w:rsidP="009B07DB">
            <w:pPr>
              <w:spacing w:after="0" w:line="240" w:lineRule="auto"/>
              <w:jc w:val="center"/>
              <w:rPr>
                <w:rFonts w:ascii="Times New Roman" w:hAnsi="Times New Roman" w:cs="Times New Roman"/>
                <w:sz w:val="20"/>
                <w:szCs w:val="20"/>
              </w:rPr>
            </w:pPr>
          </w:p>
        </w:tc>
        <w:tc>
          <w:tcPr>
            <w:tcW w:w="1276" w:type="dxa"/>
          </w:tcPr>
          <w:p w14:paraId="6AC2FA7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w:t>
            </w:r>
          </w:p>
        </w:tc>
        <w:tc>
          <w:tcPr>
            <w:tcW w:w="1275" w:type="dxa"/>
          </w:tcPr>
          <w:p w14:paraId="550F2FC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HIV</w:t>
            </w:r>
          </w:p>
        </w:tc>
        <w:tc>
          <w:tcPr>
            <w:tcW w:w="2126" w:type="dxa"/>
          </w:tcPr>
          <w:p w14:paraId="42A89BEA"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General and selected populations</w:t>
            </w:r>
          </w:p>
        </w:tc>
        <w:tc>
          <w:tcPr>
            <w:tcW w:w="3686" w:type="dxa"/>
            <w:gridSpan w:val="2"/>
          </w:tcPr>
          <w:p w14:paraId="597249CE" w14:textId="77777777" w:rsidR="00BF0F1A" w:rsidRPr="00700670" w:rsidRDefault="00BF0F1A" w:rsidP="009B07DB">
            <w:pPr>
              <w:spacing w:after="0" w:line="240" w:lineRule="auto"/>
              <w:rPr>
                <w:rFonts w:ascii="Times New Roman" w:hAnsi="Times New Roman" w:cs="Times New Roman"/>
                <w:sz w:val="20"/>
                <w:szCs w:val="20"/>
              </w:rPr>
            </w:pPr>
            <w:r w:rsidRPr="00700670">
              <w:rPr>
                <w:rFonts w:ascii="Times New Roman" w:hAnsi="Times New Roman" w:cs="Times New Roman"/>
                <w:b/>
                <w:sz w:val="20"/>
                <w:szCs w:val="20"/>
              </w:rPr>
              <w:t>Illicit drug use</w:t>
            </w:r>
            <w:r w:rsidRPr="00700670">
              <w:rPr>
                <w:rFonts w:ascii="Times New Roman" w:hAnsi="Times New Roman" w:cs="Times New Roman"/>
                <w:sz w:val="20"/>
                <w:szCs w:val="20"/>
              </w:rPr>
              <w:t xml:space="preserve"> was associated with a higher prevalence of HIV.</w:t>
            </w:r>
          </w:p>
        </w:tc>
        <w:tc>
          <w:tcPr>
            <w:tcW w:w="425" w:type="dxa"/>
            <w:tcBorders>
              <w:right w:val="single" w:sz="4" w:space="0" w:color="auto"/>
            </w:tcBorders>
          </w:tcPr>
          <w:p w14:paraId="10864FF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p>
        </w:tc>
        <w:tc>
          <w:tcPr>
            <w:tcW w:w="284" w:type="dxa"/>
            <w:tcBorders>
              <w:left w:val="single" w:sz="4" w:space="0" w:color="auto"/>
            </w:tcBorders>
          </w:tcPr>
          <w:p w14:paraId="0BB647F8"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6AF3A00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1F4F097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362A89F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8FBDF5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11B3C3D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86C70D6"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N/A</w:t>
            </w:r>
          </w:p>
        </w:tc>
        <w:tc>
          <w:tcPr>
            <w:tcW w:w="283" w:type="dxa"/>
          </w:tcPr>
          <w:p w14:paraId="33318CE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0EF70E27"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36E6A34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r w:rsidR="00BF0F1A" w:rsidRPr="00DE5914" w14:paraId="58156C58" w14:textId="77777777" w:rsidTr="009B07DB">
        <w:trPr>
          <w:trHeight w:val="745"/>
        </w:trPr>
        <w:tc>
          <w:tcPr>
            <w:tcW w:w="1702" w:type="dxa"/>
          </w:tcPr>
          <w:p w14:paraId="03686206" w14:textId="77777777" w:rsidR="00BF0F1A" w:rsidRPr="00057B1B" w:rsidRDefault="00BF0F1A" w:rsidP="009B07DB">
            <w:pPr>
              <w:spacing w:after="0" w:line="240" w:lineRule="auto"/>
              <w:rPr>
                <w:rFonts w:ascii="Times New Roman" w:hAnsi="Times New Roman" w:cs="Times New Roman"/>
                <w:b/>
                <w:sz w:val="20"/>
                <w:szCs w:val="20"/>
              </w:rPr>
            </w:pPr>
            <w:r w:rsidRPr="00057B1B">
              <w:rPr>
                <w:rFonts w:ascii="Times New Roman" w:hAnsi="Times New Roman" w:cs="Times New Roman"/>
                <w:sz w:val="20"/>
                <w:szCs w:val="20"/>
              </w:rPr>
              <w:t>Zhao et al., 2020 (1164)</w:t>
            </w:r>
          </w:p>
        </w:tc>
        <w:tc>
          <w:tcPr>
            <w:tcW w:w="567" w:type="dxa"/>
          </w:tcPr>
          <w:p w14:paraId="56853048" w14:textId="77777777" w:rsidR="00BF0F1A" w:rsidRPr="00057B1B" w:rsidRDefault="00BF0F1A" w:rsidP="009B07DB">
            <w:pPr>
              <w:spacing w:after="0" w:line="240" w:lineRule="auto"/>
              <w:jc w:val="center"/>
              <w:rPr>
                <w:rFonts w:ascii="Times New Roman" w:hAnsi="Times New Roman" w:cs="Times New Roman"/>
                <w:sz w:val="20"/>
                <w:szCs w:val="20"/>
              </w:rPr>
            </w:pPr>
            <w:r w:rsidRPr="00057B1B">
              <w:rPr>
                <w:rFonts w:ascii="Times New Roman" w:hAnsi="Times New Roman" w:cs="Times New Roman"/>
                <w:sz w:val="20"/>
                <w:szCs w:val="20"/>
              </w:rPr>
              <w:sym w:font="Wingdings" w:char="F0FC"/>
            </w:r>
          </w:p>
        </w:tc>
        <w:tc>
          <w:tcPr>
            <w:tcW w:w="1276" w:type="dxa"/>
          </w:tcPr>
          <w:p w14:paraId="4E9A2B86"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China</w:t>
            </w:r>
          </w:p>
        </w:tc>
        <w:tc>
          <w:tcPr>
            <w:tcW w:w="1275" w:type="dxa"/>
          </w:tcPr>
          <w:p w14:paraId="0B8486B4"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COVID-19</w:t>
            </w:r>
          </w:p>
        </w:tc>
        <w:tc>
          <w:tcPr>
            <w:tcW w:w="2126" w:type="dxa"/>
          </w:tcPr>
          <w:p w14:paraId="763064C1" w14:textId="77777777" w:rsidR="00BF0F1A" w:rsidRPr="00057B1B" w:rsidRDefault="00BF0F1A" w:rsidP="009B07DB">
            <w:pPr>
              <w:spacing w:after="0" w:line="240" w:lineRule="auto"/>
              <w:rPr>
                <w:rFonts w:ascii="Times New Roman" w:hAnsi="Times New Roman" w:cs="Times New Roman"/>
                <w:sz w:val="20"/>
                <w:szCs w:val="20"/>
              </w:rPr>
            </w:pPr>
            <w:r w:rsidRPr="00057B1B">
              <w:rPr>
                <w:rFonts w:ascii="Times New Roman" w:hAnsi="Times New Roman" w:cs="Times New Roman"/>
                <w:sz w:val="20"/>
                <w:szCs w:val="20"/>
              </w:rPr>
              <w:t>Patients with COVID-19</w:t>
            </w:r>
          </w:p>
        </w:tc>
        <w:tc>
          <w:tcPr>
            <w:tcW w:w="3686" w:type="dxa"/>
            <w:gridSpan w:val="2"/>
          </w:tcPr>
          <w:p w14:paraId="39963740" w14:textId="77777777" w:rsidR="00BF0F1A" w:rsidRPr="00700670" w:rsidRDefault="00BF0F1A" w:rsidP="009B07DB">
            <w:pPr>
              <w:spacing w:after="0" w:line="240" w:lineRule="auto"/>
              <w:rPr>
                <w:rFonts w:ascii="Times New Roman" w:hAnsi="Times New Roman" w:cs="Times New Roman"/>
                <w:sz w:val="20"/>
                <w:szCs w:val="20"/>
              </w:rPr>
            </w:pPr>
            <w:r>
              <w:rPr>
                <w:rFonts w:ascii="Times New Roman" w:hAnsi="Times New Roman" w:cs="Times New Roman"/>
                <w:b/>
                <w:sz w:val="20"/>
                <w:szCs w:val="20"/>
              </w:rPr>
              <w:t>A</w:t>
            </w:r>
            <w:r w:rsidRPr="00700670">
              <w:rPr>
                <w:rFonts w:ascii="Times New Roman" w:hAnsi="Times New Roman" w:cs="Times New Roman"/>
                <w:b/>
                <w:sz w:val="20"/>
                <w:szCs w:val="20"/>
              </w:rPr>
              <w:t>ctive smoking</w:t>
            </w:r>
            <w:r w:rsidRPr="00700670">
              <w:rPr>
                <w:rFonts w:ascii="Times New Roman" w:hAnsi="Times New Roman" w:cs="Times New Roman"/>
                <w:sz w:val="20"/>
                <w:szCs w:val="20"/>
              </w:rPr>
              <w:t xml:space="preserve"> increased the risk of severe COVID-19, </w:t>
            </w:r>
            <w:r>
              <w:rPr>
                <w:rFonts w:ascii="Times New Roman" w:hAnsi="Times New Roman" w:cs="Times New Roman"/>
                <w:sz w:val="20"/>
                <w:szCs w:val="20"/>
              </w:rPr>
              <w:t xml:space="preserve">but </w:t>
            </w:r>
            <w:r w:rsidRPr="00700670">
              <w:rPr>
                <w:rFonts w:ascii="Times New Roman" w:hAnsi="Times New Roman" w:cs="Times New Roman"/>
                <w:sz w:val="20"/>
                <w:szCs w:val="20"/>
              </w:rPr>
              <w:t xml:space="preserve">the result was influenced by one study. After </w:t>
            </w:r>
            <w:r>
              <w:rPr>
                <w:rFonts w:ascii="Times New Roman" w:hAnsi="Times New Roman" w:cs="Times New Roman"/>
                <w:sz w:val="20"/>
                <w:szCs w:val="20"/>
              </w:rPr>
              <w:t>its removal</w:t>
            </w:r>
            <w:r w:rsidRPr="00700670">
              <w:rPr>
                <w:rFonts w:ascii="Times New Roman" w:hAnsi="Times New Roman" w:cs="Times New Roman"/>
                <w:sz w:val="20"/>
                <w:szCs w:val="20"/>
              </w:rPr>
              <w:t>, the association was non-significant.</w:t>
            </w:r>
          </w:p>
        </w:tc>
        <w:tc>
          <w:tcPr>
            <w:tcW w:w="425" w:type="dxa"/>
            <w:tcBorders>
              <w:right w:val="single" w:sz="4" w:space="0" w:color="auto"/>
            </w:tcBorders>
          </w:tcPr>
          <w:p w14:paraId="52D264E5"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057B1B">
              <w:rPr>
                <w:rFonts w:ascii="Times New Roman" w:hAnsi="Times New Roman" w:cs="Times New Roman"/>
                <w:sz w:val="20"/>
              </w:rPr>
              <w:t>↑</w:t>
            </w:r>
            <w:r>
              <w:rPr>
                <w:rFonts w:ascii="Times New Roman" w:hAnsi="Times New Roman" w:cs="Times New Roman"/>
                <w:sz w:val="20"/>
              </w:rPr>
              <w:t>-</w:t>
            </w:r>
          </w:p>
        </w:tc>
        <w:tc>
          <w:tcPr>
            <w:tcW w:w="284" w:type="dxa"/>
            <w:tcBorders>
              <w:left w:val="single" w:sz="4" w:space="0" w:color="auto"/>
            </w:tcBorders>
          </w:tcPr>
          <w:p w14:paraId="6C758C7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7499B06D"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47123CA9"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5" w:type="dxa"/>
          </w:tcPr>
          <w:p w14:paraId="21ADEB00"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281D1D0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426" w:type="dxa"/>
          </w:tcPr>
          <w:p w14:paraId="7FEFF1C1"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567" w:type="dxa"/>
          </w:tcPr>
          <w:p w14:paraId="331A733F"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8C414BA"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4" w:type="dxa"/>
          </w:tcPr>
          <w:p w14:paraId="355BD912"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Y</w:t>
            </w:r>
          </w:p>
        </w:tc>
        <w:tc>
          <w:tcPr>
            <w:tcW w:w="283" w:type="dxa"/>
          </w:tcPr>
          <w:p w14:paraId="1FA3558B" w14:textId="77777777" w:rsidR="00BF0F1A" w:rsidRPr="00FC4F8D" w:rsidRDefault="00BF0F1A" w:rsidP="009B07DB">
            <w:pPr>
              <w:spacing w:after="0" w:line="240" w:lineRule="auto"/>
              <w:ind w:hanging="97"/>
              <w:jc w:val="center"/>
              <w:rPr>
                <w:rFonts w:ascii="Times New Roman" w:hAnsi="Times New Roman" w:cs="Times New Roman"/>
                <w:sz w:val="20"/>
                <w:szCs w:val="20"/>
              </w:rPr>
            </w:pPr>
            <w:r w:rsidRPr="00FC4F8D">
              <w:rPr>
                <w:rFonts w:ascii="Times New Roman" w:hAnsi="Times New Roman" w:cs="Times New Roman"/>
                <w:sz w:val="20"/>
                <w:szCs w:val="20"/>
              </w:rPr>
              <w:t>7</w:t>
            </w:r>
          </w:p>
        </w:tc>
      </w:tr>
    </w:tbl>
    <w:p w14:paraId="48EA444F" w14:textId="77777777" w:rsidR="00BF0F1A" w:rsidRDefault="00BF0F1A" w:rsidP="00BF0F1A">
      <w:pPr>
        <w:spacing w:after="0"/>
        <w:rPr>
          <w:rFonts w:ascii="Times New Roman" w:hAnsi="Times New Roman" w:cs="Times New Roman"/>
          <w:iCs/>
          <w:sz w:val="20"/>
        </w:rPr>
      </w:pPr>
      <w:r w:rsidRPr="0060611F">
        <w:rPr>
          <w:rFonts w:ascii="Times New Roman" w:hAnsi="Times New Roman" w:cs="Times New Roman"/>
          <w:sz w:val="18"/>
          <w:szCs w:val="18"/>
        </w:rPr>
        <w:t>Y, yes; N, no; CT, can’t tell; P, partially. * 1 = extensive flaws, 3 = major flaws, 5 = minor flaws, 7 = minimal flaws.</w:t>
      </w:r>
      <w:r>
        <w:rPr>
          <w:rFonts w:ascii="Times New Roman" w:hAnsi="Times New Roman" w:cs="Times New Roman"/>
          <w:sz w:val="18"/>
          <w:szCs w:val="18"/>
        </w:rPr>
        <w:t xml:space="preserve"> *</w:t>
      </w:r>
      <w:r w:rsidRPr="0060611F">
        <w:rPr>
          <w:rFonts w:ascii="Times New Roman" w:hAnsi="Times New Roman" w:cs="Times New Roman"/>
          <w:iCs/>
          <w:sz w:val="20"/>
        </w:rPr>
        <w:t>↑ = increased risk;</w:t>
      </w:r>
      <w:r>
        <w:rPr>
          <w:rFonts w:ascii="Times New Roman" w:hAnsi="Times New Roman" w:cs="Times New Roman"/>
          <w:b/>
          <w:bCs/>
          <w:iCs/>
          <w:sz w:val="20"/>
        </w:rPr>
        <w:t xml:space="preserve"> </w:t>
      </w:r>
      <w:r w:rsidRPr="0060611F">
        <w:rPr>
          <w:rFonts w:ascii="Times New Roman" w:hAnsi="Times New Roman" w:cs="Times New Roman"/>
          <w:iCs/>
          <w:sz w:val="20"/>
        </w:rPr>
        <w:t>↓ = decreased risk;</w:t>
      </w:r>
      <w:r w:rsidRPr="0060611F">
        <w:rPr>
          <w:rFonts w:ascii="Times New Roman" w:hAnsi="Times New Roman" w:cs="Times New Roman"/>
          <w:b/>
          <w:bCs/>
          <w:iCs/>
          <w:sz w:val="20"/>
        </w:rPr>
        <w:t xml:space="preserve"> </w:t>
      </w:r>
      <w:r w:rsidRPr="0060611F">
        <w:rPr>
          <w:rFonts w:ascii="Times New Roman" w:hAnsi="Times New Roman" w:cs="Times New Roman"/>
          <w:iCs/>
          <w:sz w:val="20"/>
        </w:rPr>
        <w:t>— = no association reported</w:t>
      </w:r>
    </w:p>
    <w:p w14:paraId="5E4B6A75" w14:textId="77777777" w:rsidR="00FC4924" w:rsidRPr="00BF0F1A" w:rsidRDefault="00BF0F1A" w:rsidP="00BF0F1A">
      <w:pPr>
        <w:spacing w:after="100" w:afterAutospacing="1"/>
        <w:rPr>
          <w:rFonts w:ascii="Times New Roman" w:hAnsi="Times New Roman" w:cs="Times New Roman"/>
          <w:sz w:val="18"/>
          <w:szCs w:val="18"/>
        </w:rPr>
      </w:pPr>
      <w:r>
        <w:rPr>
          <w:rFonts w:ascii="Times New Roman" w:hAnsi="Times New Roman" w:cs="Times New Roman"/>
          <w:iCs/>
          <w:sz w:val="20"/>
        </w:rPr>
        <w:t xml:space="preserve">MA = meta-analysis; TB = tuberculosis; DR-TB = drug-resistant tuberculosis; MDR-TB = multi-drug resistant tuberculosis; DS-TB = drug-susceptible tuberculosis; XDR-TB = extensively drug resistant tuberculosis; LTBI = latent tuberculosis infection; HIV = human immunodeficiency virus; AIDS = acquired immunodeficiency syndrome; HCV = hepatitis C virus; HBV = hepatitis B virus; HDV = hepatitis D virus; ARLI = acute lower respiratory infection; CAP = community acquired pneumonia; IBD = invasive bacterial disease; IPB = invasive pneumococcal disease; IMD = invasive meningococcal disease; IHD = invasive </w:t>
      </w:r>
      <w:proofErr w:type="spellStart"/>
      <w:r>
        <w:rPr>
          <w:rFonts w:ascii="Times New Roman" w:hAnsi="Times New Roman" w:cs="Times New Roman"/>
          <w:iCs/>
          <w:sz w:val="20"/>
        </w:rPr>
        <w:t>hib</w:t>
      </w:r>
      <w:proofErr w:type="spellEnd"/>
      <w:r>
        <w:rPr>
          <w:rFonts w:ascii="Times New Roman" w:hAnsi="Times New Roman" w:cs="Times New Roman"/>
          <w:iCs/>
          <w:sz w:val="20"/>
        </w:rPr>
        <w:t xml:space="preserve"> disease; </w:t>
      </w:r>
      <w:proofErr w:type="spellStart"/>
      <w:r>
        <w:rPr>
          <w:rFonts w:ascii="Times New Roman" w:hAnsi="Times New Roman" w:cs="Times New Roman"/>
          <w:iCs/>
          <w:sz w:val="20"/>
        </w:rPr>
        <w:t>HBsAg</w:t>
      </w:r>
      <w:proofErr w:type="spellEnd"/>
      <w:r>
        <w:rPr>
          <w:rFonts w:ascii="Times New Roman" w:hAnsi="Times New Roman" w:cs="Times New Roman"/>
          <w:iCs/>
          <w:sz w:val="20"/>
        </w:rPr>
        <w:t xml:space="preserve"> = Hepatitis B surface antigen; PWID = people who inject drugs; SHS = second hand smoke; ETS = environmental tobacco smoke; SVR = sustained </w:t>
      </w:r>
      <w:proofErr w:type="spellStart"/>
      <w:r>
        <w:rPr>
          <w:rFonts w:ascii="Times New Roman" w:hAnsi="Times New Roman" w:cs="Times New Roman"/>
          <w:iCs/>
          <w:sz w:val="20"/>
        </w:rPr>
        <w:t>virological</w:t>
      </w:r>
      <w:proofErr w:type="spellEnd"/>
      <w:r>
        <w:rPr>
          <w:rFonts w:ascii="Times New Roman" w:hAnsi="Times New Roman" w:cs="Times New Roman"/>
          <w:iCs/>
          <w:sz w:val="20"/>
        </w:rPr>
        <w:t xml:space="preserve"> response; ICU = intensive care unit; IMV = invasive mechanical ventilation; SES = socio-economic status.</w:t>
      </w:r>
      <w:bookmarkStart w:id="0" w:name="_GoBack"/>
      <w:bookmarkEnd w:id="0"/>
    </w:p>
    <w:sectPr w:rsidR="00FC4924" w:rsidRPr="00BF0F1A" w:rsidSect="00BF0F1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D82EC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35DE8"/>
    <w:multiLevelType w:val="hybridMultilevel"/>
    <w:tmpl w:val="209C4A0C"/>
    <w:lvl w:ilvl="0" w:tplc="F792543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981CC9"/>
    <w:multiLevelType w:val="hybridMultilevel"/>
    <w:tmpl w:val="D90E8FA0"/>
    <w:lvl w:ilvl="0" w:tplc="F91E9F24">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C2AE9"/>
    <w:multiLevelType w:val="hybridMultilevel"/>
    <w:tmpl w:val="762CDB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70460F"/>
    <w:multiLevelType w:val="hybridMultilevel"/>
    <w:tmpl w:val="711490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043DF1"/>
    <w:multiLevelType w:val="hybridMultilevel"/>
    <w:tmpl w:val="B714FC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D5322E"/>
    <w:multiLevelType w:val="hybridMultilevel"/>
    <w:tmpl w:val="286AD3C4"/>
    <w:lvl w:ilvl="0" w:tplc="09A68FB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FC3F64"/>
    <w:multiLevelType w:val="hybridMultilevel"/>
    <w:tmpl w:val="B3D809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D4E05"/>
    <w:multiLevelType w:val="hybridMultilevel"/>
    <w:tmpl w:val="C5026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40B42"/>
    <w:multiLevelType w:val="hybridMultilevel"/>
    <w:tmpl w:val="F3A24A5E"/>
    <w:lvl w:ilvl="0" w:tplc="7ACAF51C">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A73529C"/>
    <w:multiLevelType w:val="hybridMultilevel"/>
    <w:tmpl w:val="89946A9C"/>
    <w:lvl w:ilvl="0" w:tplc="08782F6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930E62"/>
    <w:multiLevelType w:val="hybridMultilevel"/>
    <w:tmpl w:val="BFCEC972"/>
    <w:lvl w:ilvl="0" w:tplc="C0A64D6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D130568"/>
    <w:multiLevelType w:val="hybridMultilevel"/>
    <w:tmpl w:val="4712E486"/>
    <w:lvl w:ilvl="0" w:tplc="738EA54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8"/>
  </w:num>
  <w:num w:numId="5">
    <w:abstractNumId w:val="6"/>
  </w:num>
  <w:num w:numId="6">
    <w:abstractNumId w:val="4"/>
  </w:num>
  <w:num w:numId="7">
    <w:abstractNumId w:val="0"/>
  </w:num>
  <w:num w:numId="8">
    <w:abstractNumId w:val="10"/>
  </w:num>
  <w:num w:numId="9">
    <w:abstractNumId w:val="9"/>
  </w:num>
  <w:num w:numId="10">
    <w:abstractNumId w:val="2"/>
  </w:num>
  <w:num w:numId="11">
    <w:abstractNumId w:val="11"/>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1A"/>
    <w:rsid w:val="00BF0F1A"/>
    <w:rsid w:val="00FC4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D10F"/>
  <w15:chartTrackingRefBased/>
  <w15:docId w15:val="{F4011B02-1097-4B24-A23C-290E467C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F1A"/>
  </w:style>
  <w:style w:type="paragraph" w:styleId="Heading2">
    <w:name w:val="heading 2"/>
    <w:basedOn w:val="Normal"/>
    <w:next w:val="Normal"/>
    <w:link w:val="Heading2Char"/>
    <w:uiPriority w:val="9"/>
    <w:semiHidden/>
    <w:unhideWhenUsed/>
    <w:qFormat/>
    <w:rsid w:val="00BF0F1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F0F1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F0F1A"/>
    <w:pPr>
      <w:ind w:left="720"/>
      <w:contextualSpacing/>
    </w:pPr>
  </w:style>
  <w:style w:type="paragraph" w:styleId="BalloonText">
    <w:name w:val="Balloon Text"/>
    <w:basedOn w:val="Normal"/>
    <w:link w:val="BalloonTextChar"/>
    <w:uiPriority w:val="99"/>
    <w:semiHidden/>
    <w:unhideWhenUsed/>
    <w:rsid w:val="00BF0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F1A"/>
    <w:rPr>
      <w:rFonts w:ascii="Segoe UI" w:hAnsi="Segoe UI" w:cs="Segoe UI"/>
      <w:sz w:val="18"/>
      <w:szCs w:val="18"/>
    </w:rPr>
  </w:style>
  <w:style w:type="character" w:styleId="CommentReference">
    <w:name w:val="annotation reference"/>
    <w:basedOn w:val="DefaultParagraphFont"/>
    <w:uiPriority w:val="99"/>
    <w:semiHidden/>
    <w:unhideWhenUsed/>
    <w:rsid w:val="00BF0F1A"/>
    <w:rPr>
      <w:sz w:val="16"/>
      <w:szCs w:val="16"/>
    </w:rPr>
  </w:style>
  <w:style w:type="paragraph" w:styleId="CommentText">
    <w:name w:val="annotation text"/>
    <w:basedOn w:val="Normal"/>
    <w:link w:val="CommentTextChar"/>
    <w:uiPriority w:val="99"/>
    <w:unhideWhenUsed/>
    <w:rsid w:val="00BF0F1A"/>
    <w:pPr>
      <w:spacing w:line="240" w:lineRule="auto"/>
    </w:pPr>
    <w:rPr>
      <w:sz w:val="20"/>
      <w:szCs w:val="20"/>
    </w:rPr>
  </w:style>
  <w:style w:type="character" w:customStyle="1" w:styleId="CommentTextChar">
    <w:name w:val="Comment Text Char"/>
    <w:basedOn w:val="DefaultParagraphFont"/>
    <w:link w:val="CommentText"/>
    <w:uiPriority w:val="99"/>
    <w:rsid w:val="00BF0F1A"/>
    <w:rPr>
      <w:sz w:val="20"/>
      <w:szCs w:val="20"/>
    </w:rPr>
  </w:style>
  <w:style w:type="paragraph" w:styleId="CommentSubject">
    <w:name w:val="annotation subject"/>
    <w:basedOn w:val="CommentText"/>
    <w:next w:val="CommentText"/>
    <w:link w:val="CommentSubjectChar"/>
    <w:uiPriority w:val="99"/>
    <w:semiHidden/>
    <w:unhideWhenUsed/>
    <w:rsid w:val="00BF0F1A"/>
    <w:rPr>
      <w:b/>
      <w:bCs/>
    </w:rPr>
  </w:style>
  <w:style w:type="character" w:customStyle="1" w:styleId="CommentSubjectChar">
    <w:name w:val="Comment Subject Char"/>
    <w:basedOn w:val="CommentTextChar"/>
    <w:link w:val="CommentSubject"/>
    <w:uiPriority w:val="99"/>
    <w:semiHidden/>
    <w:rsid w:val="00BF0F1A"/>
    <w:rPr>
      <w:b/>
      <w:bCs/>
      <w:sz w:val="20"/>
      <w:szCs w:val="20"/>
    </w:rPr>
  </w:style>
  <w:style w:type="table" w:styleId="PlainTable2">
    <w:name w:val="Plain Table 2"/>
    <w:basedOn w:val="TableNormal"/>
    <w:uiPriority w:val="42"/>
    <w:rsid w:val="00BF0F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BF0F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F1A"/>
  </w:style>
  <w:style w:type="paragraph" w:styleId="Footer">
    <w:name w:val="footer"/>
    <w:basedOn w:val="Normal"/>
    <w:link w:val="FooterChar"/>
    <w:uiPriority w:val="99"/>
    <w:unhideWhenUsed/>
    <w:rsid w:val="00BF0F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F1A"/>
  </w:style>
  <w:style w:type="table" w:styleId="TableGridLight">
    <w:name w:val="Grid Table Light"/>
    <w:basedOn w:val="TableNormal"/>
    <w:uiPriority w:val="40"/>
    <w:rsid w:val="00BF0F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BF0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0F1A"/>
    <w:rPr>
      <w:color w:val="0563C1" w:themeColor="hyperlink"/>
      <w:u w:val="single"/>
    </w:rPr>
  </w:style>
  <w:style w:type="character" w:styleId="FollowedHyperlink">
    <w:name w:val="FollowedHyperlink"/>
    <w:basedOn w:val="DefaultParagraphFont"/>
    <w:uiPriority w:val="99"/>
    <w:semiHidden/>
    <w:unhideWhenUsed/>
    <w:rsid w:val="00BF0F1A"/>
    <w:rPr>
      <w:color w:val="954F72" w:themeColor="followedHyperlink"/>
      <w:u w:val="single"/>
    </w:rPr>
  </w:style>
  <w:style w:type="character" w:customStyle="1" w:styleId="UnresolvedMention1">
    <w:name w:val="Unresolved Mention1"/>
    <w:basedOn w:val="DefaultParagraphFont"/>
    <w:uiPriority w:val="99"/>
    <w:semiHidden/>
    <w:unhideWhenUsed/>
    <w:rsid w:val="00BF0F1A"/>
    <w:rPr>
      <w:color w:val="605E5C"/>
      <w:shd w:val="clear" w:color="auto" w:fill="E1DFDD"/>
    </w:rPr>
  </w:style>
  <w:style w:type="paragraph" w:styleId="Revision">
    <w:name w:val="Revision"/>
    <w:hidden/>
    <w:uiPriority w:val="99"/>
    <w:semiHidden/>
    <w:rsid w:val="00BF0F1A"/>
    <w:pPr>
      <w:spacing w:after="0" w:line="240" w:lineRule="auto"/>
    </w:pPr>
  </w:style>
  <w:style w:type="character" w:customStyle="1" w:styleId="UnresolvedMention2">
    <w:name w:val="Unresolved Mention2"/>
    <w:basedOn w:val="DefaultParagraphFont"/>
    <w:uiPriority w:val="99"/>
    <w:semiHidden/>
    <w:unhideWhenUsed/>
    <w:rsid w:val="00BF0F1A"/>
    <w:rPr>
      <w:color w:val="605E5C"/>
      <w:shd w:val="clear" w:color="auto" w:fill="E1DFDD"/>
    </w:rPr>
  </w:style>
  <w:style w:type="paragraph" w:styleId="NormalWeb">
    <w:name w:val="Normal (Web)"/>
    <w:basedOn w:val="Normal"/>
    <w:uiPriority w:val="99"/>
    <w:unhideWhenUsed/>
    <w:rsid w:val="00BF0F1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Bullet">
    <w:name w:val="List Bullet"/>
    <w:basedOn w:val="Normal"/>
    <w:uiPriority w:val="99"/>
    <w:unhideWhenUsed/>
    <w:rsid w:val="00BF0F1A"/>
    <w:pPr>
      <w:numPr>
        <w:numId w:val="7"/>
      </w:numPr>
      <w:contextualSpacing/>
    </w:pPr>
  </w:style>
  <w:style w:type="character" w:customStyle="1" w:styleId="ent-postcode">
    <w:name w:val="ent-postcode"/>
    <w:basedOn w:val="DefaultParagraphFont"/>
    <w:rsid w:val="00BF0F1A"/>
  </w:style>
  <w:style w:type="character" w:styleId="Strong">
    <w:name w:val="Strong"/>
    <w:basedOn w:val="DefaultParagraphFont"/>
    <w:uiPriority w:val="22"/>
    <w:qFormat/>
    <w:rsid w:val="00BF0F1A"/>
    <w:rPr>
      <w:b/>
      <w:bCs/>
    </w:rPr>
  </w:style>
  <w:style w:type="character" w:styleId="LineNumber">
    <w:name w:val="line number"/>
    <w:basedOn w:val="DefaultParagraphFont"/>
    <w:uiPriority w:val="99"/>
    <w:semiHidden/>
    <w:unhideWhenUsed/>
    <w:rsid w:val="00BF0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F936CDCDE8F8418920914B3BFFF19C" ma:contentTypeVersion="9" ma:contentTypeDescription="Create a new document." ma:contentTypeScope="" ma:versionID="3ad2373609d4e67e32b377f22c6a823c">
  <xsd:schema xmlns:xsd="http://www.w3.org/2001/XMLSchema" xmlns:xs="http://www.w3.org/2001/XMLSchema" xmlns:p="http://schemas.microsoft.com/office/2006/metadata/properties" xmlns:ns3="f30bebb2-c01f-48d0-81da-dc8b123879c2" targetNamespace="http://schemas.microsoft.com/office/2006/metadata/properties" ma:root="true" ma:fieldsID="1e34c9e2cb7304c6a764f5555085613a" ns3:_="">
    <xsd:import namespace="f30bebb2-c01f-48d0-81da-dc8b123879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bebb2-c01f-48d0-81da-dc8b12387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B0C191-B1F2-4898-A328-3BB766237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bebb2-c01f-48d0-81da-dc8b12387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EA4D9C-EA4F-4A98-881D-CCC6ADF65FB8}">
  <ds:schemaRefs>
    <ds:schemaRef ds:uri="http://schemas.microsoft.com/sharepoint/v3/contenttype/forms"/>
  </ds:schemaRefs>
</ds:datastoreItem>
</file>

<file path=customXml/itemProps3.xml><?xml version="1.0" encoding="utf-8"?>
<ds:datastoreItem xmlns:ds="http://schemas.openxmlformats.org/officeDocument/2006/customXml" ds:itemID="{E7D279AD-8701-4BB2-A752-E9F84A656132}">
  <ds:schemaRefs>
    <ds:schemaRef ds:uri="http://purl.org/dc/elements/1.1/"/>
    <ds:schemaRef ds:uri="http://schemas.microsoft.com/office/2006/metadata/properties"/>
    <ds:schemaRef ds:uri="f30bebb2-c01f-48d0-81da-dc8b123879c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32490</Words>
  <Characters>185194</Characters>
  <Application>Microsoft Office Word</Application>
  <DocSecurity>0</DocSecurity>
  <Lines>1543</Lines>
  <Paragraphs>434</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217250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Wood (Public Health Wales)</dc:creator>
  <cp:keywords/>
  <dc:description/>
  <cp:lastModifiedBy>Sara Wood (Public Health Wales)</cp:lastModifiedBy>
  <cp:revision>1</cp:revision>
  <dcterms:created xsi:type="dcterms:W3CDTF">2021-10-06T10:48:00Z</dcterms:created>
  <dcterms:modified xsi:type="dcterms:W3CDTF">2021-10-06T10:49:00Z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0x01010072F936CDCDE8F8418920914B3BFFF19C</vt:lpwstr>
  </property>
</Properties>
</file>