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48557" w14:textId="77777777" w:rsidR="00A9643B" w:rsidRDefault="00A9643B" w:rsidP="00A9643B">
      <w:pPr>
        <w:pStyle w:val="Title"/>
        <w:rPr>
          <w:lang w:val="en-US"/>
        </w:rPr>
      </w:pPr>
      <w:r>
        <w:rPr>
          <w:lang w:val="en-US"/>
        </w:rPr>
        <w:t>Supplementary Information</w:t>
      </w:r>
    </w:p>
    <w:p w14:paraId="2EDC3DE3" w14:textId="77777777" w:rsidR="00A9643B" w:rsidRDefault="00A9643B" w:rsidP="00A9643B">
      <w:pPr>
        <w:pStyle w:val="Heading1"/>
        <w:rPr>
          <w:lang w:val="en-US"/>
        </w:rPr>
      </w:pPr>
      <w:r>
        <w:rPr>
          <w:lang w:val="en-US"/>
        </w:rPr>
        <w:t>Measures</w:t>
      </w:r>
    </w:p>
    <w:p w14:paraId="523EFACA" w14:textId="77777777" w:rsidR="00A9643B" w:rsidRPr="00E009FD" w:rsidRDefault="00A9643B" w:rsidP="00A9643B">
      <w:pPr>
        <w:pStyle w:val="Heading2"/>
        <w:rPr>
          <w:lang w:val="en-US"/>
        </w:rPr>
      </w:pPr>
      <w:r>
        <w:rPr>
          <w:lang w:val="en-US"/>
        </w:rPr>
        <w:t>Predictors of Topic Proportions</w:t>
      </w:r>
    </w:p>
    <w:p w14:paraId="5528029B" w14:textId="2E8365C8" w:rsidR="00A9643B" w:rsidRDefault="00A9643B" w:rsidP="00A9643B">
      <w:pPr>
        <w:rPr>
          <w:rFonts w:cs="Times New Roman"/>
          <w:szCs w:val="20"/>
          <w:lang w:val="en-US"/>
        </w:rPr>
      </w:pPr>
      <w:r w:rsidRPr="007F4EAB">
        <w:rPr>
          <w:szCs w:val="20"/>
          <w:lang w:val="en-US"/>
        </w:rPr>
        <w:t xml:space="preserve">We included the demographic variables for </w:t>
      </w:r>
      <w:r w:rsidRPr="007F4EAB">
        <w:rPr>
          <w:rFonts w:cs="Times New Roman"/>
          <w:szCs w:val="20"/>
          <w:lang w:val="en-US"/>
        </w:rPr>
        <w:t>country of residence (England</w:t>
      </w:r>
      <w:r>
        <w:rPr>
          <w:rFonts w:cs="Times New Roman"/>
          <w:szCs w:val="20"/>
          <w:lang w:val="en-US"/>
        </w:rPr>
        <w:t xml:space="preserve">, Scotland, Wales, Northern Ireland), sex </w:t>
      </w:r>
      <w:r w:rsidRPr="007F4EAB">
        <w:rPr>
          <w:rFonts w:cs="Times New Roman"/>
          <w:szCs w:val="20"/>
          <w:lang w:val="en-US"/>
        </w:rPr>
        <w:t>(male, female), ethnicity (</w:t>
      </w:r>
      <w:r w:rsidR="00AE7EA4">
        <w:rPr>
          <w:rFonts w:cs="Times New Roman"/>
          <w:szCs w:val="20"/>
          <w:lang w:val="en-US"/>
        </w:rPr>
        <w:t>w</w:t>
      </w:r>
      <w:r w:rsidRPr="007F4EAB">
        <w:rPr>
          <w:rFonts w:cs="Times New Roman"/>
          <w:szCs w:val="20"/>
          <w:lang w:val="en-US"/>
        </w:rPr>
        <w:t>hite</w:t>
      </w:r>
      <w:r>
        <w:rPr>
          <w:rFonts w:cs="Times New Roman"/>
          <w:szCs w:val="20"/>
          <w:lang w:val="en-US"/>
        </w:rPr>
        <w:t>,</w:t>
      </w:r>
      <w:r w:rsidRPr="007F4EAB">
        <w:rPr>
          <w:rFonts w:cs="Times New Roman"/>
          <w:szCs w:val="20"/>
          <w:lang w:val="en-US"/>
        </w:rPr>
        <w:t xml:space="preserve"> </w:t>
      </w:r>
      <w:r w:rsidR="00AE7EA4">
        <w:rPr>
          <w:rFonts w:cs="Times New Roman"/>
          <w:szCs w:val="20"/>
          <w:lang w:val="en-US"/>
        </w:rPr>
        <w:t>n</w:t>
      </w:r>
      <w:r w:rsidRPr="007F4EAB">
        <w:rPr>
          <w:rFonts w:cs="Times New Roman"/>
          <w:szCs w:val="20"/>
          <w:lang w:val="en-US"/>
        </w:rPr>
        <w:t>on-</w:t>
      </w:r>
      <w:r w:rsidR="00AE7EA4">
        <w:rPr>
          <w:rFonts w:cs="Times New Roman"/>
          <w:szCs w:val="20"/>
          <w:lang w:val="en-US"/>
        </w:rPr>
        <w:t>w</w:t>
      </w:r>
      <w:r w:rsidRPr="007F4EAB">
        <w:rPr>
          <w:rFonts w:cs="Times New Roman"/>
          <w:szCs w:val="20"/>
          <w:lang w:val="en-US"/>
        </w:rPr>
        <w:t>hite) and age (</w:t>
      </w:r>
      <w:r w:rsidR="00227E8B">
        <w:rPr>
          <w:rFonts w:cs="Times New Roman"/>
          <w:szCs w:val="20"/>
          <w:lang w:val="en-US"/>
        </w:rPr>
        <w:t>basis splines</w:t>
      </w:r>
      <w:r>
        <w:rPr>
          <w:rFonts w:cs="Times New Roman"/>
          <w:szCs w:val="20"/>
          <w:lang w:val="en-US"/>
        </w:rPr>
        <w:t xml:space="preserve">, degrees of freedom </w:t>
      </w:r>
      <w:r w:rsidR="00227E8B">
        <w:rPr>
          <w:rFonts w:cs="Times New Roman"/>
          <w:szCs w:val="20"/>
          <w:lang w:val="en-US"/>
        </w:rPr>
        <w:t>4</w:t>
      </w:r>
      <w:r>
        <w:rPr>
          <w:rFonts w:cs="Times New Roman"/>
          <w:szCs w:val="20"/>
          <w:lang w:val="en-US"/>
        </w:rPr>
        <w:t>).</w:t>
      </w:r>
      <w:r w:rsidRPr="007F4EAB">
        <w:rPr>
          <w:rFonts w:cs="Times New Roman"/>
          <w:szCs w:val="20"/>
          <w:lang w:val="en-US"/>
        </w:rPr>
        <w:t xml:space="preserve"> We also included</w:t>
      </w:r>
      <w:r>
        <w:rPr>
          <w:rFonts w:cs="Times New Roman"/>
          <w:szCs w:val="20"/>
          <w:lang w:val="en-US"/>
        </w:rPr>
        <w:t xml:space="preserve"> three</w:t>
      </w:r>
      <w:r w:rsidRPr="007F4EAB">
        <w:rPr>
          <w:rFonts w:cs="Times New Roman"/>
          <w:szCs w:val="20"/>
          <w:lang w:val="en-US"/>
        </w:rPr>
        <w:t xml:space="preserve"> variables for socio-economic position (SEP): education level (GCSE or below, A-levels or equivalent, degree or above)</w:t>
      </w:r>
      <w:r>
        <w:rPr>
          <w:rFonts w:cs="Times New Roman"/>
          <w:szCs w:val="20"/>
          <w:lang w:val="en-US"/>
        </w:rPr>
        <w:t xml:space="preserve"> and living arrangement (not alone, no child; not alone, with child; alone).</w:t>
      </w:r>
      <w:r w:rsidRPr="007F4EAB">
        <w:rPr>
          <w:rFonts w:cs="Times New Roman"/>
          <w:szCs w:val="20"/>
          <w:lang w:val="en-US"/>
        </w:rPr>
        <w:t xml:space="preserve"> </w:t>
      </w:r>
      <w:r>
        <w:rPr>
          <w:rFonts w:cs="Times New Roman"/>
          <w:szCs w:val="20"/>
          <w:lang w:val="en-US"/>
        </w:rPr>
        <w:t>E</w:t>
      </w:r>
      <w:r w:rsidRPr="007F4EAB">
        <w:rPr>
          <w:rFonts w:cs="Times New Roman"/>
          <w:szCs w:val="20"/>
          <w:lang w:val="en-US"/>
        </w:rPr>
        <w:t>ach variable was measured at baseline interview.</w:t>
      </w:r>
    </w:p>
    <w:p w14:paraId="7AF8CB5F" w14:textId="5E89BDF0" w:rsidR="00A9643B" w:rsidRDefault="00A9643B" w:rsidP="00A9643B">
      <w:pPr>
        <w:rPr>
          <w:rFonts w:cs="Times New Roman"/>
          <w:szCs w:val="20"/>
          <w:lang w:val="en-US"/>
        </w:rPr>
      </w:pPr>
      <w:r w:rsidRPr="007F4EAB">
        <w:rPr>
          <w:rFonts w:cs="Times New Roman"/>
          <w:szCs w:val="20"/>
          <w:lang w:val="en-US"/>
        </w:rPr>
        <w:t xml:space="preserve">Personality was measured at baseline interview using the Big Five Inventory </w:t>
      </w:r>
      <w:r w:rsidRPr="007F4EAB">
        <w:rPr>
          <w:rFonts w:cs="Times New Roman"/>
          <w:szCs w:val="20"/>
          <w:lang w:val="en-US"/>
        </w:rPr>
        <w:fldChar w:fldCharType="begin"/>
      </w:r>
      <w:r w:rsidRPr="007F4EAB">
        <w:rPr>
          <w:rFonts w:cs="Times New Roman"/>
          <w:szCs w:val="20"/>
          <w:lang w:val="en-US"/>
        </w:rPr>
        <w:instrText xml:space="preserve"> ADDIN ZOTERO_ITEM CSL_CITATION {"citationID":"AISdmDjq","properties":{"formattedCitation":"(BFI-2; Soto &amp; John, 2017)","plainCitation":"(BFI-2; Soto &amp; John, 2017)","noteIndex":0},"citationItems":[{"id":3777,"uris":["http://zotero.org/groups/2523953/items/7WB4BL2M"],"uri":["http://zotero.org/groups/2523953/items/7WB4BL2M"],"itemData":{"id":3777,"type":"article-journal","container-title":"Journal of Personality and Social Psychology","DOI":"10.1037/pspp0000096","ISSN":"1939-1315, 0022-3514","issue":"1","journalAbbreviation":"Journal of Personality and Social Psychology","language":"en","page":"117-143","source":"DOI.org (Crossref)","title":"The next Big Five Inventory (BFI-2): Developing and assessing a hierarchical model with 15 facets to enhance bandwidth, fidelity, and predictive power.","title-short":"The next Big Five Inventory (BFI-2)","volume":"113","author":[{"family":"Soto","given":"Christopher J."},{"family":"John","given":"Oliver P."}],"issued":{"date-parts":[["2017"]]}},"prefix":"BFI-2; "}],"schema":"https://github.com/citation-style-language/schema/raw/master/csl-citation.json"} </w:instrText>
      </w:r>
      <w:r w:rsidRPr="007F4EAB">
        <w:rPr>
          <w:rFonts w:cs="Times New Roman"/>
          <w:szCs w:val="20"/>
          <w:lang w:val="en-US"/>
        </w:rPr>
        <w:fldChar w:fldCharType="separate"/>
      </w:r>
      <w:r w:rsidRPr="001F0218">
        <w:rPr>
          <w:rFonts w:cs="Times New Roman"/>
        </w:rPr>
        <w:t>(BFI-2; Soto &amp; John, 2017)</w:t>
      </w:r>
      <w:r w:rsidRPr="007F4EAB">
        <w:rPr>
          <w:rFonts w:cs="Times New Roman"/>
          <w:szCs w:val="20"/>
          <w:lang w:val="en-US"/>
        </w:rPr>
        <w:fldChar w:fldCharType="end"/>
      </w:r>
      <w:r w:rsidRPr="007F4EAB">
        <w:rPr>
          <w:rFonts w:cs="Times New Roman"/>
          <w:szCs w:val="20"/>
          <w:lang w:val="en-US"/>
        </w:rPr>
        <w:t>, which measures five domains and 15 facets: openness (intellectual curiosity, aesthetic sensitivity, and creative imagination), conscientiousness (</w:t>
      </w:r>
      <w:proofErr w:type="spellStart"/>
      <w:r w:rsidRPr="007F4EAB">
        <w:rPr>
          <w:rFonts w:cs="Times New Roman"/>
          <w:szCs w:val="20"/>
          <w:lang w:val="en-US"/>
        </w:rPr>
        <w:t>organisation</w:t>
      </w:r>
      <w:proofErr w:type="spellEnd"/>
      <w:r>
        <w:rPr>
          <w:rFonts w:cs="Times New Roman"/>
          <w:szCs w:val="20"/>
          <w:lang w:val="en-US"/>
        </w:rPr>
        <w:t>,</w:t>
      </w:r>
      <w:r w:rsidRPr="007F4EAB">
        <w:rPr>
          <w:rFonts w:cs="Times New Roman"/>
          <w:szCs w:val="20"/>
          <w:lang w:val="en-US"/>
        </w:rPr>
        <w:t xml:space="preserve"> productiveness, and responsibility),   extraversion (sociability, assertiveness, and energy level), agreeableness (compassion, respectfulness, and trust) and neuroticism (anxiety, depression, and emotional volatility). Each item was scored on a 5-point scale (1 = “strongly disagree”, 5 = “strongly agree”). We use the sum Likert score for each domain (range 3 - 15). High values indicate high levels of the trait.</w:t>
      </w:r>
    </w:p>
    <w:p w14:paraId="359EFE43" w14:textId="01E472DE" w:rsidR="00A9643B" w:rsidRDefault="00A9643B" w:rsidP="00A9643B">
      <w:pPr>
        <w:rPr>
          <w:rFonts w:cs="Times New Roman"/>
          <w:szCs w:val="20"/>
          <w:lang w:val="en-US"/>
        </w:rPr>
      </w:pPr>
      <w:r>
        <w:rPr>
          <w:rFonts w:cs="Times New Roman"/>
          <w:szCs w:val="20"/>
          <w:lang w:val="en-US"/>
        </w:rPr>
        <w:t>Confidence in government was measured with two items: “</w:t>
      </w:r>
      <w:r w:rsidRPr="00E009FD">
        <w:rPr>
          <w:rFonts w:cs="Times New Roman"/>
          <w:szCs w:val="20"/>
          <w:lang w:val="en-US"/>
        </w:rPr>
        <w:t>How much confidence do you have in the CENTRAL UK GOVERNMENT that they can handle Covid-19 well?</w:t>
      </w:r>
      <w:r>
        <w:rPr>
          <w:rFonts w:cs="Times New Roman"/>
          <w:szCs w:val="20"/>
          <w:lang w:val="en-US"/>
        </w:rPr>
        <w:t>”; “</w:t>
      </w:r>
      <w:r w:rsidRPr="00E009FD">
        <w:rPr>
          <w:rFonts w:cs="Times New Roman"/>
          <w:szCs w:val="20"/>
          <w:lang w:val="en-US"/>
        </w:rPr>
        <w:t>If you live in a DEVOLVED NATION (</w:t>
      </w:r>
      <w:proofErr w:type="gramStart"/>
      <w:r w:rsidRPr="00E009FD">
        <w:rPr>
          <w:rFonts w:cs="Times New Roman"/>
          <w:szCs w:val="20"/>
          <w:lang w:val="en-US"/>
        </w:rPr>
        <w:t>i.e.</w:t>
      </w:r>
      <w:proofErr w:type="gramEnd"/>
      <w:r w:rsidRPr="00E009FD">
        <w:rPr>
          <w:rFonts w:cs="Times New Roman"/>
          <w:szCs w:val="20"/>
          <w:lang w:val="en-US"/>
        </w:rPr>
        <w:t xml:space="preserve"> Scotland, Wales or NI), how much confidence do you have in the government WITHIN YOUR OWN COUNTRY that they can handle Covid-19 well?</w:t>
      </w:r>
      <w:r>
        <w:rPr>
          <w:rFonts w:cs="Times New Roman"/>
          <w:szCs w:val="20"/>
          <w:lang w:val="en-US"/>
        </w:rPr>
        <w:t>”. Each was measured on a 1 (None at all) to 7 (Lots) scale. Responsibility for managing the pandemic is devolved to the home nation governments of Wales, Scotland, and Northern Ireland, while the central UK government has powers is responsible for managing the pandemic in England. Thus, we used responses to the first question for participants residing in England and the second question for participants residing in Wales, Scotland, and Northern Ireland. We drew responses from the same data collection as the free-text data.</w:t>
      </w:r>
    </w:p>
    <w:p w14:paraId="6FCFD0C0" w14:textId="77777777" w:rsidR="0068370F" w:rsidRDefault="00A9643B" w:rsidP="00A9643B">
      <w:pPr>
        <w:rPr>
          <w:lang w:eastAsia="en-GB"/>
        </w:rPr>
      </w:pPr>
      <w:r>
        <w:rPr>
          <w:szCs w:val="20"/>
          <w:lang w:eastAsia="en-GB"/>
        </w:rPr>
        <w:t xml:space="preserve">Finally, we included three variables for participants’ health: </w:t>
      </w:r>
      <w:r w:rsidRPr="00F8076B">
        <w:rPr>
          <w:rFonts w:eastAsiaTheme="minorEastAsia" w:cs="Times New Roman"/>
          <w:lang w:val="en-US"/>
        </w:rPr>
        <w:t>pre-existing psychiatric diagnosis,</w:t>
      </w:r>
      <w:r>
        <w:rPr>
          <w:rFonts w:eastAsiaTheme="minorEastAsia" w:cs="Times New Roman"/>
          <w:lang w:val="en-US"/>
        </w:rPr>
        <w:t xml:space="preserve"> shielding due to (own) pre-existing health conditions,</w:t>
      </w:r>
      <w:r w:rsidRPr="00F8076B">
        <w:rPr>
          <w:rFonts w:eastAsiaTheme="minorEastAsia" w:cs="Times New Roman"/>
          <w:lang w:val="en-US"/>
        </w:rPr>
        <w:t xml:space="preserve"> and number of long-term physical health conditions (categorical: 0, 1, 2+).</w:t>
      </w:r>
      <w:r>
        <w:rPr>
          <w:rFonts w:eastAsiaTheme="minorEastAsia" w:cs="Times New Roman"/>
          <w:lang w:val="en-US"/>
        </w:rPr>
        <w:t xml:space="preserve"> </w:t>
      </w:r>
      <w:r>
        <w:rPr>
          <w:szCs w:val="20"/>
          <w:lang w:eastAsia="en-GB"/>
        </w:rPr>
        <w:t>L</w:t>
      </w:r>
      <w:r w:rsidRPr="007F4EAB">
        <w:rPr>
          <w:szCs w:val="20"/>
          <w:lang w:eastAsia="en-GB"/>
        </w:rPr>
        <w:t>ong-term physical health conditions (0, 1, 2+)</w:t>
      </w:r>
      <w:r>
        <w:rPr>
          <w:szCs w:val="20"/>
          <w:lang w:eastAsia="en-GB"/>
        </w:rPr>
        <w:t xml:space="preserve"> was measured</w:t>
      </w:r>
      <w:r w:rsidRPr="007F4EAB">
        <w:rPr>
          <w:szCs w:val="20"/>
          <w:lang w:eastAsia="en-GB"/>
        </w:rPr>
        <w:t xml:space="preserve"> using a multiple-choice question on medical conditions. Included conditions were high blood pressure, diabetes, heart disease, lung disease, cancer, any other </w:t>
      </w:r>
      <w:proofErr w:type="gramStart"/>
      <w:r w:rsidRPr="007F4EAB">
        <w:rPr>
          <w:szCs w:val="20"/>
          <w:lang w:eastAsia="en-GB"/>
        </w:rPr>
        <w:t>clinically-diagnosed</w:t>
      </w:r>
      <w:proofErr w:type="gramEnd"/>
      <w:r w:rsidRPr="007F4EAB">
        <w:rPr>
          <w:szCs w:val="20"/>
          <w:lang w:eastAsia="en-GB"/>
        </w:rPr>
        <w:t xml:space="preserve"> chronic physical health conditions, or any disability. Psychiatric diagnosis (yes, no) was with the same multiple choice question using items on clinically diagnosed depression, clinically diagnosed anxiety, and any other clinically diagnosed mental health problem. The data was collected at baseline interview.</w:t>
      </w:r>
      <w:r>
        <w:rPr>
          <w:lang w:eastAsia="en-GB"/>
        </w:rPr>
        <w:t xml:space="preserve"> S</w:t>
      </w:r>
      <w:r w:rsidRPr="00B35B45">
        <w:rPr>
          <w:lang w:eastAsia="en-GB"/>
        </w:rPr>
        <w:t>hielding</w:t>
      </w:r>
      <w:r>
        <w:rPr>
          <w:lang w:eastAsia="en-GB"/>
        </w:rPr>
        <w:t xml:space="preserve"> was defined as not leaving home due to being high</w:t>
      </w:r>
    </w:p>
    <w:p w14:paraId="2F8D28D5" w14:textId="18898C15" w:rsidR="00A9643B" w:rsidRDefault="00A9643B" w:rsidP="00A9643B">
      <w:pPr>
        <w:rPr>
          <w:lang w:eastAsia="en-GB"/>
        </w:rPr>
      </w:pPr>
      <w:r>
        <w:rPr>
          <w:lang w:eastAsia="en-GB"/>
        </w:rPr>
        <w:lastRenderedPageBreak/>
        <w:t xml:space="preserve"> risk. </w:t>
      </w:r>
      <w:r w:rsidRPr="00B35B45">
        <w:rPr>
          <w:lang w:eastAsia="en-GB"/>
        </w:rPr>
        <w:t xml:space="preserve">Survey items on </w:t>
      </w:r>
      <w:r>
        <w:rPr>
          <w:lang w:eastAsia="en-GB"/>
        </w:rPr>
        <w:t>shielding</w:t>
      </w:r>
      <w:r w:rsidRPr="00B35B45">
        <w:rPr>
          <w:lang w:eastAsia="en-GB"/>
        </w:rPr>
        <w:t xml:space="preserve"> were included in all data collections from </w:t>
      </w:r>
      <w:r>
        <w:rPr>
          <w:lang w:eastAsia="en-GB"/>
        </w:rPr>
        <w:t>23 March – 04 July</w:t>
      </w:r>
      <w:r w:rsidRPr="00B35B45">
        <w:rPr>
          <w:lang w:eastAsia="en-GB"/>
        </w:rPr>
        <w:t xml:space="preserve"> </w:t>
      </w:r>
      <w:r>
        <w:rPr>
          <w:lang w:eastAsia="en-GB"/>
        </w:rPr>
        <w:t>2020</w:t>
      </w:r>
      <w:r w:rsidRPr="00B35B45">
        <w:rPr>
          <w:lang w:eastAsia="en-GB"/>
        </w:rPr>
        <w:t xml:space="preserve">. </w:t>
      </w:r>
      <w:r>
        <w:rPr>
          <w:lang w:eastAsia="en-GB"/>
        </w:rPr>
        <w:t>W</w:t>
      </w:r>
      <w:r w:rsidRPr="00B35B45">
        <w:rPr>
          <w:lang w:eastAsia="en-GB"/>
        </w:rPr>
        <w:t>e define</w:t>
      </w:r>
      <w:r>
        <w:rPr>
          <w:lang w:eastAsia="en-GB"/>
        </w:rPr>
        <w:t>d</w:t>
      </w:r>
      <w:r w:rsidRPr="00B35B45">
        <w:rPr>
          <w:lang w:eastAsia="en-GB"/>
        </w:rPr>
        <w:t xml:space="preserve"> a person as shielding if they stated </w:t>
      </w:r>
      <w:r>
        <w:rPr>
          <w:lang w:eastAsia="en-GB"/>
        </w:rPr>
        <w:t>shielding</w:t>
      </w:r>
      <w:r w:rsidRPr="00B35B45">
        <w:rPr>
          <w:lang w:eastAsia="en-GB"/>
        </w:rPr>
        <w:t xml:space="preserve"> at any data collection</w:t>
      </w:r>
      <w:r>
        <w:rPr>
          <w:lang w:eastAsia="en-GB"/>
        </w:rPr>
        <w:t xml:space="preserve"> between these dates.</w:t>
      </w:r>
    </w:p>
    <w:p w14:paraId="55643AB6" w14:textId="77777777" w:rsidR="00A9643B" w:rsidRDefault="00A9643B" w:rsidP="00A9643B">
      <w:pPr>
        <w:pStyle w:val="Heading2"/>
        <w:rPr>
          <w:lang w:val="en-US"/>
        </w:rPr>
      </w:pPr>
      <w:r>
        <w:rPr>
          <w:lang w:val="en-US"/>
        </w:rPr>
        <w:t>Self-Reported Compliance with Guidelines</w:t>
      </w:r>
    </w:p>
    <w:p w14:paraId="012D2EF7" w14:textId="77777777" w:rsidR="00A9643B" w:rsidRPr="00952B5D" w:rsidRDefault="00A9643B" w:rsidP="00A9643B">
      <w:pPr>
        <w:rPr>
          <w:lang w:val="en-US"/>
        </w:rPr>
      </w:pPr>
      <w:r>
        <w:t>Self-reported compliance with COVID-19 guidelines was measured with a single item: “</w:t>
      </w:r>
      <w:r w:rsidRPr="00E0368B">
        <w:t>Are you following the recommendations from authorities to prevent spread of Covid-19?</w:t>
      </w:r>
      <w:r>
        <w:t>”. Responses were scored on a 1 (“Not at all”) to 7 (“Very much so”) scale and were drawn from the same data collection as the free-text data.</w:t>
      </w:r>
    </w:p>
    <w:p w14:paraId="3D6F5AD9" w14:textId="77777777" w:rsidR="00A9643B" w:rsidRPr="007A3909" w:rsidRDefault="00A9643B" w:rsidP="00A9643B">
      <w:pPr>
        <w:pStyle w:val="Heading1"/>
        <w:rPr>
          <w:lang w:val="en-US"/>
        </w:rPr>
      </w:pPr>
      <w:r w:rsidRPr="007A3909">
        <w:rPr>
          <w:lang w:val="en-US"/>
        </w:rPr>
        <w:t>Policy Environment</w:t>
      </w:r>
    </w:p>
    <w:p w14:paraId="73FD1B9C" w14:textId="77777777" w:rsidR="00A9643B" w:rsidRPr="007A3909" w:rsidRDefault="00A9643B" w:rsidP="00A9643B">
      <w:pPr>
        <w:rPr>
          <w:lang w:val="en-US"/>
        </w:rPr>
      </w:pPr>
      <w:r w:rsidRPr="007A3909">
        <w:rPr>
          <w:lang w:val="en-US"/>
        </w:rPr>
        <w:t xml:space="preserve">The period 17 November to 23 December 2020 overlaps with the second wave of COVID-19 in the UK in which there were several changes to COVID-19 related rules. The rules differed somewhat between the nations of England, Scotland, Wales, and Northern Ireland, though mask wearing in indoor public spaces was legally mandated in each nation. On 17 November, England was two weeks into a four-week national lockdown in which non-essential business were closed, employees were asked to work from home where possible, and household mixing was banned. A new three-tier system was put in place from 2 December when lockdown ended. Several areas were placed in the highest tier. In Wales, rules were more relaxed, following a three week “circuit breaker” lockdown that ended on 9 November. Two households were allowed to form bubbles, non-essential shops were </w:t>
      </w:r>
      <w:proofErr w:type="gramStart"/>
      <w:r w:rsidRPr="007A3909">
        <w:rPr>
          <w:lang w:val="en-US"/>
        </w:rPr>
        <w:t>open</w:t>
      </w:r>
      <w:proofErr w:type="gramEnd"/>
      <w:r w:rsidRPr="007A3909">
        <w:rPr>
          <w:lang w:val="en-US"/>
        </w:rPr>
        <w:t xml:space="preserve"> and groups of four people were allowed to meet in indoor public spaces. In Scotland, a five-tier </w:t>
      </w:r>
      <w:proofErr w:type="spellStart"/>
      <w:r w:rsidRPr="007A3909">
        <w:rPr>
          <w:lang w:val="en-US"/>
        </w:rPr>
        <w:t>localised</w:t>
      </w:r>
      <w:proofErr w:type="spellEnd"/>
      <w:r w:rsidRPr="007A3909">
        <w:rPr>
          <w:lang w:val="en-US"/>
        </w:rPr>
        <w:t xml:space="preserve"> system was in place. On 20 November, eleven council areas were placed in tier 4 and non-essential travel between Scotland and England was banned. Northern Ireland was in a circuit breaker lockdown, due to expire on 27 November. Following this, strict rules are put in place, with non-essential shop barred from opening and limited household mixing allowed. </w:t>
      </w:r>
    </w:p>
    <w:p w14:paraId="1942465F" w14:textId="52B410F0" w:rsidR="0068370F" w:rsidRDefault="00A9643B" w:rsidP="0068370F">
      <w:pPr>
        <w:rPr>
          <w:lang w:val="en-US"/>
        </w:rPr>
      </w:pPr>
      <w:r w:rsidRPr="007A3909">
        <w:rPr>
          <w:lang w:val="en-US"/>
        </w:rPr>
        <w:t xml:space="preserve">On 24 November, the leads of the four national Governments announced plans to allow mixing of three households for five days between 23-27 December (22-28 December in Northern Ireland), though these plans were later reduced and restricted in some areas. On 2 December, the UK approved the Pfizer/BioNTech COVID-19 vaccine with the first vaccination provided on 8 December. 137,987 people were vaccinated in the first week. On 14 December, a new, more virulent variant of SARS-CoV-2 is identified. Areas in the </w:t>
      </w:r>
      <w:proofErr w:type="gramStart"/>
      <w:r w:rsidRPr="007A3909">
        <w:rPr>
          <w:lang w:val="en-US"/>
        </w:rPr>
        <w:t>South East</w:t>
      </w:r>
      <w:proofErr w:type="gramEnd"/>
      <w:r w:rsidRPr="007A3909">
        <w:rPr>
          <w:lang w:val="en-US"/>
        </w:rPr>
        <w:t xml:space="preserve"> of England are placed into lockdown from 19 December, with Christmas bubbles cancelled in these areas and relaxation elsewhere in England limited to Christmas day. Figure S</w:t>
      </w:r>
      <w:r>
        <w:rPr>
          <w:lang w:val="en-US"/>
        </w:rPr>
        <w:t>2</w:t>
      </w:r>
      <w:r w:rsidRPr="007A3909">
        <w:rPr>
          <w:lang w:val="en-US"/>
        </w:rPr>
        <w:t xml:space="preserve"> shows 7-day COVID-19 caseloads and confirmed deaths, along with the Oxford Policy Tracker, a numerical summary of policy stringency (Hale et al., 2020), across the study period.</w:t>
      </w:r>
    </w:p>
    <w:p w14:paraId="60FA9B68" w14:textId="77777777" w:rsidR="0068370F" w:rsidRDefault="0068370F">
      <w:pPr>
        <w:spacing w:line="259" w:lineRule="auto"/>
        <w:jc w:val="left"/>
        <w:rPr>
          <w:lang w:val="en-US"/>
        </w:rPr>
      </w:pPr>
      <w:r>
        <w:rPr>
          <w:lang w:val="en-US"/>
        </w:rPr>
        <w:br w:type="page"/>
      </w:r>
    </w:p>
    <w:p w14:paraId="209C4EF2" w14:textId="434BD5A4" w:rsidR="0068370F" w:rsidRPr="0068370F" w:rsidRDefault="0068370F" w:rsidP="0068370F">
      <w:r w:rsidRPr="0068370F">
        <w:lastRenderedPageBreak/>
        <w:t>Table S</w:t>
      </w:r>
      <w:r w:rsidR="00AE7EA4">
        <w:fldChar w:fldCharType="begin"/>
      </w:r>
      <w:r w:rsidR="00AE7EA4">
        <w:instrText xml:space="preserve"> SEQ Table \* ARABIC </w:instrText>
      </w:r>
      <w:r w:rsidR="00AE7EA4">
        <w:fldChar w:fldCharType="separate"/>
      </w:r>
      <w:r w:rsidRPr="0068370F">
        <w:rPr>
          <w:noProof/>
        </w:rPr>
        <w:t>1</w:t>
      </w:r>
      <w:r w:rsidR="00AE7EA4">
        <w:rPr>
          <w:noProof/>
        </w:rPr>
        <w:fldChar w:fldCharType="end"/>
      </w:r>
      <w:r w:rsidRPr="0068370F">
        <w:t>: Descriptive Statistics</w:t>
      </w:r>
    </w:p>
    <w:tbl>
      <w:tblPr>
        <w:tblW w:w="5000" w:type="pct"/>
        <w:jc w:val="center"/>
        <w:tblLook w:val="0420" w:firstRow="1" w:lastRow="0" w:firstColumn="0" w:lastColumn="0" w:noHBand="0" w:noVBand="1"/>
      </w:tblPr>
      <w:tblGrid>
        <w:gridCol w:w="1379"/>
        <w:gridCol w:w="1598"/>
        <w:gridCol w:w="1060"/>
        <w:gridCol w:w="814"/>
        <w:gridCol w:w="1060"/>
        <w:gridCol w:w="1060"/>
        <w:gridCol w:w="1060"/>
        <w:gridCol w:w="995"/>
      </w:tblGrid>
      <w:tr w:rsidR="0068370F" w:rsidRPr="001C56AF" w14:paraId="483E1B12" w14:textId="77777777" w:rsidTr="0083591F">
        <w:trPr>
          <w:cantSplit/>
          <w:tblHeader/>
          <w:jc w:val="center"/>
        </w:trPr>
        <w:tc>
          <w:tcPr>
            <w:tcW w:w="2687" w:type="pct"/>
            <w:gridSpan w:val="4"/>
            <w:tcBorders>
              <w:top w:val="single" w:sz="16" w:space="0" w:color="000000"/>
            </w:tcBorders>
            <w:shd w:val="clear" w:color="auto" w:fill="FFFFFF"/>
            <w:tcMar>
              <w:top w:w="0" w:type="dxa"/>
              <w:left w:w="0" w:type="dxa"/>
              <w:bottom w:w="0" w:type="dxa"/>
              <w:right w:w="0" w:type="dxa"/>
            </w:tcMar>
            <w:vAlign w:val="center"/>
          </w:tcPr>
          <w:p w14:paraId="0D71FB0E" w14:textId="77777777" w:rsidR="0068370F" w:rsidRPr="001C56AF" w:rsidRDefault="0068370F" w:rsidP="0083591F">
            <w:pPr>
              <w:spacing w:after="0"/>
              <w:ind w:left="60" w:right="60"/>
              <w:jc w:val="right"/>
              <w:rPr>
                <w:rFonts w:cs="Times New Roman"/>
                <w:sz w:val="20"/>
                <w:szCs w:val="20"/>
              </w:rPr>
            </w:pPr>
          </w:p>
        </w:tc>
        <w:tc>
          <w:tcPr>
            <w:tcW w:w="1174" w:type="pct"/>
            <w:gridSpan w:val="2"/>
            <w:tcBorders>
              <w:top w:val="single" w:sz="16" w:space="0" w:color="000000"/>
            </w:tcBorders>
            <w:shd w:val="clear" w:color="auto" w:fill="FFFFFF"/>
            <w:tcMar>
              <w:top w:w="0" w:type="dxa"/>
              <w:left w:w="0" w:type="dxa"/>
              <w:bottom w:w="0" w:type="dxa"/>
              <w:right w:w="0" w:type="dxa"/>
            </w:tcMar>
            <w:vAlign w:val="center"/>
          </w:tcPr>
          <w:p w14:paraId="68B90A8C" w14:textId="77777777" w:rsidR="0068370F" w:rsidRPr="001C56AF" w:rsidRDefault="0068370F" w:rsidP="0083591F">
            <w:pPr>
              <w:spacing w:after="0"/>
              <w:ind w:left="60" w:right="60"/>
              <w:jc w:val="center"/>
              <w:rPr>
                <w:rFonts w:cs="Times New Roman"/>
                <w:sz w:val="20"/>
                <w:szCs w:val="20"/>
              </w:rPr>
            </w:pPr>
            <w:r>
              <w:rPr>
                <w:rFonts w:eastAsia="Times New Roman" w:cs="Times New Roman"/>
                <w:color w:val="000000"/>
                <w:sz w:val="20"/>
                <w:szCs w:val="20"/>
              </w:rPr>
              <w:t>Facilitators</w:t>
            </w:r>
          </w:p>
        </w:tc>
        <w:tc>
          <w:tcPr>
            <w:tcW w:w="1138" w:type="pct"/>
            <w:gridSpan w:val="2"/>
            <w:tcBorders>
              <w:top w:val="single" w:sz="16" w:space="0" w:color="000000"/>
            </w:tcBorders>
            <w:shd w:val="clear" w:color="auto" w:fill="FFFFFF"/>
            <w:tcMar>
              <w:top w:w="0" w:type="dxa"/>
              <w:left w:w="0" w:type="dxa"/>
              <w:bottom w:w="0" w:type="dxa"/>
              <w:right w:w="0" w:type="dxa"/>
            </w:tcMar>
            <w:vAlign w:val="center"/>
          </w:tcPr>
          <w:p w14:paraId="1DD67B1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Barriers</w:t>
            </w:r>
          </w:p>
        </w:tc>
      </w:tr>
      <w:tr w:rsidR="0068370F" w:rsidRPr="001C56AF" w14:paraId="38A264BA" w14:textId="77777777" w:rsidTr="0068370F">
        <w:trPr>
          <w:cantSplit/>
          <w:tblHeader/>
          <w:jc w:val="center"/>
        </w:trPr>
        <w:tc>
          <w:tcPr>
            <w:tcW w:w="764" w:type="pct"/>
            <w:tcBorders>
              <w:bottom w:val="single" w:sz="16" w:space="0" w:color="000000"/>
            </w:tcBorders>
            <w:shd w:val="clear" w:color="auto" w:fill="FFFFFF"/>
            <w:tcMar>
              <w:top w:w="0" w:type="dxa"/>
              <w:left w:w="0" w:type="dxa"/>
              <w:bottom w:w="0" w:type="dxa"/>
              <w:right w:w="0" w:type="dxa"/>
            </w:tcMar>
            <w:vAlign w:val="center"/>
          </w:tcPr>
          <w:p w14:paraId="11A14DF8" w14:textId="77777777" w:rsidR="0068370F" w:rsidRPr="001C56AF" w:rsidRDefault="0068370F" w:rsidP="0083591F">
            <w:pPr>
              <w:spacing w:after="0"/>
              <w:ind w:left="60" w:right="60"/>
              <w:jc w:val="right"/>
              <w:rPr>
                <w:rFonts w:cs="Times New Roman"/>
                <w:sz w:val="20"/>
                <w:szCs w:val="20"/>
              </w:rPr>
            </w:pPr>
          </w:p>
        </w:tc>
        <w:tc>
          <w:tcPr>
            <w:tcW w:w="885" w:type="pct"/>
            <w:tcBorders>
              <w:bottom w:val="single" w:sz="16" w:space="0" w:color="000000"/>
            </w:tcBorders>
            <w:shd w:val="clear" w:color="auto" w:fill="FFFFFF"/>
            <w:tcMar>
              <w:top w:w="0" w:type="dxa"/>
              <w:left w:w="0" w:type="dxa"/>
              <w:bottom w:w="0" w:type="dxa"/>
              <w:right w:w="0" w:type="dxa"/>
            </w:tcMar>
            <w:vAlign w:val="center"/>
          </w:tcPr>
          <w:p w14:paraId="7438E10E"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Variable</w:t>
            </w:r>
          </w:p>
        </w:tc>
        <w:tc>
          <w:tcPr>
            <w:tcW w:w="587" w:type="pct"/>
            <w:tcBorders>
              <w:bottom w:val="single" w:sz="16" w:space="0" w:color="000000"/>
            </w:tcBorders>
            <w:shd w:val="clear" w:color="auto" w:fill="FFFFFF"/>
            <w:tcMar>
              <w:top w:w="0" w:type="dxa"/>
              <w:left w:w="0" w:type="dxa"/>
              <w:bottom w:w="0" w:type="dxa"/>
              <w:right w:w="0" w:type="dxa"/>
            </w:tcMar>
            <w:vAlign w:val="center"/>
          </w:tcPr>
          <w:p w14:paraId="451EDE9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Total</w:t>
            </w:r>
            <w:r w:rsidRPr="001C56AF">
              <w:rPr>
                <w:rFonts w:eastAsia="Times New Roman" w:cs="Times New Roman"/>
                <w:color w:val="000000"/>
                <w:sz w:val="20"/>
                <w:szCs w:val="20"/>
              </w:rPr>
              <w:br/>
              <w:t>Sample</w:t>
            </w:r>
          </w:p>
        </w:tc>
        <w:tc>
          <w:tcPr>
            <w:tcW w:w="451" w:type="pct"/>
            <w:tcBorders>
              <w:bottom w:val="single" w:sz="16" w:space="0" w:color="000000"/>
            </w:tcBorders>
            <w:shd w:val="clear" w:color="auto" w:fill="FFFFFF"/>
            <w:tcMar>
              <w:top w:w="0" w:type="dxa"/>
              <w:left w:w="0" w:type="dxa"/>
              <w:bottom w:w="0" w:type="dxa"/>
              <w:right w:w="0" w:type="dxa"/>
            </w:tcMar>
            <w:vAlign w:val="center"/>
          </w:tcPr>
          <w:p w14:paraId="4C4EB85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w:t>
            </w:r>
            <w:r w:rsidRPr="001C56AF">
              <w:rPr>
                <w:rFonts w:eastAsia="Times New Roman" w:cs="Times New Roman"/>
                <w:color w:val="000000"/>
                <w:sz w:val="20"/>
                <w:szCs w:val="20"/>
              </w:rPr>
              <w:br/>
              <w:t>Missing</w:t>
            </w:r>
          </w:p>
        </w:tc>
        <w:tc>
          <w:tcPr>
            <w:tcW w:w="587" w:type="pct"/>
            <w:tcBorders>
              <w:bottom w:val="single" w:sz="16" w:space="0" w:color="000000"/>
            </w:tcBorders>
            <w:shd w:val="clear" w:color="auto" w:fill="FFFFFF"/>
            <w:tcMar>
              <w:top w:w="0" w:type="dxa"/>
              <w:left w:w="0" w:type="dxa"/>
              <w:bottom w:w="0" w:type="dxa"/>
              <w:right w:w="0" w:type="dxa"/>
            </w:tcMar>
            <w:vAlign w:val="center"/>
          </w:tcPr>
          <w:p w14:paraId="0303189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Answered</w:t>
            </w:r>
          </w:p>
        </w:tc>
        <w:tc>
          <w:tcPr>
            <w:tcW w:w="587" w:type="pct"/>
            <w:tcBorders>
              <w:bottom w:val="single" w:sz="16" w:space="0" w:color="000000"/>
            </w:tcBorders>
            <w:shd w:val="clear" w:color="auto" w:fill="FFFFFF"/>
            <w:tcMar>
              <w:top w:w="0" w:type="dxa"/>
              <w:left w:w="0" w:type="dxa"/>
              <w:bottom w:w="0" w:type="dxa"/>
              <w:right w:w="0" w:type="dxa"/>
            </w:tcMar>
            <w:vAlign w:val="center"/>
          </w:tcPr>
          <w:p w14:paraId="28D2D55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Valid</w:t>
            </w:r>
          </w:p>
        </w:tc>
        <w:tc>
          <w:tcPr>
            <w:tcW w:w="587" w:type="pct"/>
            <w:tcBorders>
              <w:bottom w:val="single" w:sz="16" w:space="0" w:color="000000"/>
            </w:tcBorders>
            <w:shd w:val="clear" w:color="auto" w:fill="FFFFFF"/>
            <w:tcMar>
              <w:top w:w="0" w:type="dxa"/>
              <w:left w:w="0" w:type="dxa"/>
              <w:bottom w:w="0" w:type="dxa"/>
              <w:right w:w="0" w:type="dxa"/>
            </w:tcMar>
            <w:vAlign w:val="center"/>
          </w:tcPr>
          <w:p w14:paraId="3B4F097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Answered</w:t>
            </w:r>
          </w:p>
        </w:tc>
        <w:tc>
          <w:tcPr>
            <w:tcW w:w="551" w:type="pct"/>
            <w:tcBorders>
              <w:bottom w:val="single" w:sz="16" w:space="0" w:color="000000"/>
            </w:tcBorders>
            <w:shd w:val="clear" w:color="auto" w:fill="FFFFFF"/>
            <w:tcMar>
              <w:top w:w="0" w:type="dxa"/>
              <w:left w:w="0" w:type="dxa"/>
              <w:bottom w:w="0" w:type="dxa"/>
              <w:right w:w="0" w:type="dxa"/>
            </w:tcMar>
            <w:vAlign w:val="center"/>
          </w:tcPr>
          <w:p w14:paraId="622B77D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Valid</w:t>
            </w:r>
          </w:p>
        </w:tc>
      </w:tr>
      <w:tr w:rsidR="0068370F" w:rsidRPr="001C56AF" w14:paraId="1AF4D006" w14:textId="77777777" w:rsidTr="0068370F">
        <w:trPr>
          <w:cantSplit/>
          <w:jc w:val="center"/>
        </w:trPr>
        <w:tc>
          <w:tcPr>
            <w:tcW w:w="764" w:type="pct"/>
            <w:vMerge w:val="restart"/>
            <w:tcBorders>
              <w:top w:val="single" w:sz="16" w:space="0" w:color="000000"/>
              <w:bottom w:val="dashed" w:sz="8" w:space="0" w:color="7F7F7F"/>
            </w:tcBorders>
            <w:shd w:val="clear" w:color="auto" w:fill="FFFFFF"/>
            <w:tcMar>
              <w:top w:w="0" w:type="dxa"/>
              <w:left w:w="0" w:type="dxa"/>
              <w:bottom w:w="0" w:type="dxa"/>
              <w:right w:w="0" w:type="dxa"/>
            </w:tcMar>
            <w:vAlign w:val="center"/>
          </w:tcPr>
          <w:p w14:paraId="48FF0EAF" w14:textId="77777777" w:rsidR="0068370F" w:rsidRPr="001C56AF" w:rsidRDefault="0068370F" w:rsidP="0083591F">
            <w:pPr>
              <w:spacing w:after="0"/>
              <w:ind w:left="60" w:right="60"/>
              <w:jc w:val="right"/>
              <w:rPr>
                <w:rFonts w:cs="Times New Roman"/>
                <w:sz w:val="20"/>
                <w:szCs w:val="20"/>
              </w:rPr>
            </w:pPr>
          </w:p>
        </w:tc>
        <w:tc>
          <w:tcPr>
            <w:tcW w:w="885"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7BE3249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w:t>
            </w:r>
          </w:p>
        </w:tc>
        <w:tc>
          <w:tcPr>
            <w:tcW w:w="587"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5400A17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25,051</w:t>
            </w:r>
          </w:p>
        </w:tc>
        <w:tc>
          <w:tcPr>
            <w:tcW w:w="451"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373EDA40" w14:textId="77777777" w:rsidR="0068370F" w:rsidRPr="001C56AF" w:rsidRDefault="0068370F" w:rsidP="0083591F">
            <w:pPr>
              <w:spacing w:after="0"/>
              <w:ind w:left="60" w:right="60"/>
              <w:jc w:val="center"/>
              <w:rPr>
                <w:rFonts w:cs="Times New Roman"/>
                <w:sz w:val="20"/>
                <w:szCs w:val="20"/>
              </w:rPr>
            </w:pPr>
          </w:p>
        </w:tc>
        <w:tc>
          <w:tcPr>
            <w:tcW w:w="587"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01478D7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18,742 (74.82%)</w:t>
            </w:r>
          </w:p>
        </w:tc>
        <w:tc>
          <w:tcPr>
            <w:tcW w:w="587"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3109C06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16,512 (65.91%)</w:t>
            </w:r>
          </w:p>
        </w:tc>
        <w:tc>
          <w:tcPr>
            <w:tcW w:w="587"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5E270A8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11,902 (47.51%)</w:t>
            </w:r>
          </w:p>
        </w:tc>
        <w:tc>
          <w:tcPr>
            <w:tcW w:w="551" w:type="pct"/>
            <w:tcBorders>
              <w:top w:val="single" w:sz="16" w:space="0" w:color="000000"/>
              <w:bottom w:val="dashed" w:sz="8" w:space="0" w:color="7F7F7F"/>
            </w:tcBorders>
            <w:shd w:val="clear" w:color="auto" w:fill="FFFFFF"/>
            <w:tcMar>
              <w:top w:w="0" w:type="dxa"/>
              <w:left w:w="0" w:type="dxa"/>
              <w:bottom w:w="0" w:type="dxa"/>
              <w:right w:w="0" w:type="dxa"/>
            </w:tcMar>
            <w:vAlign w:val="center"/>
          </w:tcPr>
          <w:p w14:paraId="1ACBE3F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9,720 (38.8%)</w:t>
            </w:r>
          </w:p>
        </w:tc>
      </w:tr>
      <w:tr w:rsidR="0068370F" w:rsidRPr="001C56AF" w14:paraId="4A0D5AF7"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3CDD3B7D"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E4004E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Compliance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909BBC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6.29 (0.94)</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574DC2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F2E22A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6.33 (0.91)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7F519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6.34 (0.9)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0D73E6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6.09 (1.03)</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8233E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6.04 (1.04)</w:t>
            </w:r>
          </w:p>
        </w:tc>
      </w:tr>
      <w:tr w:rsidR="0068370F" w:rsidRPr="001C56AF" w14:paraId="2441A250"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7D6784D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Gender</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7609835"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Male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FBBEA3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6,384 (25.58%)</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7152C5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0.37%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2525F0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4,467 (23.93%)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D1407C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3,601 (21.81%)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47A2EC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2,882 (24.34%)</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E61AD4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2,106 (21.67%)</w:t>
            </w:r>
          </w:p>
        </w:tc>
      </w:tr>
      <w:tr w:rsidR="0068370F" w:rsidRPr="001C56AF" w14:paraId="6B1E49AE"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04FC93E9"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8C2F1A3"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Female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9BCE99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18,574 (74.42%)</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F58E9A3"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108187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14,198 (76.07%)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EA03A1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12,911 (78.19%)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3E0830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8,958 (75.66%)</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70F90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7,614 (78.33%)</w:t>
            </w:r>
          </w:p>
        </w:tc>
      </w:tr>
      <w:tr w:rsidR="0068370F" w:rsidRPr="001C56AF" w14:paraId="07CD0882"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03FD9545"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Country</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25431B0"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England</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302FA9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20,056 (80.06%)</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453470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9D95DF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14,800 (78.97%)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2F5C46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13,033 (78.93%)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97DC70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9,467 (79.54%)</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948C57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7,760 (79.84%)</w:t>
            </w:r>
          </w:p>
        </w:tc>
      </w:tr>
      <w:tr w:rsidR="0068370F" w:rsidRPr="001C56AF" w14:paraId="44E3E930"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5FCC0A43"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1B29E88"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Wales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C789A5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3,309 (13.21%)</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9C64B75"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7499C6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2,615 (13.95%)</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E01C72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2,293 (13.89%)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542E62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1,621 (13.62%)</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28574F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1,259 (12.95%)</w:t>
            </w:r>
          </w:p>
        </w:tc>
      </w:tr>
      <w:tr w:rsidR="0068370F" w:rsidRPr="001C56AF" w14:paraId="5FE2AE22"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7675B3A5"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79BFA6"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Scotland</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5B9FCC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1,447 (5.78%)</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B231DFB"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D420F2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1,138 (6.07%)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A4C5DB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1,018 (6.17%)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EB48D8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701 (5.89%)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FA534A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614 (6.32%)</w:t>
            </w:r>
          </w:p>
        </w:tc>
      </w:tr>
      <w:tr w:rsidR="0068370F" w:rsidRPr="001C56AF" w14:paraId="1032EA7C"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163F2DAA"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0C78809"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Northern Ireland</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1BA7A5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239 (0.95%)</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9F52B5B"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D8D3FA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189 (1.01%)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ECF3A8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168 (1.02%)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F05904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113 (0.95%)</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37DE7D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87 (0.9%)</w:t>
            </w:r>
          </w:p>
        </w:tc>
      </w:tr>
      <w:tr w:rsidR="0068370F" w:rsidRPr="001C56AF" w14:paraId="39FAE6C2" w14:textId="77777777" w:rsidTr="0068370F">
        <w:trPr>
          <w:cantSplit/>
          <w:jc w:val="center"/>
        </w:trPr>
        <w:tc>
          <w:tcPr>
            <w:tcW w:w="764"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C5A5B4F"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16DAB63"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Age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754A59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56.12 (13.62)</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5618DA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0.06%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A838E3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56.51 (13.53)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3F3B25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56.29 (13.52)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70C9B4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55.21 (14.15)</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9ADC21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54.49 (14.19)</w:t>
            </w:r>
          </w:p>
        </w:tc>
      </w:tr>
      <w:tr w:rsidR="0068370F" w:rsidRPr="001C56AF" w14:paraId="1F251B27"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69737F7C"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Age Group</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EEE9E2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18-29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336EDE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1,007 (4.02%)</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D52852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1CBCE5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710 (3.79%)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2B8966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634 (3.84%)</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E6EFEB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606 (5.09%)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32E37F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525 (5.4%)</w:t>
            </w:r>
          </w:p>
        </w:tc>
      </w:tr>
      <w:tr w:rsidR="0068370F" w:rsidRPr="001C56AF" w14:paraId="033EF186"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6D8F71A6"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307CCE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30-45</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D4CFE2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4,647 (18.55%)</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DBF1382"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65C26F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3,377 (18.02%)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84E8E5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3,042 (18.42%)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8B69E0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2,455 (20.63%)</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0DA56C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2,150 (22.12%)</w:t>
            </w:r>
          </w:p>
        </w:tc>
      </w:tr>
      <w:tr w:rsidR="0068370F" w:rsidRPr="001C56AF" w14:paraId="5007651F"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20C45934"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79EEA39"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46-59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68C5E6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8,028 (32.05%)</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20D88A1"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C3F56B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5,887 (31.41%)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4EE763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5,251 (31.8%)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B3AA7D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3,654 (30.7%)</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44617A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3,014 (31.01%)</w:t>
            </w:r>
          </w:p>
        </w:tc>
      </w:tr>
      <w:tr w:rsidR="0068370F" w:rsidRPr="001C56AF" w14:paraId="74E5237B"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46BF3A37"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12935A9"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60+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4FC5A8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11,369 (45.38%)</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029C77C"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DD69CB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8,768 (46.78%)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D47DD7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7,585 (45.94%)</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9072FA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5,187 (43.58%)</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3BB562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4,031 (41.47%)</w:t>
            </w:r>
          </w:p>
        </w:tc>
      </w:tr>
      <w:tr w:rsidR="0068370F" w:rsidRPr="001C56AF" w14:paraId="2AA1E8C8"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158F15B4"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Ethnicity</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D406326"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White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A286A9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24,110 (96.56%)</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B8E0F2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0.32%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3E72A8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18,064 (96.7%)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6571FB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15,970 (96.72%)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7694CF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11,427 (96.39%)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DBA2EC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9,377 (96.47%)</w:t>
            </w:r>
          </w:p>
        </w:tc>
      </w:tr>
      <w:tr w:rsidR="0068370F" w:rsidRPr="001C56AF" w14:paraId="6A07CD17"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206BFBA1"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9A10117"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Non-White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0B3B2A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860 (3.44%)</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8D8E48A"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3C46D5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617 (3.3%)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1A4132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542 (3.28%)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E7E8F0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428 (3.61%)</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8413E8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343 (3.53%)</w:t>
            </w:r>
          </w:p>
        </w:tc>
      </w:tr>
      <w:tr w:rsidR="0068370F" w:rsidRPr="001C56AF" w14:paraId="5BCB8F26"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4853D4F7"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Education</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31DF593"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Degree or above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F62ED2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17,178 (68.57%)</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131E35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1EA599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13,070 (69.74%)</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67BD46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11,642 (70.51%)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790C93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8,656 (72.73%)</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8832FB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7,268 (74.77%)</w:t>
            </w:r>
          </w:p>
        </w:tc>
      </w:tr>
      <w:tr w:rsidR="0068370F" w:rsidRPr="001C56AF" w14:paraId="7B850310"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2B3F79DA"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D3259E4"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A-Level</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FAF546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4,261 (17.01%)</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4468FD9"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2093EC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3,131 (16.71%)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7BAA5B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2,729 (16.53%)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E756C9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1,841 (15.47%)</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9D5009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1,424 (14.65%)</w:t>
            </w:r>
          </w:p>
        </w:tc>
      </w:tr>
      <w:tr w:rsidR="0068370F" w:rsidRPr="001C56AF" w14:paraId="65DC318E"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38D3650A"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0D7FD96"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GCSE or below</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9282BE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3,612 (14.42%)</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527F5AF"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909151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2,541 (13.56%)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C7AD70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2,141 (12.97%)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F978F1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1,405 (11.8%)</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45A438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1,028 (10.58%)</w:t>
            </w:r>
          </w:p>
        </w:tc>
      </w:tr>
      <w:tr w:rsidR="0068370F" w:rsidRPr="001C56AF" w14:paraId="26B883AF"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4B660D4C"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Living Arrangement</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518E7F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Not alone, no child</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788A46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14,688 (58.63%)</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0181F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8746CB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11,057 (59%)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57B695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9,738 (58.98%)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A86208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6,862 (57.65%)</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69AABA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5,545 (57.05%)</w:t>
            </w:r>
          </w:p>
        </w:tc>
      </w:tr>
      <w:tr w:rsidR="0068370F" w:rsidRPr="001C56AF" w14:paraId="12AB2394"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0FA08BD9"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D21AAF2"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Not alone, with child</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FA7D8B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4,783 (19.09%)</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5318CF1"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8F8D6A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3,495 (18.65%)</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D50EF5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3,103 (18.79%)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4F98D9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2,339 (19.65%)</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4B9457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1,988 (20.45%)</w:t>
            </w:r>
          </w:p>
        </w:tc>
      </w:tr>
      <w:tr w:rsidR="0068370F" w:rsidRPr="001C56AF" w14:paraId="020384D0"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4A809877"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265F3CF"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Alone</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C47193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5,580 (22.27%)</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E9F956C"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B34116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4,190 (22.36%)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78D371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3,671 (22.23%)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F8886C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2,701 (22.69%)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3A6D3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2,187 (22.5%)</w:t>
            </w:r>
          </w:p>
        </w:tc>
      </w:tr>
      <w:tr w:rsidR="0068370F" w:rsidRPr="001C56AF" w14:paraId="187EFC84"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5C0AE060"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Psychiatric Diagnosis</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84EA14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B8E59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21,302 (85.03%)</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F03672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09A5C0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15,988 (85.31%)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CCA40B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14,090 (85.33%)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6220FE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10,128 (85.09%)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3C85C0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8,276 (85.14%)</w:t>
            </w:r>
          </w:p>
        </w:tc>
      </w:tr>
      <w:tr w:rsidR="0068370F" w:rsidRPr="001C56AF" w14:paraId="5CFE2572"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5AAA1F7B"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B868F1E"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Yes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42D5F26"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3,749 (14.97%)</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BA7E1D6"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28FAEF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2,754 (14.69%)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D3782C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2,422 (14.67%)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5A2139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1,774 (14.91%)</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5D58FE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1,444 (14.86%)</w:t>
            </w:r>
          </w:p>
        </w:tc>
      </w:tr>
      <w:tr w:rsidR="0068370F" w:rsidRPr="001C56AF" w14:paraId="6E5FD1A5"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EF7DC7"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Long-Term Conditions</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AB8FC55"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5B515D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13,940 (55.65%)</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F1354C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3A7822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10,357 (55.26%)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C38C65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9,250 (56.02%)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91CFB7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6,912 (58.07%)</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7E7457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5,817 (59.85%)</w:t>
            </w:r>
          </w:p>
        </w:tc>
      </w:tr>
      <w:tr w:rsidR="0068370F" w:rsidRPr="001C56AF" w14:paraId="592AF94C"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6CFA9FB9"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5CE74E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C6826D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7,078 (28.25%)</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2A64320"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F69C74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5,335 (28.47%)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80E4EB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4,656 (28.2%)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7EF09F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3,260 (27.39%)</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85D2A4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2,612 (26.87%)</w:t>
            </w:r>
          </w:p>
        </w:tc>
      </w:tr>
      <w:tr w:rsidR="0068370F" w:rsidRPr="001C56AF" w14:paraId="775BE84F"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60AAB1D9"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F75B87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233410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4,033 (16.1%)</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3530E39"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45588A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3,050 (16.27%)</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067864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2,606 (15.78%)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E97C41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1,730 (14.54%)</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F4B507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1,291 (13.28%)</w:t>
            </w:r>
          </w:p>
        </w:tc>
      </w:tr>
      <w:tr w:rsidR="0068370F" w:rsidRPr="001C56AF" w14:paraId="58DF46A8" w14:textId="77777777" w:rsidTr="0068370F">
        <w:trPr>
          <w:cantSplit/>
          <w:jc w:val="center"/>
        </w:trPr>
        <w:tc>
          <w:tcPr>
            <w:tcW w:w="764" w:type="pct"/>
            <w:vMerge w:val="restart"/>
            <w:tcBorders>
              <w:top w:val="dashed" w:sz="8" w:space="0" w:color="7F7F7F"/>
              <w:bottom w:val="dashed" w:sz="8" w:space="0" w:color="7F7F7F"/>
            </w:tcBorders>
            <w:shd w:val="clear" w:color="auto" w:fill="FFFFFF"/>
            <w:tcMar>
              <w:top w:w="0" w:type="dxa"/>
              <w:left w:w="0" w:type="dxa"/>
              <w:bottom w:w="0" w:type="dxa"/>
              <w:right w:w="0" w:type="dxa"/>
            </w:tcMar>
            <w:vAlign w:val="center"/>
          </w:tcPr>
          <w:p w14:paraId="1BEC062D"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Self-Isolating</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8B5C058"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No</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FA0BB3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20,134 (81.43%)</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43A551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CDF2AC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15,048 (80.29%)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879ACF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13,315 (80.64%)</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EEDB6A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9,786 (82.23%)</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084272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8,131 (83.65%)</w:t>
            </w:r>
          </w:p>
        </w:tc>
      </w:tr>
      <w:tr w:rsidR="0068370F" w:rsidRPr="001C56AF" w14:paraId="2A282ACC"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08A6710D"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44BC747"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Yes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A28DA8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4,593 (18.57%)</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C54C1C4" w14:textId="77777777" w:rsidR="0068370F" w:rsidRPr="001C56AF" w:rsidRDefault="0068370F" w:rsidP="0083591F">
            <w:pPr>
              <w:spacing w:after="0"/>
              <w:ind w:left="60" w:right="60"/>
              <w:jc w:val="center"/>
              <w:rPr>
                <w:rFonts w:cs="Times New Roman"/>
                <w:sz w:val="20"/>
                <w:szCs w:val="20"/>
              </w:rPr>
            </w:pP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A9A49A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3,693 (19.71%)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096B0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3,197 (19.36%)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05AFA8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2,115 (17.77%)</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2D4AD05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1,589 (16.35%)</w:t>
            </w:r>
          </w:p>
        </w:tc>
      </w:tr>
      <w:tr w:rsidR="0068370F" w:rsidRPr="001C56AF" w14:paraId="191671B9" w14:textId="77777777" w:rsidTr="0068370F">
        <w:trPr>
          <w:cantSplit/>
          <w:jc w:val="center"/>
        </w:trPr>
        <w:tc>
          <w:tcPr>
            <w:tcW w:w="764"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1FE91A0"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E2585D5"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Confidence in Government</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08C2D0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3.68 (2)</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A70CC7"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FA1F57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3.67 (2.01)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3531DB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3.68 (2.01)</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6A846FA"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3.52 (1.97)</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0B7DFE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3.47 (1.96)</w:t>
            </w:r>
          </w:p>
        </w:tc>
      </w:tr>
      <w:tr w:rsidR="0068370F" w:rsidRPr="001C56AF" w14:paraId="6CD5B4C2" w14:textId="77777777" w:rsidTr="0068370F">
        <w:trPr>
          <w:cantSplit/>
          <w:jc w:val="center"/>
        </w:trPr>
        <w:tc>
          <w:tcPr>
            <w:tcW w:w="764" w:type="pct"/>
            <w:vMerge w:val="restart"/>
            <w:tcBorders>
              <w:top w:val="dashed" w:sz="8" w:space="0" w:color="7F7F7F"/>
              <w:bottom w:val="single" w:sz="16" w:space="0" w:color="000000"/>
            </w:tcBorders>
            <w:shd w:val="clear" w:color="auto" w:fill="FFFFFF"/>
            <w:tcMar>
              <w:top w:w="0" w:type="dxa"/>
              <w:left w:w="0" w:type="dxa"/>
              <w:bottom w:w="0" w:type="dxa"/>
              <w:right w:w="0" w:type="dxa"/>
            </w:tcMar>
            <w:vAlign w:val="center"/>
          </w:tcPr>
          <w:p w14:paraId="0D158BE5"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Big-5 Traits</w:t>
            </w: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EA480D3"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Openness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7EECDB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15.32 (3.24)</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F56754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2DE7E3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15.4 (3.22)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C9DA26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15.44 (3.2)</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66D3F9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15.41 (3.21)</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82E21D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15.48 (3.18)</w:t>
            </w:r>
          </w:p>
        </w:tc>
      </w:tr>
      <w:tr w:rsidR="0068370F" w:rsidRPr="001C56AF" w14:paraId="550A95D8"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5D846D63"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C6552FF"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Conscientiousness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62DC6E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16.05 (2.9)</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5350DBE"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F5D3334"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16.07 (2.89)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5820B1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16.11 (2.88)</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68EF2EF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15.9 (2.88)</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3AEA995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15.89 (2.86)</w:t>
            </w:r>
          </w:p>
        </w:tc>
      </w:tr>
      <w:tr w:rsidR="0068370F" w:rsidRPr="001C56AF" w14:paraId="096B7617"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1223727D"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4EBD1E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Extraversion</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5E0FA2B"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12.81 (4.27)</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2E9F65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49C8D0D"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12.87 (4.25)</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4DBE19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12.91 (4.26)</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26A751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12.85 (4.26)</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919AF6C"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12.88 (4.27)</w:t>
            </w:r>
          </w:p>
        </w:tc>
      </w:tr>
      <w:tr w:rsidR="0068370F" w:rsidRPr="001C56AF" w14:paraId="1C415D3B" w14:textId="77777777" w:rsidTr="0068370F">
        <w:trPr>
          <w:cantSplit/>
          <w:jc w:val="center"/>
        </w:trPr>
        <w:tc>
          <w:tcPr>
            <w:tcW w:w="764" w:type="pct"/>
            <w:vMerge/>
            <w:tcBorders>
              <w:top w:val="dashed" w:sz="8" w:space="0" w:color="7F7F7F"/>
              <w:bottom w:val="dashed" w:sz="8" w:space="0" w:color="7F7F7F"/>
            </w:tcBorders>
            <w:shd w:val="clear" w:color="auto" w:fill="FFFFFF"/>
            <w:tcMar>
              <w:top w:w="0" w:type="dxa"/>
              <w:left w:w="0" w:type="dxa"/>
              <w:bottom w:w="0" w:type="dxa"/>
              <w:right w:w="0" w:type="dxa"/>
            </w:tcMar>
            <w:vAlign w:val="center"/>
          </w:tcPr>
          <w:p w14:paraId="7A9DF824"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945683A"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Agreeableness</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16BC4952"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15.54 (3.03)</w:t>
            </w:r>
          </w:p>
        </w:tc>
        <w:tc>
          <w:tcPr>
            <w:tcW w:w="4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505596D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7E89B8CF"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15.59 (3)</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483C833"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15.65 (2.99)</w:t>
            </w:r>
          </w:p>
        </w:tc>
        <w:tc>
          <w:tcPr>
            <w:tcW w:w="587"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4EA40EB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15.39 (3.01)</w:t>
            </w:r>
          </w:p>
        </w:tc>
        <w:tc>
          <w:tcPr>
            <w:tcW w:w="551" w:type="pct"/>
            <w:tcBorders>
              <w:top w:val="dashed" w:sz="8" w:space="0" w:color="7F7F7F"/>
              <w:bottom w:val="dashed" w:sz="8" w:space="0" w:color="7F7F7F"/>
            </w:tcBorders>
            <w:shd w:val="clear" w:color="auto" w:fill="FFFFFF"/>
            <w:tcMar>
              <w:top w:w="0" w:type="dxa"/>
              <w:left w:w="0" w:type="dxa"/>
              <w:bottom w:w="0" w:type="dxa"/>
              <w:right w:w="0" w:type="dxa"/>
            </w:tcMar>
            <w:vAlign w:val="center"/>
          </w:tcPr>
          <w:p w14:paraId="06D45EB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15.41 (3)</w:t>
            </w:r>
          </w:p>
        </w:tc>
      </w:tr>
      <w:tr w:rsidR="0068370F" w:rsidRPr="001C56AF" w14:paraId="5A509E7E" w14:textId="77777777" w:rsidTr="0068370F">
        <w:trPr>
          <w:cantSplit/>
          <w:jc w:val="center"/>
        </w:trPr>
        <w:tc>
          <w:tcPr>
            <w:tcW w:w="764" w:type="pct"/>
            <w:vMerge/>
            <w:tcBorders>
              <w:top w:val="dashed" w:sz="8" w:space="0" w:color="7F7F7F"/>
              <w:bottom w:val="single" w:sz="16" w:space="0" w:color="000000"/>
            </w:tcBorders>
            <w:shd w:val="clear" w:color="auto" w:fill="FFFFFF"/>
            <w:tcMar>
              <w:top w:w="0" w:type="dxa"/>
              <w:left w:w="0" w:type="dxa"/>
              <w:bottom w:w="0" w:type="dxa"/>
              <w:right w:w="0" w:type="dxa"/>
            </w:tcMar>
            <w:vAlign w:val="center"/>
          </w:tcPr>
          <w:p w14:paraId="12A26B5D" w14:textId="77777777" w:rsidR="0068370F" w:rsidRPr="001C56AF" w:rsidRDefault="0068370F" w:rsidP="0083591F">
            <w:pPr>
              <w:spacing w:after="0"/>
              <w:ind w:left="60" w:right="60"/>
              <w:jc w:val="right"/>
              <w:rPr>
                <w:rFonts w:cs="Times New Roman"/>
                <w:sz w:val="20"/>
                <w:szCs w:val="20"/>
              </w:rPr>
            </w:pPr>
          </w:p>
        </w:tc>
        <w:tc>
          <w:tcPr>
            <w:tcW w:w="885"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7BFD9AD6" w14:textId="77777777" w:rsidR="0068370F" w:rsidRPr="001C56AF" w:rsidRDefault="0068370F" w:rsidP="0083591F">
            <w:pPr>
              <w:spacing w:after="0"/>
              <w:ind w:left="60" w:right="60"/>
              <w:jc w:val="right"/>
              <w:rPr>
                <w:rFonts w:cs="Times New Roman"/>
                <w:sz w:val="20"/>
                <w:szCs w:val="20"/>
              </w:rPr>
            </w:pPr>
            <w:r w:rsidRPr="001C56AF">
              <w:rPr>
                <w:rFonts w:eastAsia="Times New Roman" w:cs="Times New Roman"/>
                <w:color w:val="000000"/>
                <w:sz w:val="20"/>
                <w:szCs w:val="20"/>
              </w:rPr>
              <w:t>Neuroticism</w:t>
            </w:r>
          </w:p>
        </w:tc>
        <w:tc>
          <w:tcPr>
            <w:tcW w:w="587"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4B29EB98"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10.97 (4.24)</w:t>
            </w:r>
          </w:p>
        </w:tc>
        <w:tc>
          <w:tcPr>
            <w:tcW w:w="451"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223FF6C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0%</w:t>
            </w:r>
          </w:p>
        </w:tc>
        <w:tc>
          <w:tcPr>
            <w:tcW w:w="587"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0AEAA129"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10.91 (4.23)</w:t>
            </w:r>
          </w:p>
        </w:tc>
        <w:tc>
          <w:tcPr>
            <w:tcW w:w="587"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66356135"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10.96 (4.22)</w:t>
            </w:r>
          </w:p>
        </w:tc>
        <w:tc>
          <w:tcPr>
            <w:tcW w:w="587"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28DF1AC0"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10.93 (4.2)</w:t>
            </w:r>
          </w:p>
        </w:tc>
        <w:tc>
          <w:tcPr>
            <w:tcW w:w="551" w:type="pct"/>
            <w:tcBorders>
              <w:top w:val="dashed" w:sz="8" w:space="0" w:color="7F7F7F"/>
              <w:bottom w:val="single" w:sz="16" w:space="0" w:color="000000"/>
            </w:tcBorders>
            <w:shd w:val="clear" w:color="auto" w:fill="FFFFFF"/>
            <w:tcMar>
              <w:top w:w="0" w:type="dxa"/>
              <w:left w:w="0" w:type="dxa"/>
              <w:bottom w:w="0" w:type="dxa"/>
              <w:right w:w="0" w:type="dxa"/>
            </w:tcMar>
            <w:vAlign w:val="center"/>
          </w:tcPr>
          <w:p w14:paraId="12121231" w14:textId="77777777" w:rsidR="0068370F" w:rsidRPr="001C56AF" w:rsidRDefault="0068370F" w:rsidP="0083591F">
            <w:pPr>
              <w:spacing w:after="0"/>
              <w:ind w:left="60" w:right="60"/>
              <w:jc w:val="center"/>
              <w:rPr>
                <w:rFonts w:cs="Times New Roman"/>
                <w:sz w:val="20"/>
                <w:szCs w:val="20"/>
              </w:rPr>
            </w:pPr>
            <w:r w:rsidRPr="001C56AF">
              <w:rPr>
                <w:rFonts w:eastAsia="Times New Roman" w:cs="Times New Roman"/>
                <w:color w:val="000000"/>
                <w:sz w:val="20"/>
                <w:szCs w:val="20"/>
              </w:rPr>
              <w:t>10.99 (4.2)</w:t>
            </w:r>
          </w:p>
        </w:tc>
      </w:tr>
    </w:tbl>
    <w:p w14:paraId="7C172091" w14:textId="77777777" w:rsidR="0025195E" w:rsidRDefault="0025195E" w:rsidP="0068370F">
      <w:pPr>
        <w:rPr>
          <w:lang w:val="en-US"/>
        </w:rPr>
        <w:sectPr w:rsidR="0025195E" w:rsidSect="007D426F">
          <w:pgSz w:w="11906" w:h="16838"/>
          <w:pgMar w:top="1440" w:right="1440" w:bottom="1440" w:left="1440" w:header="708" w:footer="708" w:gutter="0"/>
          <w:cols w:space="708"/>
          <w:docGrid w:linePitch="360"/>
        </w:sectPr>
      </w:pPr>
    </w:p>
    <w:p w14:paraId="632ED240" w14:textId="39081CED" w:rsidR="0025195E" w:rsidRDefault="0025195E" w:rsidP="0025195E">
      <w:pPr>
        <w:jc w:val="center"/>
      </w:pPr>
      <w:r>
        <w:rPr>
          <w:noProof/>
        </w:rPr>
        <w:lastRenderedPageBreak/>
        <w:drawing>
          <wp:inline distT="0" distB="0" distL="0" distR="0" wp14:anchorId="5CA91A05" wp14:editId="290B7EB1">
            <wp:extent cx="8858250" cy="5314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58250" cy="5314950"/>
                    </a:xfrm>
                    <a:prstGeom prst="rect">
                      <a:avLst/>
                    </a:prstGeom>
                    <a:noFill/>
                    <a:ln>
                      <a:noFill/>
                    </a:ln>
                  </pic:spPr>
                </pic:pic>
              </a:graphicData>
            </a:graphic>
          </wp:inline>
        </w:drawing>
      </w:r>
    </w:p>
    <w:p w14:paraId="1C25F7CF" w14:textId="77A07ED6" w:rsidR="0025195E" w:rsidRPr="00DD28D4" w:rsidRDefault="0025195E" w:rsidP="0025195E">
      <w:pPr>
        <w:rPr>
          <w:lang w:val="en-US"/>
        </w:rPr>
      </w:pPr>
      <w:r>
        <w:t>Figure S1: Association between providing a valid free-text response and study variables, derived from bivariate and multivariate logistic regression models.</w:t>
      </w:r>
    </w:p>
    <w:p w14:paraId="2EB0A142" w14:textId="77777777" w:rsidR="0025195E" w:rsidRDefault="0025195E" w:rsidP="00A9643B">
      <w:pPr>
        <w:rPr>
          <w:lang w:val="en-US"/>
        </w:rPr>
        <w:sectPr w:rsidR="0025195E" w:rsidSect="0025195E">
          <w:pgSz w:w="16838" w:h="11906" w:orient="landscape"/>
          <w:pgMar w:top="1440" w:right="1440" w:bottom="1440" w:left="1440" w:header="708" w:footer="708" w:gutter="0"/>
          <w:cols w:space="708"/>
          <w:docGrid w:linePitch="360"/>
        </w:sectPr>
      </w:pPr>
    </w:p>
    <w:p w14:paraId="163B1091" w14:textId="1704D01D" w:rsidR="0025195E" w:rsidRPr="007A3909" w:rsidRDefault="0025195E" w:rsidP="00A9643B">
      <w:pPr>
        <w:rPr>
          <w:lang w:val="en-US"/>
        </w:rPr>
      </w:pPr>
    </w:p>
    <w:p w14:paraId="5B89E43D" w14:textId="77777777" w:rsidR="00A9643B" w:rsidRPr="007F4EAB" w:rsidRDefault="00A9643B" w:rsidP="00A9643B">
      <w:pPr>
        <w:keepNext/>
        <w:rPr>
          <w:szCs w:val="20"/>
        </w:rPr>
      </w:pPr>
      <w:r w:rsidRPr="007F4EAB">
        <w:rPr>
          <w:noProof/>
          <w:szCs w:val="20"/>
        </w:rPr>
        <w:drawing>
          <wp:inline distT="0" distB="0" distL="0" distR="0" wp14:anchorId="500788D6" wp14:editId="4C195DD9">
            <wp:extent cx="5731510" cy="4055745"/>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055745"/>
                    </a:xfrm>
                    <a:prstGeom prst="rect">
                      <a:avLst/>
                    </a:prstGeom>
                    <a:noFill/>
                    <a:ln>
                      <a:noFill/>
                    </a:ln>
                  </pic:spPr>
                </pic:pic>
              </a:graphicData>
            </a:graphic>
          </wp:inline>
        </w:drawing>
      </w:r>
    </w:p>
    <w:p w14:paraId="5405D3A6" w14:textId="455953FE" w:rsidR="00A9643B" w:rsidRPr="007A3909" w:rsidRDefault="00A9643B" w:rsidP="00A9643B">
      <w:pPr>
        <w:rPr>
          <w:lang w:val="en-US"/>
        </w:rPr>
      </w:pPr>
      <w:r w:rsidRPr="007A3909">
        <w:t>Figure S2</w:t>
      </w:r>
      <w:r w:rsidRPr="007A3909">
        <w:rPr>
          <w:noProof/>
        </w:rPr>
        <w:t>: 7-day COVID-19 confirmed cases, COVID-19 deaths, and policy stringency by country. Source: Hale et al.</w:t>
      </w:r>
      <w:r>
        <w:rPr>
          <w:noProof/>
        </w:rPr>
        <w:t xml:space="preserve"> </w:t>
      </w:r>
      <w:r>
        <w:rPr>
          <w:noProof/>
        </w:rPr>
        <w:fldChar w:fldCharType="begin"/>
      </w:r>
      <w:r>
        <w:rPr>
          <w:noProof/>
        </w:rPr>
        <w:instrText xml:space="preserve"> ADDIN ZOTERO_ITEM CSL_CITATION {"citationID":"Tr47mVsh","properties":{"formattedCitation":"(2020)","plainCitation":"(2020)","noteIndex":0},"citationItems":[{"id":4322,"uris":["http://zotero.org/groups/2523953/items/7CRF26Z4"],"uri":["http://zotero.org/groups/2523953/items/7CRF26Z4"],"itemData":{"id":4322,"type":"report","event-place":"Oxford","publisher":"Blavatnik School of Government","publisher-place":"Oxford","title":"Oxford COVID-19 Government Response Tracker","URL":"https://www.bsg.ox.ac.uk/research/research-projects/coronavirus-government-response-tracker","author":[{"family":"Hale","given":"Thomas"},{"family":"Angrist","given":"Noam"},{"family":"Cameron-Blake","given":"Emily"},{"family":"Hallas","given":"Laura"},{"family":"Kira","given":"Beatriz"},{"family":"Majumdar","given":"Saptarshi"},{"family":"Petherick","given":"Anna"},{"family":"Phillips","given":"Toby"},{"family":"Tatlow","given":"Helen"},{"family":"Webster","given":"Samuel"}],"accessed":{"date-parts":[["2020",10,22]]},"issued":{"date-parts":[["2020"]]}},"suppress-author":true}],"schema":"https://github.com/citation-style-language/schema/raw/master/csl-citation.json"} </w:instrText>
      </w:r>
      <w:r>
        <w:rPr>
          <w:noProof/>
        </w:rPr>
        <w:fldChar w:fldCharType="separate"/>
      </w:r>
      <w:r w:rsidRPr="00A9643B">
        <w:rPr>
          <w:rFonts w:cs="Times New Roman"/>
        </w:rPr>
        <w:t>(2020)</w:t>
      </w:r>
      <w:r>
        <w:rPr>
          <w:noProof/>
        </w:rPr>
        <w:fldChar w:fldCharType="end"/>
      </w:r>
      <w:r>
        <w:rPr>
          <w:noProof/>
        </w:rPr>
        <w:t xml:space="preserve">. </w:t>
      </w:r>
      <w:r w:rsidRPr="007A3909">
        <w:rPr>
          <w:noProof/>
        </w:rPr>
        <w:t>Pink shaded band represents period in which compliance behaviours were measured.</w:t>
      </w:r>
    </w:p>
    <w:p w14:paraId="7E9558D3" w14:textId="77777777" w:rsidR="00A9643B" w:rsidRDefault="00A9643B" w:rsidP="00A9643B">
      <w:pPr>
        <w:spacing w:line="259" w:lineRule="auto"/>
        <w:jc w:val="left"/>
      </w:pPr>
      <w:r>
        <w:br w:type="page"/>
      </w:r>
    </w:p>
    <w:p w14:paraId="427D8878" w14:textId="77777777" w:rsidR="00A9643B" w:rsidRPr="00952B5D" w:rsidRDefault="00A9643B" w:rsidP="00A9643B">
      <w:pPr>
        <w:pStyle w:val="Heading1"/>
      </w:pPr>
      <w:r>
        <w:lastRenderedPageBreak/>
        <w:t>References</w:t>
      </w:r>
    </w:p>
    <w:p w14:paraId="7406F445" w14:textId="77777777" w:rsidR="00A9643B" w:rsidRPr="00A9643B" w:rsidRDefault="00A9643B" w:rsidP="00A9643B">
      <w:pPr>
        <w:pStyle w:val="Bibliography"/>
        <w:rPr>
          <w:rFonts w:cs="Times New Roman"/>
        </w:rPr>
      </w:pPr>
      <w:r>
        <w:fldChar w:fldCharType="begin"/>
      </w:r>
      <w:r>
        <w:instrText xml:space="preserve"> ADDIN ZOTERO_BIBL {"uncited":[],"omitted":[],"custom":[]} CSL_BIBLIOGRAPHY </w:instrText>
      </w:r>
      <w:r>
        <w:fldChar w:fldCharType="separate"/>
      </w:r>
      <w:r w:rsidRPr="00A9643B">
        <w:rPr>
          <w:rFonts w:cs="Times New Roman"/>
        </w:rPr>
        <w:t xml:space="preserve">Hale, T., Angrist, N., Cameron-Blake, E., Hallas, L., Kira, B., Majumdar, S., Petherick, A., Phillips, T., Tatlow, H., &amp; Webster, S. (2020). </w:t>
      </w:r>
      <w:r w:rsidRPr="00A9643B">
        <w:rPr>
          <w:rFonts w:cs="Times New Roman"/>
          <w:i/>
          <w:iCs/>
        </w:rPr>
        <w:t>Oxford COVID-19 Government Response Tracker</w:t>
      </w:r>
      <w:r w:rsidRPr="00A9643B">
        <w:rPr>
          <w:rFonts w:cs="Times New Roman"/>
        </w:rPr>
        <w:t>. Blavatnik School of Government. https://www.bsg.ox.ac.uk/research/research-projects/coronavirus-government-response-tracker</w:t>
      </w:r>
    </w:p>
    <w:p w14:paraId="49D5E910" w14:textId="77777777" w:rsidR="00A9643B" w:rsidRPr="00A9643B" w:rsidRDefault="00A9643B" w:rsidP="00A9643B">
      <w:pPr>
        <w:pStyle w:val="Bibliography"/>
        <w:rPr>
          <w:rFonts w:cs="Times New Roman"/>
        </w:rPr>
      </w:pPr>
      <w:r w:rsidRPr="00A9643B">
        <w:rPr>
          <w:rFonts w:cs="Times New Roman"/>
        </w:rPr>
        <w:t xml:space="preserve">Soto, C. J., &amp; John, O. P. (2017). The next Big Five Inventory (BFI-2): Developing and assessing a hierarchical model with 15 facets to enhance bandwidth, fidelity, and predictive power. </w:t>
      </w:r>
      <w:r w:rsidRPr="00A9643B">
        <w:rPr>
          <w:rFonts w:cs="Times New Roman"/>
          <w:i/>
          <w:iCs/>
        </w:rPr>
        <w:t>Journal of Personality and Social Psychology</w:t>
      </w:r>
      <w:r w:rsidRPr="00A9643B">
        <w:rPr>
          <w:rFonts w:cs="Times New Roman"/>
        </w:rPr>
        <w:t xml:space="preserve">, </w:t>
      </w:r>
      <w:r w:rsidRPr="00A9643B">
        <w:rPr>
          <w:rFonts w:cs="Times New Roman"/>
          <w:i/>
          <w:iCs/>
        </w:rPr>
        <w:t>113</w:t>
      </w:r>
      <w:r w:rsidRPr="00A9643B">
        <w:rPr>
          <w:rFonts w:cs="Times New Roman"/>
        </w:rPr>
        <w:t>(1), 117–143. https://doi.org/10.1037/pspp0000096</w:t>
      </w:r>
    </w:p>
    <w:p w14:paraId="0C7B6939" w14:textId="2817EAAD" w:rsidR="00270AAE" w:rsidRDefault="00A9643B">
      <w:r>
        <w:fldChar w:fldCharType="end"/>
      </w:r>
    </w:p>
    <w:sectPr w:rsidR="00270AAE" w:rsidSect="007D4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M Roman 10">
    <w:panose1 w:val="00000500000000000000"/>
    <w:charset w:val="00"/>
    <w:family w:val="modern"/>
    <w:notTrueType/>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3B"/>
    <w:rsid w:val="00017ED4"/>
    <w:rsid w:val="00066428"/>
    <w:rsid w:val="000873FC"/>
    <w:rsid w:val="000F60A7"/>
    <w:rsid w:val="00120282"/>
    <w:rsid w:val="00143D8C"/>
    <w:rsid w:val="001448AB"/>
    <w:rsid w:val="001F6991"/>
    <w:rsid w:val="00227E8B"/>
    <w:rsid w:val="0025195E"/>
    <w:rsid w:val="00260CAF"/>
    <w:rsid w:val="00270AAE"/>
    <w:rsid w:val="00275C74"/>
    <w:rsid w:val="002F3587"/>
    <w:rsid w:val="00332D33"/>
    <w:rsid w:val="00404812"/>
    <w:rsid w:val="0041397F"/>
    <w:rsid w:val="00447B9D"/>
    <w:rsid w:val="004726C1"/>
    <w:rsid w:val="004A6E7B"/>
    <w:rsid w:val="00524910"/>
    <w:rsid w:val="00585402"/>
    <w:rsid w:val="00586834"/>
    <w:rsid w:val="005A6EC8"/>
    <w:rsid w:val="005C3DAE"/>
    <w:rsid w:val="005D6614"/>
    <w:rsid w:val="00614F91"/>
    <w:rsid w:val="0068370F"/>
    <w:rsid w:val="00687895"/>
    <w:rsid w:val="006A4AC0"/>
    <w:rsid w:val="006B45FA"/>
    <w:rsid w:val="007259D3"/>
    <w:rsid w:val="00757024"/>
    <w:rsid w:val="007B75AE"/>
    <w:rsid w:val="008252F4"/>
    <w:rsid w:val="00841F2B"/>
    <w:rsid w:val="009938B4"/>
    <w:rsid w:val="00A72A7D"/>
    <w:rsid w:val="00A93887"/>
    <w:rsid w:val="00A9643B"/>
    <w:rsid w:val="00AE0A17"/>
    <w:rsid w:val="00AE7EA4"/>
    <w:rsid w:val="00B33920"/>
    <w:rsid w:val="00B41F3B"/>
    <w:rsid w:val="00BB15C1"/>
    <w:rsid w:val="00BE63EE"/>
    <w:rsid w:val="00BF7408"/>
    <w:rsid w:val="00C17C56"/>
    <w:rsid w:val="00C217A5"/>
    <w:rsid w:val="00CB4E96"/>
    <w:rsid w:val="00CB7E56"/>
    <w:rsid w:val="00D2012D"/>
    <w:rsid w:val="00D95F26"/>
    <w:rsid w:val="00E23FC8"/>
    <w:rsid w:val="00EA01B2"/>
    <w:rsid w:val="00F9094A"/>
    <w:rsid w:val="00FA7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46D7"/>
  <w15:chartTrackingRefBased/>
  <w15:docId w15:val="{35B7320D-0E43-41EA-A3C3-CB9180CB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43B"/>
    <w:pPr>
      <w:spacing w:line="360" w:lineRule="auto"/>
      <w:jc w:val="both"/>
    </w:pPr>
    <w:rPr>
      <w:rFonts w:ascii="Times New Roman" w:hAnsi="Times New Roman"/>
    </w:rPr>
  </w:style>
  <w:style w:type="paragraph" w:styleId="Heading1">
    <w:name w:val="heading 1"/>
    <w:basedOn w:val="Normal"/>
    <w:next w:val="Normal"/>
    <w:link w:val="Heading1Char"/>
    <w:uiPriority w:val="9"/>
    <w:qFormat/>
    <w:rsid w:val="006A4AC0"/>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4AC0"/>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A4AC0"/>
    <w:pPr>
      <w:keepNext/>
      <w:keepLines/>
      <w:spacing w:before="40" w:after="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A4AC0"/>
    <w:pPr>
      <w:keepNext/>
      <w:keepLines/>
      <w:spacing w:before="40" w:after="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A4AC0"/>
    <w:pPr>
      <w:keepNext/>
      <w:keepLines/>
      <w:spacing w:before="40" w:after="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6A4AC0"/>
    <w:pPr>
      <w:keepNext/>
      <w:keepLines/>
      <w:spacing w:before="40" w:after="0"/>
      <w:outlineLvl w:val="5"/>
    </w:pPr>
    <w:rPr>
      <w:rFonts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6A4AC0"/>
    <w:pPr>
      <w:keepNext/>
      <w:keepLines/>
      <w:spacing w:before="40" w:after="0"/>
      <w:outlineLvl w:val="6"/>
    </w:pPr>
    <w:rPr>
      <w:rFonts w:eastAsiaTheme="majorEastAsia"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AC0"/>
    <w:rPr>
      <w:rFonts w:ascii="Times New Roman" w:eastAsiaTheme="majorEastAsia" w:hAnsi="Times New Roman" w:cstheme="majorBidi"/>
      <w:color w:val="2F5496" w:themeColor="accent1" w:themeShade="BF"/>
      <w:sz w:val="32"/>
      <w:szCs w:val="32"/>
    </w:rPr>
  </w:style>
  <w:style w:type="character" w:customStyle="1" w:styleId="Heading2Char">
    <w:name w:val="Heading 2 Char"/>
    <w:basedOn w:val="DefaultParagraphFont"/>
    <w:link w:val="Heading2"/>
    <w:uiPriority w:val="9"/>
    <w:rsid w:val="006A4AC0"/>
    <w:rPr>
      <w:rFonts w:ascii="Times New Roman" w:eastAsiaTheme="majorEastAsia" w:hAnsi="Times New Roman" w:cstheme="majorBidi"/>
      <w:color w:val="2F5496" w:themeColor="accent1" w:themeShade="BF"/>
      <w:sz w:val="26"/>
      <w:szCs w:val="26"/>
    </w:rPr>
  </w:style>
  <w:style w:type="character" w:customStyle="1" w:styleId="Heading3Char">
    <w:name w:val="Heading 3 Char"/>
    <w:basedOn w:val="DefaultParagraphFont"/>
    <w:link w:val="Heading3"/>
    <w:uiPriority w:val="9"/>
    <w:rsid w:val="006A4AC0"/>
    <w:rPr>
      <w:rFonts w:ascii="Times New Roman" w:eastAsiaTheme="majorEastAsia" w:hAnsi="Times New Roman" w:cstheme="majorBidi"/>
      <w:color w:val="1F3763" w:themeColor="accent1" w:themeShade="7F"/>
      <w:sz w:val="24"/>
      <w:szCs w:val="24"/>
    </w:rPr>
  </w:style>
  <w:style w:type="character" w:customStyle="1" w:styleId="Heading4Char">
    <w:name w:val="Heading 4 Char"/>
    <w:basedOn w:val="DefaultParagraphFont"/>
    <w:link w:val="Heading4"/>
    <w:uiPriority w:val="9"/>
    <w:rsid w:val="006A4AC0"/>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rsid w:val="006A4AC0"/>
    <w:rPr>
      <w:rFonts w:ascii="Times New Roman" w:eastAsiaTheme="majorEastAsia" w:hAnsi="Times New Roman" w:cstheme="majorBidi"/>
      <w:color w:val="2F5496" w:themeColor="accent1" w:themeShade="BF"/>
    </w:rPr>
  </w:style>
  <w:style w:type="paragraph" w:styleId="Title">
    <w:name w:val="Title"/>
    <w:basedOn w:val="Normal"/>
    <w:next w:val="Normal"/>
    <w:link w:val="TitleChar"/>
    <w:uiPriority w:val="10"/>
    <w:qFormat/>
    <w:rsid w:val="006A4AC0"/>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A4AC0"/>
    <w:rPr>
      <w:rFonts w:ascii="Times New Roman" w:eastAsiaTheme="majorEastAsia" w:hAnsi="Times New Roman" w:cstheme="majorBidi"/>
      <w:spacing w:val="-10"/>
      <w:kern w:val="28"/>
      <w:sz w:val="56"/>
      <w:szCs w:val="56"/>
    </w:rPr>
  </w:style>
  <w:style w:type="paragraph" w:styleId="Subtitle">
    <w:name w:val="Subtitle"/>
    <w:basedOn w:val="Normal"/>
    <w:next w:val="Normal"/>
    <w:link w:val="SubtitleChar"/>
    <w:uiPriority w:val="11"/>
    <w:qFormat/>
    <w:rsid w:val="006A4AC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A4AC0"/>
    <w:rPr>
      <w:rFonts w:ascii="Times New Roman" w:eastAsiaTheme="minorEastAsia" w:hAnsi="Times New Roman"/>
      <w:color w:val="5A5A5A" w:themeColor="text1" w:themeTint="A5"/>
      <w:spacing w:val="15"/>
    </w:rPr>
  </w:style>
  <w:style w:type="character" w:customStyle="1" w:styleId="Heading6Char">
    <w:name w:val="Heading 6 Char"/>
    <w:basedOn w:val="DefaultParagraphFont"/>
    <w:link w:val="Heading6"/>
    <w:uiPriority w:val="9"/>
    <w:rsid w:val="006A4AC0"/>
    <w:rPr>
      <w:rFonts w:ascii="Times New Roman" w:eastAsiaTheme="majorEastAsia" w:hAnsi="Times New Roman" w:cstheme="majorBidi"/>
      <w:color w:val="1F3763" w:themeColor="accent1" w:themeShade="7F"/>
    </w:rPr>
  </w:style>
  <w:style w:type="character" w:styleId="Emphasis">
    <w:name w:val="Emphasis"/>
    <w:basedOn w:val="DefaultParagraphFont"/>
    <w:uiPriority w:val="20"/>
    <w:qFormat/>
    <w:rsid w:val="006A4AC0"/>
    <w:rPr>
      <w:rFonts w:ascii="LM Roman 10" w:hAnsi="LM Roman 10"/>
      <w:i/>
      <w:iCs/>
    </w:rPr>
  </w:style>
  <w:style w:type="character" w:styleId="IntenseReference">
    <w:name w:val="Intense Reference"/>
    <w:basedOn w:val="DefaultParagraphFont"/>
    <w:uiPriority w:val="32"/>
    <w:qFormat/>
    <w:rsid w:val="006A4AC0"/>
    <w:rPr>
      <w:rFonts w:ascii="LM Roman 10" w:hAnsi="LM Roman 10"/>
      <w:b/>
      <w:bCs/>
      <w:smallCaps/>
      <w:color w:val="4472C4" w:themeColor="accent1"/>
      <w:spacing w:val="5"/>
    </w:rPr>
  </w:style>
  <w:style w:type="character" w:customStyle="1" w:styleId="Heading7Char">
    <w:name w:val="Heading 7 Char"/>
    <w:basedOn w:val="DefaultParagraphFont"/>
    <w:link w:val="Heading7"/>
    <w:uiPriority w:val="9"/>
    <w:rsid w:val="006A4AC0"/>
    <w:rPr>
      <w:rFonts w:ascii="Times New Roman" w:eastAsiaTheme="majorEastAsia" w:hAnsi="Times New Roman" w:cstheme="majorBidi"/>
      <w:i/>
      <w:iCs/>
      <w:color w:val="1F3763" w:themeColor="accent1" w:themeShade="7F"/>
    </w:rPr>
  </w:style>
  <w:style w:type="character" w:styleId="SubtleReference">
    <w:name w:val="Subtle Reference"/>
    <w:basedOn w:val="DefaultParagraphFont"/>
    <w:uiPriority w:val="31"/>
    <w:qFormat/>
    <w:rsid w:val="006A4AC0"/>
    <w:rPr>
      <w:rFonts w:ascii="LM Roman 10" w:hAnsi="LM Roman 10"/>
      <w:smallCaps/>
      <w:color w:val="5A5A5A" w:themeColor="text1" w:themeTint="A5"/>
    </w:rPr>
  </w:style>
  <w:style w:type="character" w:styleId="Strong">
    <w:name w:val="Strong"/>
    <w:basedOn w:val="DefaultParagraphFont"/>
    <w:uiPriority w:val="22"/>
    <w:qFormat/>
    <w:rsid w:val="006A4AC0"/>
    <w:rPr>
      <w:rFonts w:ascii="Times New Roman" w:hAnsi="Times New Roman"/>
      <w:b/>
      <w:bCs/>
      <w:color w:val="auto"/>
    </w:rPr>
  </w:style>
  <w:style w:type="character" w:styleId="CommentReference">
    <w:name w:val="annotation reference"/>
    <w:basedOn w:val="DefaultParagraphFont"/>
    <w:uiPriority w:val="99"/>
    <w:semiHidden/>
    <w:unhideWhenUsed/>
    <w:rsid w:val="00A9643B"/>
    <w:rPr>
      <w:sz w:val="16"/>
      <w:szCs w:val="16"/>
    </w:rPr>
  </w:style>
  <w:style w:type="paragraph" w:styleId="CommentText">
    <w:name w:val="annotation text"/>
    <w:basedOn w:val="Normal"/>
    <w:link w:val="CommentTextChar"/>
    <w:uiPriority w:val="99"/>
    <w:unhideWhenUsed/>
    <w:rsid w:val="00A9643B"/>
    <w:pPr>
      <w:spacing w:line="240" w:lineRule="auto"/>
    </w:pPr>
    <w:rPr>
      <w:sz w:val="20"/>
      <w:szCs w:val="20"/>
    </w:rPr>
  </w:style>
  <w:style w:type="character" w:customStyle="1" w:styleId="CommentTextChar">
    <w:name w:val="Comment Text Char"/>
    <w:basedOn w:val="DefaultParagraphFont"/>
    <w:link w:val="CommentText"/>
    <w:uiPriority w:val="99"/>
    <w:rsid w:val="00A9643B"/>
    <w:rPr>
      <w:rFonts w:ascii="Times New Roman" w:hAnsi="Times New Roman"/>
      <w:sz w:val="20"/>
      <w:szCs w:val="20"/>
    </w:rPr>
  </w:style>
  <w:style w:type="paragraph" w:styleId="Bibliography">
    <w:name w:val="Bibliography"/>
    <w:basedOn w:val="Normal"/>
    <w:next w:val="Normal"/>
    <w:uiPriority w:val="37"/>
    <w:unhideWhenUsed/>
    <w:rsid w:val="00A9643B"/>
    <w:pPr>
      <w:spacing w:after="0" w:line="480" w:lineRule="auto"/>
      <w:ind w:left="720" w:hanging="720"/>
    </w:pPr>
  </w:style>
  <w:style w:type="paragraph" w:styleId="Caption">
    <w:name w:val="caption"/>
    <w:basedOn w:val="Normal"/>
    <w:next w:val="Normal"/>
    <w:uiPriority w:val="35"/>
    <w:unhideWhenUsed/>
    <w:qFormat/>
    <w:rsid w:val="0068370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1811</Words>
  <Characters>10326</Characters>
  <Application>Microsoft Office Word</Application>
  <DocSecurity>0</DocSecurity>
  <Lines>86</Lines>
  <Paragraphs>24</Paragraphs>
  <ScaleCrop>false</ScaleCrop>
  <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Wright</dc:creator>
  <cp:keywords/>
  <dc:description/>
  <cp:lastModifiedBy>Liam Wright</cp:lastModifiedBy>
  <cp:revision>7</cp:revision>
  <dcterms:created xsi:type="dcterms:W3CDTF">2021-06-02T15:52:00Z</dcterms:created>
  <dcterms:modified xsi:type="dcterms:W3CDTF">2021-11-17T11:15:00Z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id="63f40YHN"/&gt;&lt;style id="http://www.zotero.org/styles/apa" locale="en-GB"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