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1AB" w:rsidRDefault="006111AB"/>
    <w:tbl>
      <w:tblPr>
        <w:tblW w:w="8721" w:type="dxa"/>
        <w:tblLook w:val="04A0" w:firstRow="1" w:lastRow="0" w:firstColumn="1" w:lastColumn="0" w:noHBand="0" w:noVBand="1"/>
      </w:tblPr>
      <w:tblGrid>
        <w:gridCol w:w="3815"/>
        <w:gridCol w:w="1191"/>
        <w:gridCol w:w="1262"/>
        <w:gridCol w:w="1191"/>
        <w:gridCol w:w="1262"/>
      </w:tblGrid>
      <w:tr w:rsidR="002F0758" w:rsidRPr="009B16DE" w:rsidTr="007A1072">
        <w:trPr>
          <w:trHeight w:val="300"/>
        </w:trPr>
        <w:tc>
          <w:tcPr>
            <w:tcW w:w="872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9B16DE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B7395"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>Table S1</w:t>
            </w:r>
            <w:r w:rsidR="002F0758"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. CCI for non-coverage of full immunization of children in Bangladesh</w:t>
            </w:r>
          </w:p>
        </w:tc>
      </w:tr>
      <w:tr w:rsidR="002F0758" w:rsidRPr="009B16DE" w:rsidTr="007A1072">
        <w:trPr>
          <w:trHeight w:val="300"/>
        </w:trPr>
        <w:tc>
          <w:tcPr>
            <w:tcW w:w="381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Types of CCI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2007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2017</w:t>
            </w:r>
          </w:p>
        </w:tc>
      </w:tr>
      <w:tr w:rsidR="002F0758" w:rsidRPr="009B16DE" w:rsidTr="007A1072">
        <w:trPr>
          <w:trHeight w:val="300"/>
        </w:trPr>
        <w:tc>
          <w:tcPr>
            <w:tcW w:w="381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F0758" w:rsidRPr="009B16DE" w:rsidRDefault="002F0758" w:rsidP="002F0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CCI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p-value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CCI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  <w:t>p-value</w:t>
            </w:r>
          </w:p>
        </w:tc>
      </w:tr>
      <w:tr w:rsidR="002F0758" w:rsidRPr="009B16DE" w:rsidTr="007A1072">
        <w:trPr>
          <w:trHeight w:val="300"/>
        </w:trPr>
        <w:tc>
          <w:tcPr>
            <w:tcW w:w="38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Generalized CCI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31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-0.13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58" w:rsidRPr="009B16DE" w:rsidRDefault="002F0758" w:rsidP="0031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&lt;0.0001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31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-0.08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&lt;0.0001</w:t>
            </w:r>
          </w:p>
        </w:tc>
      </w:tr>
      <w:tr w:rsidR="002F0758" w:rsidRPr="009B16DE" w:rsidTr="007A1072">
        <w:trPr>
          <w:trHeight w:val="300"/>
        </w:trPr>
        <w:tc>
          <w:tcPr>
            <w:tcW w:w="3815" w:type="dxa"/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Erreygers normalized CCI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-0.0485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0.0002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-0.0197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0.0307</w:t>
            </w:r>
          </w:p>
        </w:tc>
      </w:tr>
      <w:tr w:rsidR="002F0758" w:rsidRPr="009B16DE" w:rsidTr="007A1072">
        <w:trPr>
          <w:trHeight w:val="300"/>
        </w:trPr>
        <w:tc>
          <w:tcPr>
            <w:tcW w:w="38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Wagstaff normalized CCI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-0.05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0.0002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-0.02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0.03</w:t>
            </w:r>
          </w:p>
        </w:tc>
      </w:tr>
      <w:tr w:rsidR="002F0758" w:rsidRPr="009B16DE" w:rsidTr="007A1072">
        <w:trPr>
          <w:trHeight w:val="300"/>
        </w:trPr>
        <w:tc>
          <w:tcPr>
            <w:tcW w:w="38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9B16DE">
              <w:rPr>
                <w:rFonts w:ascii="Times New Roman" w:eastAsia="Times New Roman" w:hAnsi="Times New Roman" w:cs="Times New Roman"/>
                <w:color w:val="000000"/>
                <w:szCs w:val="22"/>
              </w:rPr>
              <w:t>CCI: Concentration Index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758" w:rsidRPr="009B16DE" w:rsidRDefault="002F0758" w:rsidP="002F0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2F0758" w:rsidRDefault="002F0758">
      <w:bookmarkStart w:id="0" w:name="_GoBack"/>
      <w:bookmarkEnd w:id="0"/>
    </w:p>
    <w:sectPr w:rsidR="002F0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79"/>
    <w:rsid w:val="000B3379"/>
    <w:rsid w:val="00164D9F"/>
    <w:rsid w:val="002F0758"/>
    <w:rsid w:val="0031498F"/>
    <w:rsid w:val="006111AB"/>
    <w:rsid w:val="006B7395"/>
    <w:rsid w:val="007A1072"/>
    <w:rsid w:val="009B16DE"/>
    <w:rsid w:val="00D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3F568"/>
  <w15:chartTrackingRefBased/>
  <w15:docId w15:val="{9B66DC92-011F-4221-B374-1FC52640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8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</dc:creator>
  <cp:keywords/>
  <dc:description/>
  <cp:lastModifiedBy>MHIMC-SHOBHIT</cp:lastModifiedBy>
  <cp:revision>19</cp:revision>
  <dcterms:created xsi:type="dcterms:W3CDTF">2021-11-30T16:43:00Z</dcterms:created>
  <dcterms:modified xsi:type="dcterms:W3CDTF">2021-12-02T04:19:00Z</dcterms:modified>
</cp:coreProperties>
</file>