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431B9" w14:textId="37AF154B" w:rsidR="00AF43CE" w:rsidRDefault="00AF43CE">
      <w:r>
        <w:t xml:space="preserve">Figure S1: </w:t>
      </w:r>
      <w:r w:rsidRPr="00F16FE7">
        <w:t>Crude prevalence of pre-</w:t>
      </w:r>
      <w:r>
        <w:t>gestational</w:t>
      </w:r>
      <w:r w:rsidRPr="00F16FE7">
        <w:t xml:space="preserve"> diabetes among Aboriginal and non-Aboriginal </w:t>
      </w:r>
      <w:r>
        <w:t xml:space="preserve">pregnancies, </w:t>
      </w:r>
      <w:r w:rsidRPr="00F16FE7">
        <w:t>1998-2015</w:t>
      </w:r>
    </w:p>
    <w:p w14:paraId="3B4472DB" w14:textId="4131063D" w:rsidR="00AF43CE" w:rsidRDefault="00582986">
      <w:r>
        <w:rPr>
          <w:noProof/>
        </w:rPr>
        <w:drawing>
          <wp:inline distT="0" distB="0" distL="0" distR="0" wp14:anchorId="10C9282E" wp14:editId="04B79457">
            <wp:extent cx="6743700" cy="4399221"/>
            <wp:effectExtent l="0" t="0" r="0" b="190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38AE87A-E19D-4F70-8279-8EB5E587649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4BF6FD92" w14:textId="77777777" w:rsidR="00AF43CE" w:rsidRDefault="00AF43CE">
      <w:r w:rsidRPr="00F16FE7">
        <w:t>The dotted lines are the 95% confidence intervals.</w:t>
      </w:r>
    </w:p>
    <w:p w14:paraId="61E7FE99" w14:textId="699CBBC8" w:rsidR="00AF43CE" w:rsidRDefault="00AF43CE" w:rsidP="00B41708"/>
    <w:sectPr w:rsidR="00AF43CE" w:rsidSect="009643A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fzwtaedqv9e23efw5wxx9r0529rtvwxzszf&quot;&gt;My EndNote Library&lt;record-ids&gt;&lt;item&gt;700&lt;/item&gt;&lt;/record-ids&gt;&lt;/item&gt;&lt;/Libraries&gt;"/>
  </w:docVars>
  <w:rsids>
    <w:rsidRoot w:val="00EE6713"/>
    <w:rsid w:val="00012635"/>
    <w:rsid w:val="00063DB2"/>
    <w:rsid w:val="00070D9E"/>
    <w:rsid w:val="00093BEC"/>
    <w:rsid w:val="00094C32"/>
    <w:rsid w:val="000B0652"/>
    <w:rsid w:val="000E5C25"/>
    <w:rsid w:val="00102B88"/>
    <w:rsid w:val="00113E77"/>
    <w:rsid w:val="00125275"/>
    <w:rsid w:val="0013778F"/>
    <w:rsid w:val="00147B35"/>
    <w:rsid w:val="00182BA0"/>
    <w:rsid w:val="00190980"/>
    <w:rsid w:val="0019495A"/>
    <w:rsid w:val="001F3E9B"/>
    <w:rsid w:val="001F4B75"/>
    <w:rsid w:val="00200596"/>
    <w:rsid w:val="00213BE4"/>
    <w:rsid w:val="00216EF0"/>
    <w:rsid w:val="00233C75"/>
    <w:rsid w:val="0027666A"/>
    <w:rsid w:val="002A39EF"/>
    <w:rsid w:val="002B51AE"/>
    <w:rsid w:val="002B687F"/>
    <w:rsid w:val="002B6DDA"/>
    <w:rsid w:val="002F2630"/>
    <w:rsid w:val="002F4F0D"/>
    <w:rsid w:val="00324463"/>
    <w:rsid w:val="00347995"/>
    <w:rsid w:val="0037253B"/>
    <w:rsid w:val="00374713"/>
    <w:rsid w:val="003C6113"/>
    <w:rsid w:val="003E3106"/>
    <w:rsid w:val="003F4BF8"/>
    <w:rsid w:val="0040647C"/>
    <w:rsid w:val="004424C4"/>
    <w:rsid w:val="00444479"/>
    <w:rsid w:val="0044703C"/>
    <w:rsid w:val="004857DC"/>
    <w:rsid w:val="004975AB"/>
    <w:rsid w:val="004A4830"/>
    <w:rsid w:val="004B08D2"/>
    <w:rsid w:val="004C5C3A"/>
    <w:rsid w:val="004E1027"/>
    <w:rsid w:val="004E5BAE"/>
    <w:rsid w:val="00502564"/>
    <w:rsid w:val="005038C1"/>
    <w:rsid w:val="005119E9"/>
    <w:rsid w:val="00526B81"/>
    <w:rsid w:val="00551561"/>
    <w:rsid w:val="00561C9C"/>
    <w:rsid w:val="00582986"/>
    <w:rsid w:val="00597DBD"/>
    <w:rsid w:val="005A03C3"/>
    <w:rsid w:val="005A22CF"/>
    <w:rsid w:val="005D35C6"/>
    <w:rsid w:val="005F4CB0"/>
    <w:rsid w:val="00607A40"/>
    <w:rsid w:val="00625102"/>
    <w:rsid w:val="00644E42"/>
    <w:rsid w:val="00694369"/>
    <w:rsid w:val="00696D07"/>
    <w:rsid w:val="006A70A3"/>
    <w:rsid w:val="006C350F"/>
    <w:rsid w:val="006C67C1"/>
    <w:rsid w:val="006C7AE4"/>
    <w:rsid w:val="00700B2F"/>
    <w:rsid w:val="00705A6B"/>
    <w:rsid w:val="00717EC4"/>
    <w:rsid w:val="00724DA5"/>
    <w:rsid w:val="00724F4C"/>
    <w:rsid w:val="00753355"/>
    <w:rsid w:val="00767389"/>
    <w:rsid w:val="00767BAC"/>
    <w:rsid w:val="007B1FE3"/>
    <w:rsid w:val="007C4586"/>
    <w:rsid w:val="007E3E1B"/>
    <w:rsid w:val="00804985"/>
    <w:rsid w:val="0080508C"/>
    <w:rsid w:val="00814281"/>
    <w:rsid w:val="00816E1A"/>
    <w:rsid w:val="008211A5"/>
    <w:rsid w:val="00833719"/>
    <w:rsid w:val="008551A9"/>
    <w:rsid w:val="00862732"/>
    <w:rsid w:val="008835F1"/>
    <w:rsid w:val="008B091B"/>
    <w:rsid w:val="008D5A75"/>
    <w:rsid w:val="008F27E6"/>
    <w:rsid w:val="00910F8B"/>
    <w:rsid w:val="00916B59"/>
    <w:rsid w:val="0092476D"/>
    <w:rsid w:val="00947B8A"/>
    <w:rsid w:val="00951440"/>
    <w:rsid w:val="0095421D"/>
    <w:rsid w:val="009643AD"/>
    <w:rsid w:val="00971829"/>
    <w:rsid w:val="00977EBC"/>
    <w:rsid w:val="009828BF"/>
    <w:rsid w:val="00987CAC"/>
    <w:rsid w:val="009A6150"/>
    <w:rsid w:val="009C4D60"/>
    <w:rsid w:val="009E02F6"/>
    <w:rsid w:val="009E770B"/>
    <w:rsid w:val="00A10E10"/>
    <w:rsid w:val="00A34EA7"/>
    <w:rsid w:val="00A4144E"/>
    <w:rsid w:val="00A51716"/>
    <w:rsid w:val="00A755DB"/>
    <w:rsid w:val="00AA7021"/>
    <w:rsid w:val="00AB774A"/>
    <w:rsid w:val="00AC61D5"/>
    <w:rsid w:val="00AD3C94"/>
    <w:rsid w:val="00AF0146"/>
    <w:rsid w:val="00AF43CE"/>
    <w:rsid w:val="00B20D57"/>
    <w:rsid w:val="00B246AC"/>
    <w:rsid w:val="00B31E5A"/>
    <w:rsid w:val="00B575CC"/>
    <w:rsid w:val="00B66516"/>
    <w:rsid w:val="00B8229F"/>
    <w:rsid w:val="00BA21F9"/>
    <w:rsid w:val="00BE5534"/>
    <w:rsid w:val="00BE6BB2"/>
    <w:rsid w:val="00BF7D83"/>
    <w:rsid w:val="00CA452C"/>
    <w:rsid w:val="00D046CA"/>
    <w:rsid w:val="00D17132"/>
    <w:rsid w:val="00D20E99"/>
    <w:rsid w:val="00D375B3"/>
    <w:rsid w:val="00D43F3E"/>
    <w:rsid w:val="00D534FF"/>
    <w:rsid w:val="00DA7D14"/>
    <w:rsid w:val="00DD00FD"/>
    <w:rsid w:val="00DF0BBC"/>
    <w:rsid w:val="00E01FEB"/>
    <w:rsid w:val="00E1654A"/>
    <w:rsid w:val="00E35697"/>
    <w:rsid w:val="00E65179"/>
    <w:rsid w:val="00EB561E"/>
    <w:rsid w:val="00EC154A"/>
    <w:rsid w:val="00EE230A"/>
    <w:rsid w:val="00EE2F7A"/>
    <w:rsid w:val="00EE6713"/>
    <w:rsid w:val="00F02D6E"/>
    <w:rsid w:val="00F0623C"/>
    <w:rsid w:val="00F23083"/>
    <w:rsid w:val="00FC4915"/>
    <w:rsid w:val="00FD770B"/>
    <w:rsid w:val="00FD775E"/>
    <w:rsid w:val="00FE46DD"/>
    <w:rsid w:val="00FF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7D7AE"/>
  <w15:chartTrackingRefBased/>
  <w15:docId w15:val="{4951F175-F635-4D1C-A221-ABD4CABA4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3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97D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7D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7D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D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DBD"/>
    <w:rPr>
      <w:b/>
      <w:bCs/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DA7D1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A7D14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DA7D14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8211A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211A5"/>
    <w:rPr>
      <w:rFonts w:ascii="Calibri" w:hAnsi="Calibri" w:cs="Calibri"/>
      <w:noProof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211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22649277\OneDrive%20-%20The%20University%20of%20Western%20Australia\003%20Trends%20Objective\002%20some%20data%20management%20and%20analysis\00%20Reviewers\Re-analysis\Figures\00%20GOSR%20Figure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818853151830599"/>
          <c:y val="6.3244632143890103E-2"/>
          <c:w val="0.83403458042320977"/>
          <c:h val="0.67653970711434996"/>
        </c:manualLayout>
      </c:layout>
      <c:lineChart>
        <c:grouping val="standard"/>
        <c:varyColors val="0"/>
        <c:ser>
          <c:idx val="0"/>
          <c:order val="0"/>
          <c:tx>
            <c:strRef>
              <c:f>'GOSR prev by 2_yrs'!$I$3</c:f>
              <c:strCache>
                <c:ptCount val="1"/>
                <c:pt idx="0">
                  <c:v>Aboriginal mothers</c:v>
                </c:pt>
              </c:strCache>
            </c:strRef>
          </c:tx>
          <c:spPr>
            <a:ln w="3175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'GOSR prev by 2_yrs'!$B$4:$B$12</c:f>
              <c:strCache>
                <c:ptCount val="9"/>
                <c:pt idx="0">
                  <c:v>1998-1999</c:v>
                </c:pt>
                <c:pt idx="1">
                  <c:v>2000-2001</c:v>
                </c:pt>
                <c:pt idx="2">
                  <c:v>2002-2003</c:v>
                </c:pt>
                <c:pt idx="3">
                  <c:v>2004-2005</c:v>
                </c:pt>
                <c:pt idx="4">
                  <c:v>2006-2007</c:v>
                </c:pt>
                <c:pt idx="5">
                  <c:v>2008-2009</c:v>
                </c:pt>
                <c:pt idx="6">
                  <c:v>2010-2011</c:v>
                </c:pt>
                <c:pt idx="7">
                  <c:v>2012-2013</c:v>
                </c:pt>
                <c:pt idx="8">
                  <c:v>2014-2015</c:v>
                </c:pt>
              </c:strCache>
            </c:strRef>
          </c:cat>
          <c:val>
            <c:numRef>
              <c:f>'GOSR prev by 2_yrs'!$I$4:$I$12</c:f>
              <c:numCache>
                <c:formatCode>0.00</c:formatCode>
                <c:ptCount val="9"/>
                <c:pt idx="0">
                  <c:v>2.24417</c:v>
                </c:pt>
                <c:pt idx="1">
                  <c:v>2.6859500000000001</c:v>
                </c:pt>
                <c:pt idx="2">
                  <c:v>3.0134600000000002</c:v>
                </c:pt>
                <c:pt idx="3">
                  <c:v>2.9872000000000001</c:v>
                </c:pt>
                <c:pt idx="4">
                  <c:v>2.5490699999999999</c:v>
                </c:pt>
                <c:pt idx="5">
                  <c:v>2.31006</c:v>
                </c:pt>
                <c:pt idx="6">
                  <c:v>2.6999</c:v>
                </c:pt>
                <c:pt idx="7">
                  <c:v>2.9600999999999997</c:v>
                </c:pt>
                <c:pt idx="8">
                  <c:v>3.4918999999999998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1E5-43E6-AB53-0C66AB6C1582}"/>
            </c:ext>
          </c:extLst>
        </c:ser>
        <c:ser>
          <c:idx val="1"/>
          <c:order val="1"/>
          <c:tx>
            <c:strRef>
              <c:f>'GOSR prev by 2_yrs'!$J$3</c:f>
              <c:strCache>
                <c:ptCount val="1"/>
                <c:pt idx="0">
                  <c:v>ped_ab_9periods_lower_limit</c:v>
                </c:pt>
              </c:strCache>
            </c:strRef>
          </c:tx>
          <c:spPr>
            <a:ln w="6350" cap="rnd">
              <a:solidFill>
                <a:schemeClr val="accent2"/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'GOSR prev by 2_yrs'!$B$4:$B$12</c:f>
              <c:strCache>
                <c:ptCount val="9"/>
                <c:pt idx="0">
                  <c:v>1998-1999</c:v>
                </c:pt>
                <c:pt idx="1">
                  <c:v>2000-2001</c:v>
                </c:pt>
                <c:pt idx="2">
                  <c:v>2002-2003</c:v>
                </c:pt>
                <c:pt idx="3">
                  <c:v>2004-2005</c:v>
                </c:pt>
                <c:pt idx="4">
                  <c:v>2006-2007</c:v>
                </c:pt>
                <c:pt idx="5">
                  <c:v>2008-2009</c:v>
                </c:pt>
                <c:pt idx="6">
                  <c:v>2010-2011</c:v>
                </c:pt>
                <c:pt idx="7">
                  <c:v>2012-2013</c:v>
                </c:pt>
                <c:pt idx="8">
                  <c:v>2014-2015</c:v>
                </c:pt>
              </c:strCache>
            </c:strRef>
          </c:cat>
          <c:val>
            <c:numRef>
              <c:f>'GOSR prev by 2_yrs'!$J$4:$J$12</c:f>
              <c:numCache>
                <c:formatCode>0.00</c:formatCode>
                <c:ptCount val="9"/>
                <c:pt idx="0">
                  <c:v>1.79325</c:v>
                </c:pt>
                <c:pt idx="1">
                  <c:v>2.1919999999999997</c:v>
                </c:pt>
                <c:pt idx="2">
                  <c:v>2.4902000000000002</c:v>
                </c:pt>
                <c:pt idx="3">
                  <c:v>2.4729700000000001</c:v>
                </c:pt>
                <c:pt idx="4">
                  <c:v>2.0996700000000001</c:v>
                </c:pt>
                <c:pt idx="5">
                  <c:v>1.8825100000000001</c:v>
                </c:pt>
                <c:pt idx="6">
                  <c:v>2.23258</c:v>
                </c:pt>
                <c:pt idx="7">
                  <c:v>2.4712100000000001</c:v>
                </c:pt>
                <c:pt idx="8">
                  <c:v>2.9626199999999998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1E5-43E6-AB53-0C66AB6C1582}"/>
            </c:ext>
          </c:extLst>
        </c:ser>
        <c:ser>
          <c:idx val="2"/>
          <c:order val="2"/>
          <c:tx>
            <c:strRef>
              <c:f>'GOSR prev by 2_yrs'!$K$3</c:f>
              <c:strCache>
                <c:ptCount val="1"/>
                <c:pt idx="0">
                  <c:v>ped_ab_9periods_upper_limit</c:v>
                </c:pt>
              </c:strCache>
            </c:strRef>
          </c:tx>
          <c:spPr>
            <a:ln w="6350" cap="rnd">
              <a:solidFill>
                <a:schemeClr val="accent2"/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'GOSR prev by 2_yrs'!$B$4:$B$12</c:f>
              <c:strCache>
                <c:ptCount val="9"/>
                <c:pt idx="0">
                  <c:v>1998-1999</c:v>
                </c:pt>
                <c:pt idx="1">
                  <c:v>2000-2001</c:v>
                </c:pt>
                <c:pt idx="2">
                  <c:v>2002-2003</c:v>
                </c:pt>
                <c:pt idx="3">
                  <c:v>2004-2005</c:v>
                </c:pt>
                <c:pt idx="4">
                  <c:v>2006-2007</c:v>
                </c:pt>
                <c:pt idx="5">
                  <c:v>2008-2009</c:v>
                </c:pt>
                <c:pt idx="6">
                  <c:v>2010-2011</c:v>
                </c:pt>
                <c:pt idx="7">
                  <c:v>2012-2013</c:v>
                </c:pt>
                <c:pt idx="8">
                  <c:v>2014-2015</c:v>
                </c:pt>
              </c:strCache>
            </c:strRef>
          </c:cat>
          <c:val>
            <c:numRef>
              <c:f>'GOSR prev by 2_yrs'!$K$4:$K$12</c:f>
              <c:numCache>
                <c:formatCode>0.00</c:formatCode>
                <c:ptCount val="9"/>
                <c:pt idx="0">
                  <c:v>2.8052299999999999</c:v>
                </c:pt>
                <c:pt idx="1">
                  <c:v>3.2874699999999999</c:v>
                </c:pt>
                <c:pt idx="2">
                  <c:v>3.6425600000000005</c:v>
                </c:pt>
                <c:pt idx="3">
                  <c:v>3.6044</c:v>
                </c:pt>
                <c:pt idx="4">
                  <c:v>3.0916200000000003</c:v>
                </c:pt>
                <c:pt idx="5">
                  <c:v>2.8319100000000001</c:v>
                </c:pt>
                <c:pt idx="6">
                  <c:v>3.2617599999999998</c:v>
                </c:pt>
                <c:pt idx="7">
                  <c:v>3.5422000000000002</c:v>
                </c:pt>
                <c:pt idx="8">
                  <c:v>4.1117300000000006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31E5-43E6-AB53-0C66AB6C1582}"/>
            </c:ext>
          </c:extLst>
        </c:ser>
        <c:ser>
          <c:idx val="3"/>
          <c:order val="3"/>
          <c:tx>
            <c:strRef>
              <c:f>'GOSR prev by 2_yrs'!$L$3</c:f>
              <c:strCache>
                <c:ptCount val="1"/>
                <c:pt idx="0">
                  <c:v>Non-Aboriginal mothers</c:v>
                </c:pt>
              </c:strCache>
            </c:strRef>
          </c:tx>
          <c:spPr>
            <a:ln w="31750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strRef>
              <c:f>'GOSR prev by 2_yrs'!$B$4:$B$12</c:f>
              <c:strCache>
                <c:ptCount val="9"/>
                <c:pt idx="0">
                  <c:v>1998-1999</c:v>
                </c:pt>
                <c:pt idx="1">
                  <c:v>2000-2001</c:v>
                </c:pt>
                <c:pt idx="2">
                  <c:v>2002-2003</c:v>
                </c:pt>
                <c:pt idx="3">
                  <c:v>2004-2005</c:v>
                </c:pt>
                <c:pt idx="4">
                  <c:v>2006-2007</c:v>
                </c:pt>
                <c:pt idx="5">
                  <c:v>2008-2009</c:v>
                </c:pt>
                <c:pt idx="6">
                  <c:v>2010-2011</c:v>
                </c:pt>
                <c:pt idx="7">
                  <c:v>2012-2013</c:v>
                </c:pt>
                <c:pt idx="8">
                  <c:v>2014-2015</c:v>
                </c:pt>
              </c:strCache>
            </c:strRef>
          </c:cat>
          <c:val>
            <c:numRef>
              <c:f>'GOSR prev by 2_yrs'!$L$4:$L$12</c:f>
              <c:numCache>
                <c:formatCode>0.00</c:formatCode>
                <c:ptCount val="9"/>
                <c:pt idx="0">
                  <c:v>0.51771</c:v>
                </c:pt>
                <c:pt idx="1">
                  <c:v>0.5073700000000001</c:v>
                </c:pt>
                <c:pt idx="2">
                  <c:v>0.58572999999999997</c:v>
                </c:pt>
                <c:pt idx="3">
                  <c:v>0.64009000000000005</c:v>
                </c:pt>
                <c:pt idx="4">
                  <c:v>0.73211999999999999</c:v>
                </c:pt>
                <c:pt idx="5">
                  <c:v>0.71837000000000006</c:v>
                </c:pt>
                <c:pt idx="6">
                  <c:v>0.79027000000000003</c:v>
                </c:pt>
                <c:pt idx="7">
                  <c:v>0.83085999999999993</c:v>
                </c:pt>
                <c:pt idx="8">
                  <c:v>0.89817999999999998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31E5-43E6-AB53-0C66AB6C1582}"/>
            </c:ext>
          </c:extLst>
        </c:ser>
        <c:ser>
          <c:idx val="4"/>
          <c:order val="4"/>
          <c:tx>
            <c:strRef>
              <c:f>'GOSR prev by 2_yrs'!$M$3</c:f>
              <c:strCache>
                <c:ptCount val="1"/>
                <c:pt idx="0">
                  <c:v>ped_non_ab_9periods_lower_limit</c:v>
                </c:pt>
              </c:strCache>
            </c:strRef>
          </c:tx>
          <c:spPr>
            <a:ln w="6350" cap="rnd">
              <a:solidFill>
                <a:schemeClr val="accent5"/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'GOSR prev by 2_yrs'!$B$4:$B$12</c:f>
              <c:strCache>
                <c:ptCount val="9"/>
                <c:pt idx="0">
                  <c:v>1998-1999</c:v>
                </c:pt>
                <c:pt idx="1">
                  <c:v>2000-2001</c:v>
                </c:pt>
                <c:pt idx="2">
                  <c:v>2002-2003</c:v>
                </c:pt>
                <c:pt idx="3">
                  <c:v>2004-2005</c:v>
                </c:pt>
                <c:pt idx="4">
                  <c:v>2006-2007</c:v>
                </c:pt>
                <c:pt idx="5">
                  <c:v>2008-2009</c:v>
                </c:pt>
                <c:pt idx="6">
                  <c:v>2010-2011</c:v>
                </c:pt>
                <c:pt idx="7">
                  <c:v>2012-2013</c:v>
                </c:pt>
                <c:pt idx="8">
                  <c:v>2014-2015</c:v>
                </c:pt>
              </c:strCache>
            </c:strRef>
          </c:cat>
          <c:val>
            <c:numRef>
              <c:f>'GOSR prev by 2_yrs'!$M$4:$M$12</c:f>
              <c:numCache>
                <c:formatCode>0.00</c:formatCode>
                <c:ptCount val="9"/>
                <c:pt idx="0">
                  <c:v>0.45691000000000004</c:v>
                </c:pt>
                <c:pt idx="1">
                  <c:v>0.44635999999999998</c:v>
                </c:pt>
                <c:pt idx="2">
                  <c:v>0.51945000000000008</c:v>
                </c:pt>
                <c:pt idx="3">
                  <c:v>0.57264000000000004</c:v>
                </c:pt>
                <c:pt idx="4">
                  <c:v>0.66357999999999995</c:v>
                </c:pt>
                <c:pt idx="5">
                  <c:v>0.65229999999999999</c:v>
                </c:pt>
                <c:pt idx="6">
                  <c:v>0.72177999999999998</c:v>
                </c:pt>
                <c:pt idx="7">
                  <c:v>0.76312000000000002</c:v>
                </c:pt>
                <c:pt idx="8">
                  <c:v>0.82767000000000002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31E5-43E6-AB53-0C66AB6C1582}"/>
            </c:ext>
          </c:extLst>
        </c:ser>
        <c:ser>
          <c:idx val="5"/>
          <c:order val="5"/>
          <c:tx>
            <c:strRef>
              <c:f>'GOSR prev by 2_yrs'!$N$3</c:f>
              <c:strCache>
                <c:ptCount val="1"/>
                <c:pt idx="0">
                  <c:v>ped_non_ab_9periods_upper_limit</c:v>
                </c:pt>
              </c:strCache>
            </c:strRef>
          </c:tx>
          <c:spPr>
            <a:ln w="6350" cap="rnd">
              <a:solidFill>
                <a:schemeClr val="accent1"/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'GOSR prev by 2_yrs'!$B$4:$B$12</c:f>
              <c:strCache>
                <c:ptCount val="9"/>
                <c:pt idx="0">
                  <c:v>1998-1999</c:v>
                </c:pt>
                <c:pt idx="1">
                  <c:v>2000-2001</c:v>
                </c:pt>
                <c:pt idx="2">
                  <c:v>2002-2003</c:v>
                </c:pt>
                <c:pt idx="3">
                  <c:v>2004-2005</c:v>
                </c:pt>
                <c:pt idx="4">
                  <c:v>2006-2007</c:v>
                </c:pt>
                <c:pt idx="5">
                  <c:v>2008-2009</c:v>
                </c:pt>
                <c:pt idx="6">
                  <c:v>2010-2011</c:v>
                </c:pt>
                <c:pt idx="7">
                  <c:v>2012-2013</c:v>
                </c:pt>
                <c:pt idx="8">
                  <c:v>2014-2015</c:v>
                </c:pt>
              </c:strCache>
            </c:strRef>
          </c:cat>
          <c:val>
            <c:numRef>
              <c:f>'GOSR prev by 2_yrs'!$N$4:$N$12</c:f>
              <c:numCache>
                <c:formatCode>0.00</c:formatCode>
                <c:ptCount val="9"/>
                <c:pt idx="0">
                  <c:v>0.58655000000000002</c:v>
                </c:pt>
                <c:pt idx="1">
                  <c:v>0.57667000000000002</c:v>
                </c:pt>
                <c:pt idx="2">
                  <c:v>0.66040999999999994</c:v>
                </c:pt>
                <c:pt idx="3">
                  <c:v>0.71543999999999996</c:v>
                </c:pt>
                <c:pt idx="4">
                  <c:v>0.80768000000000006</c:v>
                </c:pt>
                <c:pt idx="5">
                  <c:v>0.79106999999999994</c:v>
                </c:pt>
                <c:pt idx="6">
                  <c:v>0.86520999999999992</c:v>
                </c:pt>
                <c:pt idx="7">
                  <c:v>0.90456999999999999</c:v>
                </c:pt>
                <c:pt idx="8">
                  <c:v>0.97462999999999989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31E5-43E6-AB53-0C66AB6C15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44987960"/>
        <c:axId val="844991240"/>
      </c:lineChart>
      <c:catAx>
        <c:axId val="8449879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4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 sz="1400">
                    <a:solidFill>
                      <a:schemeClr val="tx1"/>
                    </a:solidFill>
                  </a:rPr>
                  <a:t>Year</a:t>
                </a:r>
              </a:p>
            </c:rich>
          </c:tx>
          <c:layout>
            <c:manualLayout>
              <c:xMode val="edge"/>
              <c:yMode val="edge"/>
              <c:x val="0.45733291813099636"/>
              <c:y val="0.7980544854856418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4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44991240"/>
        <c:crosses val="autoZero"/>
        <c:auto val="1"/>
        <c:lblAlgn val="ctr"/>
        <c:lblOffset val="100"/>
        <c:noMultiLvlLbl val="0"/>
      </c:catAx>
      <c:valAx>
        <c:axId val="844991240"/>
        <c:scaling>
          <c:orientation val="minMax"/>
          <c:max val="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 sz="1400">
                    <a:solidFill>
                      <a:schemeClr val="tx1"/>
                    </a:solidFill>
                  </a:rPr>
                  <a:t>Prevalence (%)</a:t>
                </a:r>
              </a:p>
            </c:rich>
          </c:tx>
          <c:layout>
            <c:manualLayout>
              <c:xMode val="edge"/>
              <c:yMode val="edge"/>
              <c:x val="2.3513540781614561E-2"/>
              <c:y val="0.3233319736672260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44987960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legend>
      <c:legendPos val="b"/>
      <c:legendEntry>
        <c:idx val="1"/>
        <c:delete val="1"/>
      </c:legendEntry>
      <c:legendEntry>
        <c:idx val="2"/>
        <c:delete val="1"/>
      </c:legendEntry>
      <c:legendEntry>
        <c:idx val="4"/>
        <c:delete val="1"/>
      </c:legendEntry>
      <c:legendEntry>
        <c:idx val="5"/>
        <c:delete val="1"/>
      </c:legendEntry>
      <c:layout>
        <c:manualLayout>
          <c:xMode val="edge"/>
          <c:yMode val="edge"/>
          <c:x val="0.18317401073515985"/>
          <c:y val="0.88455252994229483"/>
          <c:w val="0.56918264175798239"/>
          <c:h val="6.312028746337856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Marwan Ahmed</dc:creator>
  <cp:keywords/>
  <dc:description/>
  <cp:lastModifiedBy>Marwan Ahmed</cp:lastModifiedBy>
  <cp:revision>137</cp:revision>
  <dcterms:created xsi:type="dcterms:W3CDTF">2021-11-01T08:28:00Z</dcterms:created>
  <dcterms:modified xsi:type="dcterms:W3CDTF">2021-12-09T05:24:00Z</dcterms:modified>
</cp:coreProperties>
</file>