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D7EBA" w14:textId="43906FF6" w:rsidR="00F150AB" w:rsidRPr="00C84227" w:rsidRDefault="007D3FE3" w:rsidP="00F150AB">
      <w:pPr>
        <w:rPr>
          <w:i/>
          <w:iCs/>
        </w:rPr>
      </w:pPr>
      <w:r>
        <w:rPr>
          <w:b/>
          <w:bCs/>
        </w:rPr>
        <w:t>Supplementary material 2</w:t>
      </w:r>
      <w:r w:rsidR="00F150AB" w:rsidRPr="00E62C80">
        <w:rPr>
          <w:b/>
          <w:bCs/>
        </w:rPr>
        <w:t>:</w:t>
      </w:r>
      <w:r w:rsidR="00F150AB">
        <w:rPr>
          <w:i/>
          <w:iCs/>
        </w:rPr>
        <w:t xml:space="preserve"> </w:t>
      </w:r>
      <w:r w:rsidR="00F150AB">
        <w:t>Ordinal logistic regression model examining the effect of demographic factors on likelihood of sharing physical health data – adapted analysis</w:t>
      </w:r>
    </w:p>
    <w:p w14:paraId="3A237DFD" w14:textId="77777777" w:rsidR="00F150AB" w:rsidRDefault="00F150AB" w:rsidP="00F150AB">
      <w:r>
        <w:t>The corresponding analysis in the text did not meet the assumption of proportional odds. Examination of binomial logistic regressions suggested that the problem may lie in the mental illness (ever) variable.</w:t>
      </w:r>
    </w:p>
    <w:p w14:paraId="7EA51345" w14:textId="77777777" w:rsidR="00F150AB" w:rsidRDefault="00F150AB" w:rsidP="00F150AB">
      <w:r>
        <w:t>As such, the “prefer not to say” option was removed from the mental illness (ever) variable and the analysis was re-run.</w:t>
      </w:r>
    </w:p>
    <w:p w14:paraId="1DE13F65" w14:textId="77777777" w:rsidR="00F150AB" w:rsidRDefault="00F150AB" w:rsidP="00F150AB">
      <w:r w:rsidRPr="001A2F06">
        <w:t xml:space="preserve">A cumulative odds ordinal logistic regression with proportional odds was run to determine </w:t>
      </w:r>
      <w:r>
        <w:t xml:space="preserve">the </w:t>
      </w:r>
      <w:r w:rsidRPr="00555DCD">
        <w:t>effect of</w:t>
      </w:r>
      <w:r>
        <w:t xml:space="preserve"> gender, age, ethnicity, location, education, long-term physical illness (ever), mental illness (ever) [without “prefer not to say”]</w:t>
      </w:r>
      <w:r w:rsidRPr="00555DCD">
        <w:t>,</w:t>
      </w:r>
      <w:r>
        <w:t xml:space="preserve"> self-rating of current physical health and self-rating of current mental health</w:t>
      </w:r>
      <w:r w:rsidRPr="00555DCD">
        <w:t xml:space="preserve"> on </w:t>
      </w:r>
      <w:r>
        <w:t>willingness to share physical health data</w:t>
      </w:r>
      <w:r w:rsidRPr="00555DCD">
        <w:t xml:space="preserve">. </w:t>
      </w:r>
      <w:r>
        <w:t xml:space="preserve">Being paid for participation in the survey was included as a co-variate. </w:t>
      </w:r>
      <w:r w:rsidRPr="000931FF">
        <w:t xml:space="preserve">The final model statistically significantly predicted </w:t>
      </w:r>
      <w:r>
        <w:t>likelihood of sharing physical health data</w:t>
      </w:r>
      <w:r w:rsidRPr="000931FF">
        <w:t xml:space="preserve"> over and above the intercept-only model, χ2(</w:t>
      </w:r>
      <w:r>
        <w:t>23</w:t>
      </w:r>
      <w:r w:rsidRPr="000931FF">
        <w:t xml:space="preserve">) = </w:t>
      </w:r>
      <w:r>
        <w:t>58.061</w:t>
      </w:r>
      <w:r w:rsidRPr="000931FF">
        <w:t>, p &lt; .001.</w:t>
      </w:r>
      <w:r>
        <w:t xml:space="preserve"> The assumption of proportional odds was met (</w:t>
      </w:r>
      <w:r w:rsidRPr="00051E7C">
        <w:t>χ2(</w:t>
      </w:r>
      <w:r>
        <w:t>69</w:t>
      </w:r>
      <w:r w:rsidRPr="00051E7C">
        <w:t xml:space="preserve">) = </w:t>
      </w:r>
      <w:r>
        <w:t>70.964</w:t>
      </w:r>
      <w:r w:rsidRPr="00051E7C">
        <w:t xml:space="preserve">, p </w:t>
      </w:r>
      <w:r>
        <w:t>= .412). Level of education</w:t>
      </w:r>
      <w:r w:rsidRPr="00555DCD">
        <w:t xml:space="preserve"> had a </w:t>
      </w:r>
      <w:r>
        <w:t>marginally</w:t>
      </w:r>
      <w:r w:rsidRPr="00555DCD">
        <w:t xml:space="preserve"> significant effect on the prediction of </w:t>
      </w:r>
      <w:r>
        <w:t>willingness to share health data</w:t>
      </w:r>
      <w:r w:rsidRPr="00555DCD">
        <w:t>, χ2(</w:t>
      </w:r>
      <w:r>
        <w:t>5</w:t>
      </w:r>
      <w:r w:rsidRPr="00555DCD">
        <w:t xml:space="preserve">) = </w:t>
      </w:r>
      <w:r>
        <w:t>10.23</w:t>
      </w:r>
      <w:r w:rsidRPr="00555DCD">
        <w:t>, p = .0</w:t>
      </w:r>
      <w:r>
        <w:t>69</w:t>
      </w:r>
      <w:r w:rsidRPr="00555DCD">
        <w:t xml:space="preserve">. </w:t>
      </w:r>
      <w:r>
        <w:t xml:space="preserve">The odds of people whose highest level of education was a postgraduate degree being willing to share their physical health data were 1.64 (95% CI, 1.21 to 2.22) times that of people whose highest level of education was a vocational or college level qualification, (Wald </w:t>
      </w:r>
      <w:r w:rsidRPr="00555DCD">
        <w:t xml:space="preserve">χ2(1) = </w:t>
      </w:r>
      <w:r>
        <w:t>10.03</w:t>
      </w:r>
      <w:r w:rsidRPr="00555DCD">
        <w:t xml:space="preserve">, p </w:t>
      </w:r>
      <w:r>
        <w:t>=</w:t>
      </w:r>
      <w:r w:rsidRPr="00555DCD">
        <w:t xml:space="preserve"> .00</w:t>
      </w:r>
      <w:r>
        <w:t xml:space="preserve">2). Without the “prefer not to say” option, the variable measuring experience of mental illness had no significant effect on willingness to share physical health data. </w:t>
      </w:r>
      <w:r w:rsidRPr="003C7B20">
        <w:t xml:space="preserve">An increase in </w:t>
      </w:r>
      <w:r>
        <w:t>self-rated physical health</w:t>
      </w:r>
      <w:r w:rsidRPr="003C7B20">
        <w:t xml:space="preserve"> was associated with an increase in the odds of </w:t>
      </w:r>
      <w:r>
        <w:t>sharing physical health data</w:t>
      </w:r>
      <w:r w:rsidRPr="003C7B20">
        <w:t xml:space="preserve">, with an odds ratio of </w:t>
      </w:r>
      <w:r>
        <w:t>1.142</w:t>
      </w:r>
      <w:r w:rsidRPr="003C7B20">
        <w:t xml:space="preserve"> (95% CI, 1.</w:t>
      </w:r>
      <w:r>
        <w:t>019</w:t>
      </w:r>
      <w:r w:rsidRPr="003C7B20">
        <w:t xml:space="preserve"> to 1.</w:t>
      </w:r>
      <w:r>
        <w:t>279</w:t>
      </w:r>
      <w:r w:rsidRPr="003C7B20">
        <w:t xml:space="preserve">), Wald χ2(1) = </w:t>
      </w:r>
      <w:r>
        <w:t>5.230</w:t>
      </w:r>
      <w:r w:rsidRPr="003C7B20">
        <w:t xml:space="preserve">, p </w:t>
      </w:r>
      <w:r>
        <w:t>=</w:t>
      </w:r>
      <w:r w:rsidRPr="003C7B20">
        <w:t xml:space="preserve"> .0</w:t>
      </w:r>
      <w:r>
        <w:t>22</w:t>
      </w:r>
      <w:r w:rsidRPr="003C7B20">
        <w:t>.</w:t>
      </w:r>
      <w:r>
        <w:t xml:space="preserve"> An increase in self-rated mental health was also associated with an increase in the odds of sharing physical health data, with an odds ratio of 1.169 (95% CI, 1.046, 1.305), Wald</w:t>
      </w:r>
      <w:r w:rsidRPr="003C7B20">
        <w:t xml:space="preserve"> χ2</w:t>
      </w:r>
      <w:r>
        <w:t xml:space="preserve">(1) = 7.653, p = .006. </w:t>
      </w:r>
    </w:p>
    <w:p w14:paraId="40C66EDA" w14:textId="77777777" w:rsidR="00F150AB" w:rsidRDefault="00F150AB"/>
    <w:sectPr w:rsidR="00F150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5E"/>
    <w:rsid w:val="00287418"/>
    <w:rsid w:val="00351908"/>
    <w:rsid w:val="004E4E71"/>
    <w:rsid w:val="00684422"/>
    <w:rsid w:val="007130AD"/>
    <w:rsid w:val="007D3FE3"/>
    <w:rsid w:val="009B3450"/>
    <w:rsid w:val="00A60F19"/>
    <w:rsid w:val="00AF6924"/>
    <w:rsid w:val="00E62C80"/>
    <w:rsid w:val="00E93FDD"/>
    <w:rsid w:val="00F150AB"/>
    <w:rsid w:val="00FC0E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98DE"/>
  <w15:chartTrackingRefBased/>
  <w15:docId w15:val="{3B750C7E-2F51-4736-A5CB-8100CDA8B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0E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0E5E"/>
    <w:rPr>
      <w:rFonts w:ascii="Segoe UI" w:hAnsi="Segoe UI" w:cs="Segoe UI"/>
      <w:sz w:val="18"/>
      <w:szCs w:val="18"/>
    </w:rPr>
  </w:style>
  <w:style w:type="table" w:styleId="TableGrid">
    <w:name w:val="Table Grid"/>
    <w:basedOn w:val="TableNormal"/>
    <w:uiPriority w:val="39"/>
    <w:rsid w:val="00FC0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QQuestionTable">
    <w:name w:val="QQuestionTable"/>
    <w:uiPriority w:val="99"/>
    <w:qFormat/>
    <w:rsid w:val="004E4E71"/>
    <w:pPr>
      <w:spacing w:after="0" w:line="240" w:lineRule="auto"/>
      <w:jc w:val="center"/>
    </w:pPr>
    <w:rPr>
      <w:rFonts w:eastAsiaTheme="minorEastAsia"/>
      <w:sz w:val="20"/>
      <w:szCs w:val="20"/>
      <w:lang w:val="en-US" w:eastAsia="en-GB"/>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IconTable">
    <w:name w:val="QQuestionIconTable"/>
    <w:uiPriority w:val="99"/>
    <w:qFormat/>
    <w:rsid w:val="004E4E71"/>
    <w:pPr>
      <w:spacing w:after="0" w:line="240" w:lineRule="auto"/>
      <w:jc w:val="center"/>
    </w:pPr>
    <w:rPr>
      <w:rFonts w:eastAsiaTheme="minorEastAsia"/>
      <w:lang w:val="en-US"/>
    </w:rPr>
    <w:tblPr>
      <w:tblInd w:w="0" w:type="dxa"/>
      <w:tblCellMar>
        <w:top w:w="0" w:type="dxa"/>
        <w:left w:w="10" w:type="dxa"/>
        <w:bottom w:w="0" w:type="dxa"/>
        <w:right w:w="10" w:type="dxa"/>
      </w:tblCellMar>
    </w:tblPr>
    <w:tcPr>
      <w:shd w:val="clear" w:color="auto" w:fill="auto"/>
      <w:vAlign w:val="center"/>
    </w:tcPr>
  </w:style>
  <w:style w:type="numbering" w:customStyle="1" w:styleId="Multipunch">
    <w:name w:val="Multi punch"/>
    <w:rsid w:val="004E4E71"/>
    <w:pPr>
      <w:numPr>
        <w:numId w:val="1"/>
      </w:numPr>
    </w:pPr>
  </w:style>
  <w:style w:type="paragraph" w:styleId="ListParagraph">
    <w:name w:val="List Paragraph"/>
    <w:basedOn w:val="Normal"/>
    <w:uiPriority w:val="34"/>
    <w:qFormat/>
    <w:rsid w:val="004E4E71"/>
    <w:pPr>
      <w:spacing w:after="0" w:line="276" w:lineRule="auto"/>
      <w:ind w:left="720"/>
    </w:pPr>
    <w:rPr>
      <w:rFonts w:eastAsiaTheme="minorEastAsia"/>
      <w:lang w:val="en-US"/>
    </w:rPr>
  </w:style>
  <w:style w:type="numbering" w:customStyle="1" w:styleId="Singlepunch">
    <w:name w:val="Single punch"/>
    <w:rsid w:val="004E4E71"/>
    <w:pPr>
      <w:numPr>
        <w:numId w:val="3"/>
      </w:numPr>
    </w:pPr>
  </w:style>
  <w:style w:type="paragraph" w:customStyle="1" w:styleId="QDisplayLogic">
    <w:name w:val="QDisplayLogic"/>
    <w:basedOn w:val="Normal"/>
    <w:qFormat/>
    <w:rsid w:val="004E4E71"/>
    <w:pPr>
      <w:shd w:val="clear" w:color="auto" w:fill="6898BB"/>
      <w:spacing w:before="120" w:after="120" w:line="240" w:lineRule="auto"/>
    </w:pPr>
    <w:rPr>
      <w:rFonts w:eastAsiaTheme="minorEastAsia"/>
      <w:i/>
      <w:color w:val="FFFFFF"/>
      <w:sz w:val="20"/>
      <w:lang w:val="en-US"/>
    </w:rPr>
  </w:style>
  <w:style w:type="paragraph" w:customStyle="1" w:styleId="QSkipLogic">
    <w:name w:val="QSkipLogic"/>
    <w:basedOn w:val="Normal"/>
    <w:qFormat/>
    <w:rsid w:val="004E4E71"/>
    <w:pPr>
      <w:shd w:val="clear" w:color="auto" w:fill="8D8D8D"/>
      <w:spacing w:before="120" w:after="120" w:line="240" w:lineRule="auto"/>
    </w:pPr>
    <w:rPr>
      <w:rFonts w:eastAsiaTheme="minorEastAsia"/>
      <w:i/>
      <w:color w:val="FFFFFF"/>
      <w:sz w:val="20"/>
      <w:lang w:val="en-US"/>
    </w:rPr>
  </w:style>
  <w:style w:type="paragraph" w:customStyle="1" w:styleId="BlockStartLabel">
    <w:name w:val="BlockStartLabel"/>
    <w:basedOn w:val="Normal"/>
    <w:qFormat/>
    <w:rsid w:val="004E4E71"/>
    <w:pPr>
      <w:spacing w:before="120" w:after="120" w:line="240" w:lineRule="auto"/>
    </w:pPr>
    <w:rPr>
      <w:rFonts w:eastAsiaTheme="minorEastAsia"/>
      <w:b/>
      <w:color w:val="CCCCCC"/>
      <w:lang w:val="en-US"/>
    </w:rPr>
  </w:style>
  <w:style w:type="paragraph" w:customStyle="1" w:styleId="BlockEndLabel">
    <w:name w:val="BlockEndLabel"/>
    <w:basedOn w:val="Normal"/>
    <w:qFormat/>
    <w:rsid w:val="004E4E71"/>
    <w:pPr>
      <w:spacing w:before="120" w:after="0" w:line="240" w:lineRule="auto"/>
    </w:pPr>
    <w:rPr>
      <w:rFonts w:eastAsiaTheme="minorEastAsia"/>
      <w:b/>
      <w:color w:val="CCCCCC"/>
      <w:lang w:val="en-US"/>
    </w:rPr>
  </w:style>
  <w:style w:type="paragraph" w:customStyle="1" w:styleId="BlockSeparator">
    <w:name w:val="BlockSeparator"/>
    <w:basedOn w:val="Normal"/>
    <w:qFormat/>
    <w:rsid w:val="004E4E71"/>
    <w:pPr>
      <w:pBdr>
        <w:bottom w:val="single" w:sz="8" w:space="0" w:color="CCCCCC"/>
      </w:pBdr>
      <w:spacing w:after="0" w:line="120" w:lineRule="auto"/>
      <w:jc w:val="center"/>
    </w:pPr>
    <w:rPr>
      <w:rFonts w:eastAsiaTheme="minorEastAsia"/>
      <w:b/>
      <w:color w:val="CCCCCC"/>
      <w:lang w:val="en-US"/>
    </w:rPr>
  </w:style>
  <w:style w:type="paragraph" w:customStyle="1" w:styleId="QuestionSeparator">
    <w:name w:val="QuestionSeparator"/>
    <w:basedOn w:val="Normal"/>
    <w:qFormat/>
    <w:rsid w:val="004E4E71"/>
    <w:pPr>
      <w:pBdr>
        <w:top w:val="dashed" w:sz="8" w:space="0" w:color="CCCCCC"/>
      </w:pBdr>
      <w:spacing w:before="120" w:after="120" w:line="120" w:lineRule="auto"/>
    </w:pPr>
    <w:rPr>
      <w:rFonts w:eastAsiaTheme="minorEastAsia"/>
      <w:lang w:val="en-US"/>
    </w:rPr>
  </w:style>
  <w:style w:type="paragraph" w:customStyle="1" w:styleId="TextEntryLine">
    <w:name w:val="TextEntryLine"/>
    <w:basedOn w:val="Normal"/>
    <w:qFormat/>
    <w:rsid w:val="004E4E71"/>
    <w:pPr>
      <w:spacing w:before="240" w:after="0" w:line="240" w:lineRule="auto"/>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41484">
      <w:bodyDiv w:val="1"/>
      <w:marLeft w:val="0"/>
      <w:marRight w:val="0"/>
      <w:marTop w:val="0"/>
      <w:marBottom w:val="0"/>
      <w:divBdr>
        <w:top w:val="none" w:sz="0" w:space="0" w:color="auto"/>
        <w:left w:val="none" w:sz="0" w:space="0" w:color="auto"/>
        <w:bottom w:val="none" w:sz="0" w:space="0" w:color="auto"/>
        <w:right w:val="none" w:sz="0" w:space="0" w:color="auto"/>
      </w:divBdr>
    </w:div>
    <w:div w:id="185607205">
      <w:bodyDiv w:val="1"/>
      <w:marLeft w:val="0"/>
      <w:marRight w:val="0"/>
      <w:marTop w:val="0"/>
      <w:marBottom w:val="0"/>
      <w:divBdr>
        <w:top w:val="none" w:sz="0" w:space="0" w:color="auto"/>
        <w:left w:val="none" w:sz="0" w:space="0" w:color="auto"/>
        <w:bottom w:val="none" w:sz="0" w:space="0" w:color="auto"/>
        <w:right w:val="none" w:sz="0" w:space="0" w:color="auto"/>
      </w:divBdr>
    </w:div>
    <w:div w:id="291519722">
      <w:bodyDiv w:val="1"/>
      <w:marLeft w:val="0"/>
      <w:marRight w:val="0"/>
      <w:marTop w:val="0"/>
      <w:marBottom w:val="0"/>
      <w:divBdr>
        <w:top w:val="none" w:sz="0" w:space="0" w:color="auto"/>
        <w:left w:val="none" w:sz="0" w:space="0" w:color="auto"/>
        <w:bottom w:val="none" w:sz="0" w:space="0" w:color="auto"/>
        <w:right w:val="none" w:sz="0" w:space="0" w:color="auto"/>
      </w:divBdr>
    </w:div>
    <w:div w:id="447166650">
      <w:bodyDiv w:val="1"/>
      <w:marLeft w:val="0"/>
      <w:marRight w:val="0"/>
      <w:marTop w:val="0"/>
      <w:marBottom w:val="0"/>
      <w:divBdr>
        <w:top w:val="none" w:sz="0" w:space="0" w:color="auto"/>
        <w:left w:val="none" w:sz="0" w:space="0" w:color="auto"/>
        <w:bottom w:val="none" w:sz="0" w:space="0" w:color="auto"/>
        <w:right w:val="none" w:sz="0" w:space="0" w:color="auto"/>
      </w:divBdr>
    </w:div>
    <w:div w:id="531386614">
      <w:bodyDiv w:val="1"/>
      <w:marLeft w:val="0"/>
      <w:marRight w:val="0"/>
      <w:marTop w:val="0"/>
      <w:marBottom w:val="0"/>
      <w:divBdr>
        <w:top w:val="none" w:sz="0" w:space="0" w:color="auto"/>
        <w:left w:val="none" w:sz="0" w:space="0" w:color="auto"/>
        <w:bottom w:val="none" w:sz="0" w:space="0" w:color="auto"/>
        <w:right w:val="none" w:sz="0" w:space="0" w:color="auto"/>
      </w:divBdr>
    </w:div>
    <w:div w:id="766341537">
      <w:bodyDiv w:val="1"/>
      <w:marLeft w:val="0"/>
      <w:marRight w:val="0"/>
      <w:marTop w:val="0"/>
      <w:marBottom w:val="0"/>
      <w:divBdr>
        <w:top w:val="none" w:sz="0" w:space="0" w:color="auto"/>
        <w:left w:val="none" w:sz="0" w:space="0" w:color="auto"/>
        <w:bottom w:val="none" w:sz="0" w:space="0" w:color="auto"/>
        <w:right w:val="none" w:sz="0" w:space="0" w:color="auto"/>
      </w:divBdr>
    </w:div>
    <w:div w:id="786318633">
      <w:bodyDiv w:val="1"/>
      <w:marLeft w:val="0"/>
      <w:marRight w:val="0"/>
      <w:marTop w:val="0"/>
      <w:marBottom w:val="0"/>
      <w:divBdr>
        <w:top w:val="none" w:sz="0" w:space="0" w:color="auto"/>
        <w:left w:val="none" w:sz="0" w:space="0" w:color="auto"/>
        <w:bottom w:val="none" w:sz="0" w:space="0" w:color="auto"/>
        <w:right w:val="none" w:sz="0" w:space="0" w:color="auto"/>
      </w:divBdr>
    </w:div>
    <w:div w:id="799500030">
      <w:bodyDiv w:val="1"/>
      <w:marLeft w:val="0"/>
      <w:marRight w:val="0"/>
      <w:marTop w:val="0"/>
      <w:marBottom w:val="0"/>
      <w:divBdr>
        <w:top w:val="none" w:sz="0" w:space="0" w:color="auto"/>
        <w:left w:val="none" w:sz="0" w:space="0" w:color="auto"/>
        <w:bottom w:val="none" w:sz="0" w:space="0" w:color="auto"/>
        <w:right w:val="none" w:sz="0" w:space="0" w:color="auto"/>
      </w:divBdr>
    </w:div>
    <w:div w:id="810947462">
      <w:bodyDiv w:val="1"/>
      <w:marLeft w:val="0"/>
      <w:marRight w:val="0"/>
      <w:marTop w:val="0"/>
      <w:marBottom w:val="0"/>
      <w:divBdr>
        <w:top w:val="none" w:sz="0" w:space="0" w:color="auto"/>
        <w:left w:val="none" w:sz="0" w:space="0" w:color="auto"/>
        <w:bottom w:val="none" w:sz="0" w:space="0" w:color="auto"/>
        <w:right w:val="none" w:sz="0" w:space="0" w:color="auto"/>
      </w:divBdr>
    </w:div>
    <w:div w:id="812720619">
      <w:bodyDiv w:val="1"/>
      <w:marLeft w:val="0"/>
      <w:marRight w:val="0"/>
      <w:marTop w:val="0"/>
      <w:marBottom w:val="0"/>
      <w:divBdr>
        <w:top w:val="none" w:sz="0" w:space="0" w:color="auto"/>
        <w:left w:val="none" w:sz="0" w:space="0" w:color="auto"/>
        <w:bottom w:val="none" w:sz="0" w:space="0" w:color="auto"/>
        <w:right w:val="none" w:sz="0" w:space="0" w:color="auto"/>
      </w:divBdr>
    </w:div>
    <w:div w:id="848913274">
      <w:bodyDiv w:val="1"/>
      <w:marLeft w:val="0"/>
      <w:marRight w:val="0"/>
      <w:marTop w:val="0"/>
      <w:marBottom w:val="0"/>
      <w:divBdr>
        <w:top w:val="none" w:sz="0" w:space="0" w:color="auto"/>
        <w:left w:val="none" w:sz="0" w:space="0" w:color="auto"/>
        <w:bottom w:val="none" w:sz="0" w:space="0" w:color="auto"/>
        <w:right w:val="none" w:sz="0" w:space="0" w:color="auto"/>
      </w:divBdr>
    </w:div>
    <w:div w:id="900939650">
      <w:bodyDiv w:val="1"/>
      <w:marLeft w:val="0"/>
      <w:marRight w:val="0"/>
      <w:marTop w:val="0"/>
      <w:marBottom w:val="0"/>
      <w:divBdr>
        <w:top w:val="none" w:sz="0" w:space="0" w:color="auto"/>
        <w:left w:val="none" w:sz="0" w:space="0" w:color="auto"/>
        <w:bottom w:val="none" w:sz="0" w:space="0" w:color="auto"/>
        <w:right w:val="none" w:sz="0" w:space="0" w:color="auto"/>
      </w:divBdr>
    </w:div>
    <w:div w:id="1136989841">
      <w:bodyDiv w:val="1"/>
      <w:marLeft w:val="0"/>
      <w:marRight w:val="0"/>
      <w:marTop w:val="0"/>
      <w:marBottom w:val="0"/>
      <w:divBdr>
        <w:top w:val="none" w:sz="0" w:space="0" w:color="auto"/>
        <w:left w:val="none" w:sz="0" w:space="0" w:color="auto"/>
        <w:bottom w:val="none" w:sz="0" w:space="0" w:color="auto"/>
        <w:right w:val="none" w:sz="0" w:space="0" w:color="auto"/>
      </w:divBdr>
    </w:div>
    <w:div w:id="1253662949">
      <w:bodyDiv w:val="1"/>
      <w:marLeft w:val="0"/>
      <w:marRight w:val="0"/>
      <w:marTop w:val="0"/>
      <w:marBottom w:val="0"/>
      <w:divBdr>
        <w:top w:val="none" w:sz="0" w:space="0" w:color="auto"/>
        <w:left w:val="none" w:sz="0" w:space="0" w:color="auto"/>
        <w:bottom w:val="none" w:sz="0" w:space="0" w:color="auto"/>
        <w:right w:val="none" w:sz="0" w:space="0" w:color="auto"/>
      </w:divBdr>
    </w:div>
    <w:div w:id="1338461502">
      <w:bodyDiv w:val="1"/>
      <w:marLeft w:val="0"/>
      <w:marRight w:val="0"/>
      <w:marTop w:val="0"/>
      <w:marBottom w:val="0"/>
      <w:divBdr>
        <w:top w:val="none" w:sz="0" w:space="0" w:color="auto"/>
        <w:left w:val="none" w:sz="0" w:space="0" w:color="auto"/>
        <w:bottom w:val="none" w:sz="0" w:space="0" w:color="auto"/>
        <w:right w:val="none" w:sz="0" w:space="0" w:color="auto"/>
      </w:divBdr>
    </w:div>
    <w:div w:id="1436629741">
      <w:bodyDiv w:val="1"/>
      <w:marLeft w:val="0"/>
      <w:marRight w:val="0"/>
      <w:marTop w:val="0"/>
      <w:marBottom w:val="0"/>
      <w:divBdr>
        <w:top w:val="none" w:sz="0" w:space="0" w:color="auto"/>
        <w:left w:val="none" w:sz="0" w:space="0" w:color="auto"/>
        <w:bottom w:val="none" w:sz="0" w:space="0" w:color="auto"/>
        <w:right w:val="none" w:sz="0" w:space="0" w:color="auto"/>
      </w:divBdr>
    </w:div>
    <w:div w:id="1530338447">
      <w:bodyDiv w:val="1"/>
      <w:marLeft w:val="0"/>
      <w:marRight w:val="0"/>
      <w:marTop w:val="0"/>
      <w:marBottom w:val="0"/>
      <w:divBdr>
        <w:top w:val="none" w:sz="0" w:space="0" w:color="auto"/>
        <w:left w:val="none" w:sz="0" w:space="0" w:color="auto"/>
        <w:bottom w:val="none" w:sz="0" w:space="0" w:color="auto"/>
        <w:right w:val="none" w:sz="0" w:space="0" w:color="auto"/>
      </w:divBdr>
    </w:div>
    <w:div w:id="1716270174">
      <w:bodyDiv w:val="1"/>
      <w:marLeft w:val="0"/>
      <w:marRight w:val="0"/>
      <w:marTop w:val="0"/>
      <w:marBottom w:val="0"/>
      <w:divBdr>
        <w:top w:val="none" w:sz="0" w:space="0" w:color="auto"/>
        <w:left w:val="none" w:sz="0" w:space="0" w:color="auto"/>
        <w:bottom w:val="none" w:sz="0" w:space="0" w:color="auto"/>
        <w:right w:val="none" w:sz="0" w:space="0" w:color="auto"/>
      </w:divBdr>
    </w:div>
    <w:div w:id="1743061982">
      <w:bodyDiv w:val="1"/>
      <w:marLeft w:val="0"/>
      <w:marRight w:val="0"/>
      <w:marTop w:val="0"/>
      <w:marBottom w:val="0"/>
      <w:divBdr>
        <w:top w:val="none" w:sz="0" w:space="0" w:color="auto"/>
        <w:left w:val="none" w:sz="0" w:space="0" w:color="auto"/>
        <w:bottom w:val="none" w:sz="0" w:space="0" w:color="auto"/>
        <w:right w:val="none" w:sz="0" w:space="0" w:color="auto"/>
      </w:divBdr>
    </w:div>
    <w:div w:id="1872378206">
      <w:bodyDiv w:val="1"/>
      <w:marLeft w:val="0"/>
      <w:marRight w:val="0"/>
      <w:marTop w:val="0"/>
      <w:marBottom w:val="0"/>
      <w:divBdr>
        <w:top w:val="none" w:sz="0" w:space="0" w:color="auto"/>
        <w:left w:val="none" w:sz="0" w:space="0" w:color="auto"/>
        <w:bottom w:val="none" w:sz="0" w:space="0" w:color="auto"/>
        <w:right w:val="none" w:sz="0" w:space="0" w:color="auto"/>
      </w:divBdr>
    </w:div>
    <w:div w:id="1898003686">
      <w:bodyDiv w:val="1"/>
      <w:marLeft w:val="0"/>
      <w:marRight w:val="0"/>
      <w:marTop w:val="0"/>
      <w:marBottom w:val="0"/>
      <w:divBdr>
        <w:top w:val="none" w:sz="0" w:space="0" w:color="auto"/>
        <w:left w:val="none" w:sz="0" w:space="0" w:color="auto"/>
        <w:bottom w:val="none" w:sz="0" w:space="0" w:color="auto"/>
        <w:right w:val="none" w:sz="0" w:space="0" w:color="auto"/>
      </w:divBdr>
    </w:div>
    <w:div w:id="1901747739">
      <w:bodyDiv w:val="1"/>
      <w:marLeft w:val="0"/>
      <w:marRight w:val="0"/>
      <w:marTop w:val="0"/>
      <w:marBottom w:val="0"/>
      <w:divBdr>
        <w:top w:val="none" w:sz="0" w:space="0" w:color="auto"/>
        <w:left w:val="none" w:sz="0" w:space="0" w:color="auto"/>
        <w:bottom w:val="none" w:sz="0" w:space="0" w:color="auto"/>
        <w:right w:val="none" w:sz="0" w:space="0" w:color="auto"/>
      </w:divBdr>
    </w:div>
    <w:div w:id="1959680363">
      <w:bodyDiv w:val="1"/>
      <w:marLeft w:val="0"/>
      <w:marRight w:val="0"/>
      <w:marTop w:val="0"/>
      <w:marBottom w:val="0"/>
      <w:divBdr>
        <w:top w:val="none" w:sz="0" w:space="0" w:color="auto"/>
        <w:left w:val="none" w:sz="0" w:space="0" w:color="auto"/>
        <w:bottom w:val="none" w:sz="0" w:space="0" w:color="auto"/>
        <w:right w:val="none" w:sz="0" w:space="0" w:color="auto"/>
      </w:divBdr>
    </w:div>
    <w:div w:id="210337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Kirkham</dc:creator>
  <cp:keywords/>
  <dc:description/>
  <cp:lastModifiedBy>Elizabeth</cp:lastModifiedBy>
  <cp:revision>3</cp:revision>
  <dcterms:created xsi:type="dcterms:W3CDTF">2022-01-24T08:55:00Z</dcterms:created>
  <dcterms:modified xsi:type="dcterms:W3CDTF">2022-01-24T08:56:00Z</dcterms:modified>
</cp:coreProperties>
</file>