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79" w:rsidRPr="006A0748" w:rsidRDefault="004E3C7D" w:rsidP="00A61F79">
      <w:pPr>
        <w:pStyle w:val="Caption"/>
        <w:suppressLineNumbers/>
        <w:rPr>
          <w:rFonts w:cs="Times New Roman"/>
          <w:b w:val="0"/>
          <w:color w:val="auto"/>
          <w:vertAlign w:val="superscript"/>
        </w:rPr>
      </w:pPr>
      <w:proofErr w:type="gramStart"/>
      <w:r>
        <w:rPr>
          <w:rFonts w:cs="Times New Roman"/>
          <w:color w:val="auto"/>
        </w:rPr>
        <w:t>Additional file 1</w:t>
      </w:r>
      <w:r w:rsidR="00A61F79" w:rsidRPr="006A0748">
        <w:rPr>
          <w:rFonts w:cs="Times New Roman"/>
          <w:color w:val="auto"/>
        </w:rPr>
        <w:t>.</w:t>
      </w:r>
      <w:proofErr w:type="gramEnd"/>
      <w:r w:rsidR="00A61F79" w:rsidRPr="006A0748">
        <w:rPr>
          <w:rFonts w:cs="Times New Roman"/>
          <w:b w:val="0"/>
          <w:color w:val="auto"/>
        </w:rPr>
        <w:t xml:space="preserve"> </w:t>
      </w:r>
      <w:r w:rsidR="00B52BFF">
        <w:rPr>
          <w:rFonts w:cs="Times New Roman"/>
          <w:b w:val="0"/>
          <w:color w:val="auto"/>
        </w:rPr>
        <w:t xml:space="preserve">Interactions terms </w:t>
      </w:r>
      <w:r w:rsidR="00F333BE">
        <w:rPr>
          <w:rFonts w:cs="Times New Roman"/>
          <w:b w:val="0"/>
          <w:color w:val="auto"/>
        </w:rPr>
        <w:t>between gender and determinants</w:t>
      </w:r>
      <w:r w:rsidR="00F333BE" w:rsidRPr="00796417">
        <w:rPr>
          <w:rFonts w:cs="Times New Roman"/>
          <w:b w:val="0"/>
          <w:color w:val="auto"/>
        </w:rPr>
        <w:t xml:space="preserve"> </w:t>
      </w:r>
      <w:r w:rsidR="00F333BE">
        <w:rPr>
          <w:rFonts w:cs="Times New Roman"/>
          <w:b w:val="0"/>
          <w:color w:val="auto"/>
        </w:rPr>
        <w:t xml:space="preserve">of </w:t>
      </w:r>
      <w:r w:rsidR="006D0856">
        <w:rPr>
          <w:rFonts w:cs="Times New Roman"/>
          <w:b w:val="0"/>
          <w:color w:val="auto"/>
        </w:rPr>
        <w:t>undernutrition</w:t>
      </w:r>
      <w:r w:rsidR="00A61F79" w:rsidRPr="00796417">
        <w:rPr>
          <w:rFonts w:cs="Times New Roman"/>
          <w:b w:val="0"/>
          <w:color w:val="auto"/>
        </w:rPr>
        <w:t xml:space="preserve"> in </w:t>
      </w:r>
      <w:proofErr w:type="spellStart"/>
      <w:r w:rsidR="00A61F79" w:rsidRPr="00796417">
        <w:rPr>
          <w:rFonts w:cs="Times New Roman"/>
          <w:b w:val="0"/>
          <w:color w:val="auto"/>
        </w:rPr>
        <w:t>Oromiya</w:t>
      </w:r>
      <w:proofErr w:type="spellEnd"/>
      <w:r w:rsidR="00A61F79" w:rsidRPr="00E76B33">
        <w:rPr>
          <w:rFonts w:cs="Times New Roman"/>
          <w:b w:val="0"/>
          <w:color w:val="auto"/>
        </w:rPr>
        <w:t xml:space="preserve"> and SNNP</w:t>
      </w:r>
      <w:r w:rsidR="00A61F79" w:rsidRPr="00F45148">
        <w:rPr>
          <w:rFonts w:eastAsia="Calibri" w:cs="Times New Roman"/>
          <w:color w:val="auto"/>
          <w:sz w:val="19"/>
          <w:szCs w:val="19"/>
          <w:vertAlign w:val="superscript"/>
        </w:rPr>
        <w:t>†</w:t>
      </w:r>
      <w:r w:rsidR="00A61F79" w:rsidRPr="00F45148">
        <w:rPr>
          <w:rFonts w:cs="Times New Roman"/>
          <w:b w:val="0"/>
          <w:color w:val="auto"/>
          <w:sz w:val="19"/>
          <w:szCs w:val="19"/>
        </w:rPr>
        <w:t xml:space="preserve"> </w:t>
      </w:r>
      <w:r w:rsidR="00A61F79" w:rsidRPr="00E76B33">
        <w:rPr>
          <w:rFonts w:cs="Times New Roman"/>
          <w:b w:val="0"/>
          <w:color w:val="auto"/>
        </w:rPr>
        <w:t>regions</w:t>
      </w:r>
      <w:r w:rsidR="00B52BFF">
        <w:rPr>
          <w:rFonts w:cs="Times New Roman"/>
          <w:b w:val="0"/>
          <w:color w:val="auto"/>
        </w:rPr>
        <w:t xml:space="preserve">, </w:t>
      </w:r>
      <w:r w:rsidR="00A61F79" w:rsidRPr="00E76B33">
        <w:rPr>
          <w:rFonts w:cs="Times New Roman"/>
          <w:b w:val="0"/>
          <w:color w:val="auto"/>
        </w:rPr>
        <w:t>Ethiopia</w:t>
      </w:r>
      <w:r w:rsidR="00B52BFF">
        <w:rPr>
          <w:rFonts w:cs="Times New Roman"/>
          <w:b w:val="0"/>
          <w:color w:val="auto"/>
        </w:rPr>
        <w:t>,</w:t>
      </w:r>
      <w:r w:rsidR="00A61F79" w:rsidRPr="00E76B33">
        <w:rPr>
          <w:rFonts w:cs="Times New Roman"/>
          <w:b w:val="0"/>
          <w:color w:val="auto"/>
        </w:rPr>
        <w:t xml:space="preserve"> 2015</w:t>
      </w:r>
      <w:r w:rsidR="00955A0C" w:rsidRPr="00796417">
        <w:rPr>
          <w:rFonts w:cs="Times New Roman"/>
          <w:b w:val="0"/>
          <w:color w:val="auto"/>
          <w:vertAlign w:val="superscript"/>
        </w:rPr>
        <w:t>1</w:t>
      </w:r>
    </w:p>
    <w:tbl>
      <w:tblPr>
        <w:tblW w:w="1002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72"/>
        <w:gridCol w:w="2112"/>
        <w:gridCol w:w="1119"/>
        <w:gridCol w:w="2107"/>
        <w:gridCol w:w="1151"/>
      </w:tblGrid>
      <w:tr w:rsidR="00A61F79" w:rsidRPr="006A0748" w:rsidTr="00920FC7">
        <w:tc>
          <w:tcPr>
            <w:tcW w:w="353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61F79" w:rsidRPr="006A0748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61F79" w:rsidRPr="006A0748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 xml:space="preserve">      </w:t>
            </w: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Stunting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bottom w:val="nil"/>
            </w:tcBorders>
          </w:tcPr>
          <w:p w:rsidR="00A61F79" w:rsidRPr="006A0748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Wasting</w:t>
            </w:r>
          </w:p>
        </w:tc>
      </w:tr>
      <w:tr w:rsidR="00A61F79" w:rsidRPr="006A0748" w:rsidTr="00920FC7">
        <w:tc>
          <w:tcPr>
            <w:tcW w:w="353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61F79" w:rsidRPr="006A0748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Variables</w:t>
            </w:r>
          </w:p>
        </w:tc>
        <w:tc>
          <w:tcPr>
            <w:tcW w:w="21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61F79" w:rsidRPr="006A0748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Exp(β) (95%CI)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61F79" w:rsidRPr="006A0748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nl-NL"/>
              </w:rPr>
              <w:t>p</w:t>
            </w: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-value</w:t>
            </w:r>
          </w:p>
        </w:tc>
        <w:tc>
          <w:tcPr>
            <w:tcW w:w="2107" w:type="dxa"/>
            <w:tcBorders>
              <w:top w:val="nil"/>
              <w:bottom w:val="single" w:sz="4" w:space="0" w:color="auto"/>
            </w:tcBorders>
          </w:tcPr>
          <w:p w:rsidR="00A61F79" w:rsidRPr="006A0748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Exp(β) (95%CI)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</w:tcPr>
          <w:p w:rsidR="00A61F79" w:rsidRPr="006A0748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nl-NL"/>
              </w:rPr>
              <w:t>p</w:t>
            </w: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-value</w:t>
            </w:r>
          </w:p>
        </w:tc>
      </w:tr>
      <w:tr w:rsidR="00920FC7" w:rsidRPr="006A0748" w:rsidTr="00920FC7">
        <w:tc>
          <w:tcPr>
            <w:tcW w:w="353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0FC7" w:rsidRPr="006A0748" w:rsidRDefault="00920FC7" w:rsidP="008570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Region (</w:t>
            </w:r>
            <w:r w:rsidRPr="006A0748">
              <w:rPr>
                <w:rFonts w:ascii="Times New Roman" w:eastAsia="Calibri" w:hAnsi="Times New Roman" w:cs="Times New Roman"/>
                <w:bCs/>
                <w:sz w:val="19"/>
                <w:szCs w:val="19"/>
                <w:lang w:val="nl-NL" w:eastAsia="en-GB"/>
              </w:rPr>
              <w:t>Oromiya</w:t>
            </w:r>
            <w:r w:rsidRPr="00F45148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</w:t>
            </w:r>
            <w:r w:rsidRPr="00F45148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</w:rPr>
              <w:t>†</w:t>
            </w:r>
            <w:r w:rsidRPr="006A0748">
              <w:rPr>
                <w:rFonts w:ascii="Times New Roman" w:eastAsia="Calibri" w:hAnsi="Times New Roman" w:cs="Times New Roman"/>
                <w:bCs/>
                <w:sz w:val="19"/>
                <w:szCs w:val="19"/>
                <w:lang w:val="nl-NL" w:eastAsia="en-GB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0FC7" w:rsidRPr="006A0748" w:rsidRDefault="00920FC7" w:rsidP="00857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0.76(0.45,1.27)</w:t>
            </w:r>
          </w:p>
        </w:tc>
        <w:tc>
          <w:tcPr>
            <w:tcW w:w="1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0FC7" w:rsidRPr="006A0748" w:rsidRDefault="00920FC7" w:rsidP="00857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0.289</w:t>
            </w:r>
          </w:p>
        </w:tc>
        <w:tc>
          <w:tcPr>
            <w:tcW w:w="2107" w:type="dxa"/>
            <w:tcBorders>
              <w:top w:val="single" w:sz="4" w:space="0" w:color="auto"/>
              <w:bottom w:val="nil"/>
            </w:tcBorders>
          </w:tcPr>
          <w:p w:rsidR="00920FC7" w:rsidRPr="006A0748" w:rsidRDefault="00920FC7" w:rsidP="00857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1.50(0.68,3.29)</w:t>
            </w: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</w:tcPr>
          <w:p w:rsidR="00920FC7" w:rsidRPr="006A0748" w:rsidRDefault="00920FC7" w:rsidP="00857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0.317</w:t>
            </w:r>
          </w:p>
        </w:tc>
      </w:tr>
      <w:tr w:rsidR="00920FC7" w:rsidRPr="006A0748" w:rsidTr="00920FC7">
        <w:tc>
          <w:tcPr>
            <w:tcW w:w="564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Child characteristics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 xml:space="preserve">Age </w:t>
            </w:r>
            <w:r w:rsidRPr="006A0748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val="nl-NL" w:eastAsia="en-GB"/>
              </w:rPr>
              <w:t>(month)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1.04(0.90,1.21)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0.583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0.93(0.75,1.15)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0.494</w:t>
            </w: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IBF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1.57(0.88,2.82)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0.128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EBF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1.27(0.71,2.25)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0.418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MDD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MMF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MAD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Timely introduced to CF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1.12(0.58,2.18)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0.732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Diarrhoea last 7 days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0.90(0.52,1.54)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0.689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Consumed legumes and nuts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0.79(0.45,1.41)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0.429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1.26(0.61,2.59)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0.537</w:t>
            </w: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Consumed eggs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0.70(0.35,1.38)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0.302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</w:rPr>
              <w:t>Consumed other fruits and vegetables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0.99(0.43,2.27)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0.987</w:t>
            </w:r>
          </w:p>
        </w:tc>
      </w:tr>
      <w:tr w:rsidR="00920FC7" w:rsidRPr="006A0748" w:rsidTr="00920FC7">
        <w:tc>
          <w:tcPr>
            <w:tcW w:w="5643" w:type="dxa"/>
            <w:gridSpan w:val="3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Mother’s characteristics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25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Age of mother (&gt;25 year</w:t>
            </w:r>
            <w:r w:rsidRPr="006A0748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</w:t>
            </w: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2384" w:type="dxa"/>
            <w:gridSpan w:val="2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1.12(0.55,2.28)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0.764</w:t>
            </w: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Education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1.18(0.71,1.96)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0.532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1.34(0.65,2.76)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0.427</w:t>
            </w: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Marital status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1.20(0.37,3.84)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0.763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1.26(0.28,5.74)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0.765</w:t>
            </w: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Occupation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0.84(0.42,1.67)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0.617</w:t>
            </w: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1.47(0.65,3.33)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0.361</w:t>
            </w: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HH characteristics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 xml:space="preserve">Basic drinking water 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0.47(0.07,2.99)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0.421</w:t>
            </w:r>
          </w:p>
        </w:tc>
      </w:tr>
      <w:tr w:rsidR="00920FC7" w:rsidRPr="006A0748" w:rsidTr="00920FC7">
        <w:tc>
          <w:tcPr>
            <w:tcW w:w="3531" w:type="dxa"/>
            <w:gridSpan w:val="2"/>
            <w:shd w:val="clear" w:color="auto" w:fill="auto"/>
          </w:tcPr>
          <w:p w:rsidR="00920FC7" w:rsidRPr="006A0748" w:rsidRDefault="00920FC7" w:rsidP="001A01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Adequate sanitation</w:t>
            </w:r>
          </w:p>
        </w:tc>
        <w:tc>
          <w:tcPr>
            <w:tcW w:w="2112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119" w:type="dxa"/>
            <w:shd w:val="clear" w:color="auto" w:fill="auto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2107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0.45(0.13,1.60)</w:t>
            </w:r>
          </w:p>
        </w:tc>
        <w:tc>
          <w:tcPr>
            <w:tcW w:w="1151" w:type="dxa"/>
          </w:tcPr>
          <w:p w:rsidR="00920FC7" w:rsidRPr="006A0748" w:rsidRDefault="00920FC7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6A0748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0.220</w:t>
            </w:r>
          </w:p>
        </w:tc>
      </w:tr>
    </w:tbl>
    <w:p w:rsidR="00A61F79" w:rsidRDefault="00A61F79" w:rsidP="00A61F79">
      <w:pPr>
        <w:suppressLineNumber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15"/>
          <w:szCs w:val="15"/>
          <w:vertAlign w:val="superscript"/>
        </w:rPr>
      </w:pPr>
    </w:p>
    <w:p w:rsidR="00A61F79" w:rsidRPr="006A0748" w:rsidRDefault="00A61F79" w:rsidP="00A61F79">
      <w:pPr>
        <w:suppressLineNumber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5"/>
          <w:szCs w:val="15"/>
          <w:vertAlign w:val="superscript"/>
        </w:rPr>
      </w:pPr>
      <w:r w:rsidRPr="00F45148">
        <w:rPr>
          <w:rFonts w:ascii="Times New Roman" w:eastAsia="Calibri" w:hAnsi="Times New Roman" w:cs="Times New Roman"/>
          <w:sz w:val="15"/>
          <w:szCs w:val="15"/>
          <w:vertAlign w:val="superscript"/>
        </w:rPr>
        <w:t>†</w:t>
      </w:r>
      <w:r w:rsidRPr="00F45148">
        <w:rPr>
          <w:rFonts w:ascii="Times New Roman" w:eastAsia="Calibri" w:hAnsi="Times New Roman" w:cs="Times New Roman"/>
          <w:sz w:val="15"/>
          <w:szCs w:val="15"/>
        </w:rPr>
        <w:t xml:space="preserve"> Southern Nations, Nationalities, and Peoples</w:t>
      </w:r>
      <w:r>
        <w:rPr>
          <w:rFonts w:ascii="Times New Roman" w:eastAsia="Calibri" w:hAnsi="Times New Roman" w:cs="Times New Roman"/>
          <w:sz w:val="15"/>
          <w:szCs w:val="15"/>
        </w:rPr>
        <w:t xml:space="preserve">; </w:t>
      </w:r>
      <w:proofErr w:type="spellStart"/>
      <w:proofErr w:type="gramStart"/>
      <w:r w:rsidRPr="006A0748">
        <w:rPr>
          <w:rFonts w:ascii="Times New Roman" w:eastAsia="Calibri" w:hAnsi="Times New Roman" w:cs="Times New Roman"/>
          <w:sz w:val="15"/>
          <w:szCs w:val="15"/>
        </w:rPr>
        <w:t>Exp</w:t>
      </w:r>
      <w:proofErr w:type="spellEnd"/>
      <w:r w:rsidRPr="006A0748">
        <w:rPr>
          <w:rFonts w:ascii="Times New Roman" w:eastAsia="Calibri" w:hAnsi="Times New Roman" w:cs="Times New Roman"/>
          <w:sz w:val="15"/>
          <w:szCs w:val="15"/>
        </w:rPr>
        <w:t>(</w:t>
      </w:r>
      <w:proofErr w:type="gramEnd"/>
      <w:r w:rsidRPr="006A0748">
        <w:rPr>
          <w:rFonts w:ascii="Times New Roman" w:eastAsia="Calibri" w:hAnsi="Times New Roman" w:cs="Times New Roman"/>
          <w:sz w:val="15"/>
          <w:szCs w:val="15"/>
        </w:rPr>
        <w:t>β): odds ratio;</w:t>
      </w:r>
      <w:r w:rsidRPr="006A0748">
        <w:rPr>
          <w:rFonts w:ascii="Times New Roman" w:eastAsia="Calibri" w:hAnsi="Times New Roman" w:cs="Times New Roman"/>
          <w:sz w:val="19"/>
          <w:szCs w:val="19"/>
        </w:rPr>
        <w:t xml:space="preserve"> </w:t>
      </w:r>
      <w:r w:rsidRPr="006A0748">
        <w:rPr>
          <w:rFonts w:ascii="Times New Roman" w:hAnsi="Times New Roman" w:cs="Times New Roman"/>
          <w:sz w:val="15"/>
          <w:szCs w:val="15"/>
        </w:rPr>
        <w:t>CI: confidence Interval; IBF: initiation of breastfeeding; EBF: exclusive breastfeeding; MDD: minimum dietary diversity; MMF: minimum meal frequency; MAD: minimum acceptable diet; Timely introduced to CF: introduction to complementary food at 6–8 m; HH: household</w:t>
      </w:r>
    </w:p>
    <w:p w:rsidR="00A61F79" w:rsidRPr="006A0748" w:rsidRDefault="00A61F79" w:rsidP="00A61F79">
      <w:pPr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 w:rsidRPr="006A0748">
        <w:rPr>
          <w:rFonts w:ascii="Times New Roman" w:eastAsia="Calibri" w:hAnsi="Times New Roman" w:cs="Times New Roman"/>
          <w:b/>
          <w:sz w:val="15"/>
          <w:szCs w:val="15"/>
          <w:vertAlign w:val="superscript"/>
        </w:rPr>
        <w:t xml:space="preserve">1 </w:t>
      </w:r>
      <w:r w:rsidRPr="006A0748">
        <w:rPr>
          <w:rFonts w:ascii="Times New Roman" w:hAnsi="Times New Roman" w:cs="Times New Roman"/>
          <w:sz w:val="15"/>
          <w:szCs w:val="15"/>
        </w:rPr>
        <w:t>I</w:t>
      </w:r>
      <w:r w:rsidRPr="006A0748">
        <w:rPr>
          <w:rFonts w:ascii="Times New Roman" w:eastAsia="Calibri" w:hAnsi="Times New Roman" w:cs="Times New Roman"/>
          <w:sz w:val="15"/>
          <w:szCs w:val="15"/>
        </w:rPr>
        <w:t>nteraction was evaluated (each variable+ gender + gender</w:t>
      </w:r>
      <w:r w:rsidR="00F93BF5">
        <w:rPr>
          <w:rFonts w:ascii="Times New Roman" w:eastAsia="Calibri" w:hAnsi="Times New Roman" w:cs="Times New Roman"/>
          <w:sz w:val="15"/>
          <w:szCs w:val="15"/>
        </w:rPr>
        <w:t xml:space="preserve"> X </w:t>
      </w:r>
      <w:r w:rsidRPr="006A0748">
        <w:rPr>
          <w:rFonts w:ascii="Times New Roman" w:eastAsia="Calibri" w:hAnsi="Times New Roman" w:cs="Times New Roman"/>
          <w:sz w:val="15"/>
          <w:szCs w:val="15"/>
        </w:rPr>
        <w:t>each variable) using</w:t>
      </w:r>
      <w:r w:rsidRPr="006A0748">
        <w:rPr>
          <w:rFonts w:ascii="Times New Roman" w:hAnsi="Times New Roman" w:cs="Times New Roman"/>
          <w:sz w:val="15"/>
          <w:szCs w:val="15"/>
        </w:rPr>
        <w:t xml:space="preserve"> logistic regression</w:t>
      </w:r>
      <w:r w:rsidR="00955A0C">
        <w:rPr>
          <w:rFonts w:ascii="Times New Roman" w:hAnsi="Times New Roman" w:cs="Times New Roman"/>
          <w:sz w:val="15"/>
          <w:szCs w:val="15"/>
        </w:rPr>
        <w:t xml:space="preserve"> and r</w:t>
      </w:r>
      <w:r w:rsidR="00955A0C" w:rsidRPr="00955A0C">
        <w:rPr>
          <w:rFonts w:ascii="Times New Roman" w:hAnsi="Times New Roman" w:cs="Times New Roman"/>
          <w:sz w:val="15"/>
          <w:szCs w:val="15"/>
        </w:rPr>
        <w:t>esults for testing interaction terms between gender and other determinants of</w:t>
      </w:r>
      <w:r w:rsidR="00F333BE">
        <w:rPr>
          <w:rFonts w:ascii="Times New Roman" w:hAnsi="Times New Roman" w:cs="Times New Roman"/>
          <w:sz w:val="15"/>
          <w:szCs w:val="15"/>
        </w:rPr>
        <w:t xml:space="preserve"> stunting</w:t>
      </w:r>
      <w:r w:rsidR="00955A0C">
        <w:rPr>
          <w:rFonts w:ascii="Times New Roman" w:hAnsi="Times New Roman" w:cs="Times New Roman"/>
          <w:sz w:val="15"/>
          <w:szCs w:val="15"/>
        </w:rPr>
        <w:t xml:space="preserve"> and wasting </w:t>
      </w:r>
      <w:r w:rsidR="001D57FE">
        <w:rPr>
          <w:rFonts w:ascii="Times New Roman" w:hAnsi="Times New Roman" w:cs="Times New Roman"/>
          <w:sz w:val="15"/>
          <w:szCs w:val="15"/>
        </w:rPr>
        <w:t xml:space="preserve">are </w:t>
      </w:r>
      <w:r w:rsidR="00955A0C">
        <w:rPr>
          <w:rFonts w:ascii="Times New Roman" w:hAnsi="Times New Roman" w:cs="Times New Roman"/>
          <w:sz w:val="15"/>
          <w:szCs w:val="15"/>
        </w:rPr>
        <w:t>presented</w:t>
      </w:r>
      <w:r w:rsidRPr="006A0748">
        <w:rPr>
          <w:rFonts w:ascii="Times New Roman" w:hAnsi="Times New Roman" w:cs="Times New Roman"/>
          <w:sz w:val="15"/>
          <w:szCs w:val="15"/>
        </w:rPr>
        <w:t>;</w:t>
      </w:r>
      <w:r w:rsidRPr="006A0748">
        <w:rPr>
          <w:rFonts w:ascii="Times New Roman" w:hAnsi="Times New Roman" w:cs="Times New Roman"/>
        </w:rPr>
        <w:t xml:space="preserve"> </w:t>
      </w:r>
      <w:r w:rsidRPr="006A0748">
        <w:rPr>
          <w:rFonts w:ascii="Times New Roman" w:hAnsi="Times New Roman" w:cs="Times New Roman"/>
          <w:sz w:val="15"/>
          <w:szCs w:val="15"/>
        </w:rPr>
        <w:t xml:space="preserve">a </w:t>
      </w:r>
      <w:r w:rsidRPr="006A0748">
        <w:rPr>
          <w:rFonts w:ascii="Times New Roman" w:hAnsi="Times New Roman" w:cs="Times New Roman"/>
          <w:i/>
          <w:sz w:val="15"/>
          <w:szCs w:val="15"/>
        </w:rPr>
        <w:t>p</w:t>
      </w:r>
      <w:r w:rsidRPr="006A0748">
        <w:rPr>
          <w:rFonts w:ascii="Times New Roman" w:hAnsi="Times New Roman" w:cs="Times New Roman"/>
          <w:sz w:val="15"/>
          <w:szCs w:val="15"/>
        </w:rPr>
        <w:t>&lt;0.2 was considered relevant for interaction terms</w:t>
      </w:r>
      <w:r w:rsidR="0046490B">
        <w:rPr>
          <w:rFonts w:ascii="Times New Roman" w:hAnsi="Times New Roman" w:cs="Times New Roman"/>
          <w:sz w:val="15"/>
          <w:szCs w:val="15"/>
        </w:rPr>
        <w:t>; n=2036</w:t>
      </w:r>
      <w:r w:rsidR="00955A0C">
        <w:rPr>
          <w:rFonts w:ascii="Times New Roman" w:hAnsi="Times New Roman" w:cs="Times New Roman"/>
          <w:sz w:val="15"/>
          <w:szCs w:val="15"/>
        </w:rPr>
        <w:t xml:space="preserve"> </w:t>
      </w:r>
    </w:p>
    <w:p w:rsidR="00A61F79" w:rsidRPr="006A0748" w:rsidRDefault="00A61F79" w:rsidP="00A61F79">
      <w:pPr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 w:rsidRPr="00F45148">
        <w:rPr>
          <w:rFonts w:ascii="Times New Roman" w:eastAsia="Calibri" w:hAnsi="Times New Roman" w:cs="Times New Roman"/>
          <w:sz w:val="15"/>
          <w:szCs w:val="15"/>
          <w:vertAlign w:val="superscript"/>
        </w:rPr>
        <w:t>†</w:t>
      </w:r>
      <w:r w:rsidRPr="006A0748">
        <w:rPr>
          <w:rFonts w:ascii="Times New Roman" w:eastAsia="Calibri" w:hAnsi="Times New Roman" w:cs="Times New Roman"/>
          <w:sz w:val="15"/>
          <w:szCs w:val="15"/>
          <w:vertAlign w:val="superscript"/>
        </w:rPr>
        <w:t xml:space="preserve">† </w:t>
      </w:r>
      <w:r w:rsidRPr="006A0748">
        <w:rPr>
          <w:rFonts w:ascii="Times New Roman" w:eastAsia="Calibri" w:hAnsi="Times New Roman" w:cs="Times New Roman"/>
          <w:sz w:val="15"/>
          <w:szCs w:val="15"/>
        </w:rPr>
        <w:t>Reference category</w:t>
      </w:r>
      <w:r w:rsidRPr="006A0748">
        <w:rPr>
          <w:rFonts w:ascii="Times New Roman" w:hAnsi="Times New Roman" w:cs="Times New Roman"/>
          <w:sz w:val="15"/>
          <w:szCs w:val="15"/>
        </w:rPr>
        <w:t xml:space="preserve">  </w:t>
      </w:r>
    </w:p>
    <w:p w:rsidR="00A61F79" w:rsidRPr="006A0748" w:rsidRDefault="00A61F79" w:rsidP="00A61F79">
      <w:pPr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 w:rsidRPr="006A0748">
        <w:rPr>
          <w:rFonts w:ascii="Times New Roman" w:hAnsi="Times New Roman" w:cs="Times New Roman"/>
          <w:sz w:val="15"/>
          <w:szCs w:val="15"/>
        </w:rPr>
        <w:t xml:space="preserve">‡ Not included in Tables 5 </w:t>
      </w:r>
      <w:bookmarkStart w:id="0" w:name="_GoBack"/>
      <w:bookmarkEnd w:id="0"/>
    </w:p>
    <w:sectPr w:rsidR="00A61F79" w:rsidRPr="006A0748" w:rsidSect="00262199">
      <w:type w:val="continuous"/>
      <w:pgSz w:w="15842" w:h="12242" w:orient="landscape" w:code="1"/>
      <w:pgMar w:top="990" w:right="1440" w:bottom="990" w:left="172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79"/>
    <w:rsid w:val="0001394E"/>
    <w:rsid w:val="000376B5"/>
    <w:rsid w:val="0006284E"/>
    <w:rsid w:val="00096776"/>
    <w:rsid w:val="000F4F76"/>
    <w:rsid w:val="001178E7"/>
    <w:rsid w:val="001316B7"/>
    <w:rsid w:val="001B735B"/>
    <w:rsid w:val="001D57FE"/>
    <w:rsid w:val="00262199"/>
    <w:rsid w:val="00271F2E"/>
    <w:rsid w:val="00463D8A"/>
    <w:rsid w:val="0046490B"/>
    <w:rsid w:val="004676CD"/>
    <w:rsid w:val="00495A69"/>
    <w:rsid w:val="004E3C7D"/>
    <w:rsid w:val="00511723"/>
    <w:rsid w:val="00540835"/>
    <w:rsid w:val="00556B72"/>
    <w:rsid w:val="005960EF"/>
    <w:rsid w:val="00690277"/>
    <w:rsid w:val="006D0856"/>
    <w:rsid w:val="007E71CA"/>
    <w:rsid w:val="00831887"/>
    <w:rsid w:val="008A31AE"/>
    <w:rsid w:val="00920FC7"/>
    <w:rsid w:val="00924D63"/>
    <w:rsid w:val="00955A0C"/>
    <w:rsid w:val="009F70B6"/>
    <w:rsid w:val="00A30F45"/>
    <w:rsid w:val="00A61F79"/>
    <w:rsid w:val="00B20A49"/>
    <w:rsid w:val="00B52BFF"/>
    <w:rsid w:val="00C72CBB"/>
    <w:rsid w:val="00CA7981"/>
    <w:rsid w:val="00D57C05"/>
    <w:rsid w:val="00D73377"/>
    <w:rsid w:val="00D81C78"/>
    <w:rsid w:val="00E20289"/>
    <w:rsid w:val="00EC7909"/>
    <w:rsid w:val="00F333BE"/>
    <w:rsid w:val="00F35711"/>
    <w:rsid w:val="00F93BF5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16"/>
        <w:lang w:val="en-US" w:eastAsia="en-US" w:bidi="ar-SA"/>
      </w:rPr>
    </w:rPrDefault>
    <w:pPrDefault>
      <w:pPr>
        <w:spacing w:before="122" w:line="360" w:lineRule="auto"/>
        <w:ind w:right="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79"/>
    <w:pPr>
      <w:spacing w:before="0" w:after="160" w:line="302" w:lineRule="auto"/>
      <w:ind w:right="0"/>
      <w:jc w:val="left"/>
    </w:pPr>
    <w:rPr>
      <w:rFonts w:ascii="Verdana" w:hAnsi="Verdana" w:cstheme="minorBidi"/>
      <w:sz w:val="17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F2E"/>
    <w:pPr>
      <w:spacing w:before="480" w:after="0" w:line="360" w:lineRule="auto"/>
      <w:ind w:right="86"/>
      <w:contextualSpacing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F2E"/>
    <w:pPr>
      <w:spacing w:before="200" w:after="0" w:line="271" w:lineRule="auto"/>
      <w:ind w:right="86"/>
      <w:jc w:val="both"/>
      <w:outlineLvl w:val="2"/>
    </w:pPr>
    <w:rPr>
      <w:rFonts w:asciiTheme="majorHAnsi" w:eastAsiaTheme="majorEastAsia" w:hAnsiTheme="majorHAnsi" w:cstheme="majorBidi"/>
      <w:b/>
      <w:bCs/>
      <w:sz w:val="24"/>
      <w:szCs w:val="1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16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1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F2E"/>
    <w:pPr>
      <w:spacing w:before="122" w:after="0" w:line="271" w:lineRule="auto"/>
      <w:ind w:right="86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6"/>
    </w:pPr>
    <w:rPr>
      <w:rFonts w:asciiTheme="majorHAnsi" w:eastAsiaTheme="majorEastAsia" w:hAnsiTheme="majorHAnsi" w:cstheme="majorBidi"/>
      <w:i/>
      <w:iCs/>
      <w:sz w:val="24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7"/>
    </w:pPr>
    <w:rPr>
      <w:rFonts w:asciiTheme="majorHAnsi" w:eastAsiaTheme="majorEastAsia" w:hAnsiTheme="majorHAnsi" w:cstheme="majorBidi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F2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F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F2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F2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F2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F2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F2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71F2E"/>
    <w:pPr>
      <w:pBdr>
        <w:bottom w:val="single" w:sz="4" w:space="1" w:color="auto"/>
      </w:pBdr>
      <w:spacing w:before="122" w:after="0" w:line="240" w:lineRule="auto"/>
      <w:ind w:right="86"/>
      <w:contextualSpacing/>
      <w:jc w:val="both"/>
    </w:pPr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71F2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F2E"/>
    <w:pPr>
      <w:spacing w:before="122" w:after="600" w:line="360" w:lineRule="auto"/>
      <w:ind w:right="86"/>
      <w:jc w:val="both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71F2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71F2E"/>
    <w:rPr>
      <w:b/>
      <w:bCs/>
    </w:rPr>
  </w:style>
  <w:style w:type="character" w:styleId="Emphasis">
    <w:name w:val="Emphasis"/>
    <w:uiPriority w:val="20"/>
    <w:qFormat/>
    <w:rsid w:val="00271F2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71F2E"/>
    <w:pPr>
      <w:spacing w:before="122" w:after="0" w:line="240" w:lineRule="auto"/>
      <w:ind w:right="86"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71F2E"/>
    <w:pPr>
      <w:spacing w:before="122" w:after="0" w:line="360" w:lineRule="auto"/>
      <w:ind w:right="86"/>
      <w:contextualSpacing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71F2E"/>
    <w:pPr>
      <w:spacing w:before="200" w:after="0" w:line="360" w:lineRule="auto"/>
      <w:ind w:left="360" w:right="360"/>
      <w:jc w:val="both"/>
    </w:pPr>
    <w:rPr>
      <w:rFonts w:ascii="Times New Roman" w:hAnsi="Times New Roman" w:cs="Times New Roman"/>
      <w:i/>
      <w:iCs/>
      <w:sz w:val="24"/>
      <w:szCs w:val="16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71F2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F2E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ascii="Times New Roman" w:hAnsi="Times New Roman" w:cs="Times New Roman"/>
      <w:b/>
      <w:bCs/>
      <w:i/>
      <w:iCs/>
      <w:sz w:val="24"/>
      <w:szCs w:val="16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F2E"/>
    <w:rPr>
      <w:b/>
      <w:bCs/>
      <w:i/>
      <w:iCs/>
    </w:rPr>
  </w:style>
  <w:style w:type="character" w:styleId="SubtleEmphasis">
    <w:name w:val="Subtle Emphasis"/>
    <w:uiPriority w:val="19"/>
    <w:qFormat/>
    <w:rsid w:val="00271F2E"/>
    <w:rPr>
      <w:i/>
      <w:iCs/>
    </w:rPr>
  </w:style>
  <w:style w:type="character" w:styleId="IntenseEmphasis">
    <w:name w:val="Intense Emphasis"/>
    <w:uiPriority w:val="21"/>
    <w:qFormat/>
    <w:rsid w:val="00271F2E"/>
    <w:rPr>
      <w:b/>
      <w:bCs/>
    </w:rPr>
  </w:style>
  <w:style w:type="character" w:styleId="SubtleReference">
    <w:name w:val="Subtle Reference"/>
    <w:uiPriority w:val="31"/>
    <w:qFormat/>
    <w:rsid w:val="00271F2E"/>
    <w:rPr>
      <w:smallCaps/>
    </w:rPr>
  </w:style>
  <w:style w:type="character" w:styleId="IntenseReference">
    <w:name w:val="Intense Reference"/>
    <w:uiPriority w:val="32"/>
    <w:qFormat/>
    <w:rsid w:val="00271F2E"/>
    <w:rPr>
      <w:smallCaps/>
      <w:spacing w:val="5"/>
      <w:u w:val="single"/>
    </w:rPr>
  </w:style>
  <w:style w:type="character" w:styleId="BookTitle">
    <w:name w:val="Book Title"/>
    <w:uiPriority w:val="33"/>
    <w:qFormat/>
    <w:rsid w:val="00271F2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F2E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A61F79"/>
    <w:pPr>
      <w:spacing w:after="200" w:line="240" w:lineRule="auto"/>
      <w:jc w:val="both"/>
    </w:pPr>
    <w:rPr>
      <w:rFonts w:ascii="Times New Roman" w:hAnsi="Times New Roman"/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sid w:val="00A61F7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C7"/>
    <w:rPr>
      <w:rFonts w:ascii="Tahoma" w:hAnsi="Tahoma" w:cs="Tahoma"/>
      <w:sz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F45"/>
    <w:rPr>
      <w:rFonts w:ascii="Verdana" w:hAnsi="Verdana" w:cstheme="minorBid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F45"/>
    <w:rPr>
      <w:rFonts w:ascii="Verdana" w:hAnsi="Verdana" w:cstheme="minorBidi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16"/>
        <w:lang w:val="en-US" w:eastAsia="en-US" w:bidi="ar-SA"/>
      </w:rPr>
    </w:rPrDefault>
    <w:pPrDefault>
      <w:pPr>
        <w:spacing w:before="122" w:line="360" w:lineRule="auto"/>
        <w:ind w:right="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79"/>
    <w:pPr>
      <w:spacing w:before="0" w:after="160" w:line="302" w:lineRule="auto"/>
      <w:ind w:right="0"/>
      <w:jc w:val="left"/>
    </w:pPr>
    <w:rPr>
      <w:rFonts w:ascii="Verdana" w:hAnsi="Verdana" w:cstheme="minorBidi"/>
      <w:sz w:val="17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F2E"/>
    <w:pPr>
      <w:spacing w:before="480" w:after="0" w:line="360" w:lineRule="auto"/>
      <w:ind w:right="86"/>
      <w:contextualSpacing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F2E"/>
    <w:pPr>
      <w:spacing w:before="200" w:after="0" w:line="271" w:lineRule="auto"/>
      <w:ind w:right="86"/>
      <w:jc w:val="both"/>
      <w:outlineLvl w:val="2"/>
    </w:pPr>
    <w:rPr>
      <w:rFonts w:asciiTheme="majorHAnsi" w:eastAsiaTheme="majorEastAsia" w:hAnsiTheme="majorHAnsi" w:cstheme="majorBidi"/>
      <w:b/>
      <w:bCs/>
      <w:sz w:val="24"/>
      <w:szCs w:val="1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16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1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F2E"/>
    <w:pPr>
      <w:spacing w:before="122" w:after="0" w:line="271" w:lineRule="auto"/>
      <w:ind w:right="86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6"/>
    </w:pPr>
    <w:rPr>
      <w:rFonts w:asciiTheme="majorHAnsi" w:eastAsiaTheme="majorEastAsia" w:hAnsiTheme="majorHAnsi" w:cstheme="majorBidi"/>
      <w:i/>
      <w:iCs/>
      <w:sz w:val="24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7"/>
    </w:pPr>
    <w:rPr>
      <w:rFonts w:asciiTheme="majorHAnsi" w:eastAsiaTheme="majorEastAsia" w:hAnsiTheme="majorHAnsi" w:cstheme="majorBidi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F2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F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F2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F2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F2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F2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F2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71F2E"/>
    <w:pPr>
      <w:pBdr>
        <w:bottom w:val="single" w:sz="4" w:space="1" w:color="auto"/>
      </w:pBdr>
      <w:spacing w:before="122" w:after="0" w:line="240" w:lineRule="auto"/>
      <w:ind w:right="86"/>
      <w:contextualSpacing/>
      <w:jc w:val="both"/>
    </w:pPr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71F2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F2E"/>
    <w:pPr>
      <w:spacing w:before="122" w:after="600" w:line="360" w:lineRule="auto"/>
      <w:ind w:right="86"/>
      <w:jc w:val="both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71F2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71F2E"/>
    <w:rPr>
      <w:b/>
      <w:bCs/>
    </w:rPr>
  </w:style>
  <w:style w:type="character" w:styleId="Emphasis">
    <w:name w:val="Emphasis"/>
    <w:uiPriority w:val="20"/>
    <w:qFormat/>
    <w:rsid w:val="00271F2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71F2E"/>
    <w:pPr>
      <w:spacing w:before="122" w:after="0" w:line="240" w:lineRule="auto"/>
      <w:ind w:right="86"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71F2E"/>
    <w:pPr>
      <w:spacing w:before="122" w:after="0" w:line="360" w:lineRule="auto"/>
      <w:ind w:right="86"/>
      <w:contextualSpacing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71F2E"/>
    <w:pPr>
      <w:spacing w:before="200" w:after="0" w:line="360" w:lineRule="auto"/>
      <w:ind w:left="360" w:right="360"/>
      <w:jc w:val="both"/>
    </w:pPr>
    <w:rPr>
      <w:rFonts w:ascii="Times New Roman" w:hAnsi="Times New Roman" w:cs="Times New Roman"/>
      <w:i/>
      <w:iCs/>
      <w:sz w:val="24"/>
      <w:szCs w:val="16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71F2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F2E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ascii="Times New Roman" w:hAnsi="Times New Roman" w:cs="Times New Roman"/>
      <w:b/>
      <w:bCs/>
      <w:i/>
      <w:iCs/>
      <w:sz w:val="24"/>
      <w:szCs w:val="16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F2E"/>
    <w:rPr>
      <w:b/>
      <w:bCs/>
      <w:i/>
      <w:iCs/>
    </w:rPr>
  </w:style>
  <w:style w:type="character" w:styleId="SubtleEmphasis">
    <w:name w:val="Subtle Emphasis"/>
    <w:uiPriority w:val="19"/>
    <w:qFormat/>
    <w:rsid w:val="00271F2E"/>
    <w:rPr>
      <w:i/>
      <w:iCs/>
    </w:rPr>
  </w:style>
  <w:style w:type="character" w:styleId="IntenseEmphasis">
    <w:name w:val="Intense Emphasis"/>
    <w:uiPriority w:val="21"/>
    <w:qFormat/>
    <w:rsid w:val="00271F2E"/>
    <w:rPr>
      <w:b/>
      <w:bCs/>
    </w:rPr>
  </w:style>
  <w:style w:type="character" w:styleId="SubtleReference">
    <w:name w:val="Subtle Reference"/>
    <w:uiPriority w:val="31"/>
    <w:qFormat/>
    <w:rsid w:val="00271F2E"/>
    <w:rPr>
      <w:smallCaps/>
    </w:rPr>
  </w:style>
  <w:style w:type="character" w:styleId="IntenseReference">
    <w:name w:val="Intense Reference"/>
    <w:uiPriority w:val="32"/>
    <w:qFormat/>
    <w:rsid w:val="00271F2E"/>
    <w:rPr>
      <w:smallCaps/>
      <w:spacing w:val="5"/>
      <w:u w:val="single"/>
    </w:rPr>
  </w:style>
  <w:style w:type="character" w:styleId="BookTitle">
    <w:name w:val="Book Title"/>
    <w:uiPriority w:val="33"/>
    <w:qFormat/>
    <w:rsid w:val="00271F2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F2E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A61F79"/>
    <w:pPr>
      <w:spacing w:after="200" w:line="240" w:lineRule="auto"/>
      <w:jc w:val="both"/>
    </w:pPr>
    <w:rPr>
      <w:rFonts w:ascii="Times New Roman" w:hAnsi="Times New Roman"/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sid w:val="00A61F7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C7"/>
    <w:rPr>
      <w:rFonts w:ascii="Tahoma" w:hAnsi="Tahoma" w:cs="Tahoma"/>
      <w:sz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F45"/>
    <w:rPr>
      <w:rFonts w:ascii="Verdana" w:hAnsi="Verdana" w:cstheme="minorBid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F45"/>
    <w:rPr>
      <w:rFonts w:ascii="Verdana" w:hAnsi="Verdana" w:cstheme="minorBidi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Aregash Samuel</dc:creator>
  <cp:lastModifiedBy>Aregash Samuel</cp:lastModifiedBy>
  <cp:revision>3</cp:revision>
  <dcterms:created xsi:type="dcterms:W3CDTF">2021-11-19T21:09:00Z</dcterms:created>
  <dcterms:modified xsi:type="dcterms:W3CDTF">2021-11-19T21:11:00Z</dcterms:modified>
</cp:coreProperties>
</file>