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F5A0" w14:textId="77777777" w:rsidR="007275A8" w:rsidRPr="009C61F5" w:rsidRDefault="007275A8" w:rsidP="007275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9C61F5">
        <w:rPr>
          <w:rFonts w:asciiTheme="minorHAnsi" w:hAnsiTheme="minorHAnsi" w:cstheme="minorHAnsi"/>
          <w:b/>
          <w:sz w:val="22"/>
          <w:szCs w:val="22"/>
        </w:rPr>
        <w:t>Title:</w:t>
      </w:r>
    </w:p>
    <w:p w14:paraId="5921B0FF" w14:textId="77777777" w:rsidR="007275A8" w:rsidRPr="009C61F5" w:rsidRDefault="007275A8" w:rsidP="007275A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C90177A" w14:textId="77777777" w:rsidR="007275A8" w:rsidRPr="009C61F5" w:rsidRDefault="007275A8" w:rsidP="007275A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C61F5">
        <w:rPr>
          <w:rFonts w:asciiTheme="minorHAnsi" w:hAnsiTheme="minorHAnsi" w:cstheme="minorHAnsi"/>
          <w:sz w:val="22"/>
          <w:szCs w:val="22"/>
        </w:rPr>
        <w:t>Caregiver parenting practices</w:t>
      </w:r>
      <w:r>
        <w:rPr>
          <w:rFonts w:asciiTheme="minorHAnsi" w:hAnsiTheme="minorHAnsi" w:cstheme="minorHAnsi"/>
          <w:sz w:val="22"/>
          <w:szCs w:val="22"/>
        </w:rPr>
        <w:t>, dietary diversity knowledge,</w:t>
      </w:r>
      <w:r w:rsidRPr="009C61F5">
        <w:rPr>
          <w:rFonts w:asciiTheme="minorHAnsi" w:hAnsiTheme="minorHAnsi" w:cstheme="minorHAnsi"/>
          <w:sz w:val="22"/>
          <w:szCs w:val="22"/>
        </w:rPr>
        <w:t xml:space="preserve"> and association with early childhood development outcomes among children aged 18-29 months in Zanzibar, Tanzania: A cross-sectional survey</w:t>
      </w:r>
    </w:p>
    <w:p w14:paraId="3EE1924A" w14:textId="77777777" w:rsidR="000F1308" w:rsidRDefault="000F1308"/>
    <w:p w14:paraId="6EB5FB2B" w14:textId="77777777" w:rsidR="007275A8" w:rsidRDefault="007275A8"/>
    <w:p w14:paraId="56719C1A" w14:textId="1FA05798" w:rsidR="007275A8" w:rsidRDefault="007275A8" w:rsidP="007275A8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Supplement 1</w:t>
      </w:r>
      <w:r w:rsidR="001867E7">
        <w:rPr>
          <w:rFonts w:asciiTheme="minorHAnsi" w:hAnsiTheme="minorHAnsi" w:cstheme="minorHAnsi"/>
          <w:sz w:val="22"/>
          <w:szCs w:val="22"/>
          <w:u w:val="single"/>
        </w:rPr>
        <w:t xml:space="preserve">: Sample size calculation for </w:t>
      </w:r>
      <w:r w:rsidR="00737381">
        <w:rPr>
          <w:rFonts w:asciiTheme="minorHAnsi" w:hAnsiTheme="minorHAnsi" w:cstheme="minorHAnsi"/>
          <w:sz w:val="22"/>
          <w:szCs w:val="22"/>
          <w:u w:val="single"/>
        </w:rPr>
        <w:t xml:space="preserve">baseline and </w:t>
      </w:r>
      <w:proofErr w:type="spellStart"/>
      <w:r w:rsidR="00737381">
        <w:rPr>
          <w:rFonts w:asciiTheme="minorHAnsi" w:hAnsiTheme="minorHAnsi" w:cstheme="minorHAnsi"/>
          <w:sz w:val="22"/>
          <w:szCs w:val="22"/>
          <w:u w:val="single"/>
        </w:rPr>
        <w:t>endline</w:t>
      </w:r>
      <w:proofErr w:type="spellEnd"/>
      <w:r w:rsidR="0073738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867E7">
        <w:rPr>
          <w:rFonts w:asciiTheme="minorHAnsi" w:hAnsiTheme="minorHAnsi" w:cstheme="minorHAnsi"/>
          <w:sz w:val="22"/>
          <w:szCs w:val="22"/>
          <w:u w:val="single"/>
        </w:rPr>
        <w:t>household survey</w:t>
      </w:r>
    </w:p>
    <w:p w14:paraId="5F7E7878" w14:textId="77777777" w:rsidR="007275A8" w:rsidRDefault="007275A8" w:rsidP="007275A8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11E08A6F" w14:textId="77777777" w:rsidR="007275A8" w:rsidRPr="009C61F5" w:rsidRDefault="007275A8" w:rsidP="007275A8">
      <w:pPr>
        <w:spacing w:line="48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data used for this secondary analysis were drawn from the baseline household survey for the </w:t>
      </w:r>
      <w:proofErr w:type="spellStart"/>
      <w:r>
        <w:rPr>
          <w:rFonts w:asciiTheme="minorHAnsi" w:hAnsiTheme="minorHAnsi" w:cstheme="minorHAnsi"/>
          <w:sz w:val="22"/>
          <w:szCs w:val="22"/>
        </w:rPr>
        <w:t>Jamii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Afya program. </w:t>
      </w:r>
      <w:r w:rsidRPr="00DB5632">
        <w:rPr>
          <w:rFonts w:asciiTheme="minorHAnsi" w:hAnsiTheme="minorHAnsi" w:cstheme="minorHAnsi"/>
          <w:sz w:val="22"/>
          <w:szCs w:val="22"/>
        </w:rPr>
        <w:t xml:space="preserve">The same </w:t>
      </w:r>
      <w:r>
        <w:rPr>
          <w:rFonts w:asciiTheme="minorHAnsi" w:hAnsiTheme="minorHAnsi" w:cstheme="minorHAnsi"/>
          <w:sz w:val="22"/>
          <w:szCs w:val="22"/>
        </w:rPr>
        <w:t xml:space="preserve">sampling </w:t>
      </w:r>
      <w:r w:rsidRPr="00DB5632">
        <w:rPr>
          <w:rFonts w:asciiTheme="minorHAnsi" w:hAnsiTheme="minorHAnsi" w:cstheme="minorHAnsi"/>
          <w:sz w:val="22"/>
          <w:szCs w:val="22"/>
        </w:rPr>
        <w:t xml:space="preserve">methodology </w:t>
      </w:r>
      <w:r>
        <w:rPr>
          <w:rFonts w:asciiTheme="minorHAnsi" w:hAnsiTheme="minorHAnsi" w:cstheme="minorHAnsi"/>
          <w:sz w:val="22"/>
          <w:szCs w:val="22"/>
        </w:rPr>
        <w:t xml:space="preserve">described </w:t>
      </w:r>
      <w:r w:rsidRPr="00DB5632">
        <w:rPr>
          <w:rFonts w:asciiTheme="minorHAnsi" w:hAnsiTheme="minorHAnsi" w:cstheme="minorHAnsi"/>
          <w:sz w:val="22"/>
          <w:szCs w:val="22"/>
        </w:rPr>
        <w:t xml:space="preserve">will be used to recruit an additional, independent sample of 500 child-caregiver pairs at endline in 2023. </w:t>
      </w:r>
      <w:r>
        <w:rPr>
          <w:rFonts w:asciiTheme="minorHAnsi" w:hAnsiTheme="minorHAnsi" w:cstheme="minorHAnsi"/>
          <w:sz w:val="22"/>
          <w:szCs w:val="22"/>
        </w:rPr>
        <w:t>The s</w:t>
      </w:r>
      <w:r w:rsidRPr="00DB5632">
        <w:rPr>
          <w:rFonts w:asciiTheme="minorHAnsi" w:hAnsiTheme="minorHAnsi" w:cstheme="minorHAnsi"/>
          <w:sz w:val="22"/>
          <w:szCs w:val="22"/>
        </w:rPr>
        <w:t>ample size needed for the baseline and endline measurement comparison was calculated to detect any 0.5-point change in the child development cognitive domain score, as measured by the Caregiver-Reported Early Development Index (CREDI), with type I error of 5% and power of 80%, assuming a standard deviation of 1.4 points. We applied a design effect of 2.0 to account for increased variance due to cluster sampling, unknown variance in the outcome indicator in our study population, and to account for non-response. Our target sample size was 250 respondents in each age group defined by CREDI, 18-23 months and 24-29 months, at each time point.</w:t>
      </w:r>
      <w:r w:rsidRPr="00DB5632">
        <w:rPr>
          <w:rFonts w:asciiTheme="minorHAnsi" w:hAnsiTheme="minorHAnsi" w:cstheme="minorHAnsi"/>
          <w:color w:val="000000"/>
          <w:sz w:val="22"/>
          <w:szCs w:val="22"/>
        </w:rPr>
        <w:t xml:space="preserve"> While this sample size was calculated for the purpose of the baseline and </w:t>
      </w:r>
      <w:r>
        <w:rPr>
          <w:rFonts w:asciiTheme="minorHAnsi" w:hAnsiTheme="minorHAnsi" w:cstheme="minorHAnsi"/>
          <w:color w:val="000000"/>
          <w:sz w:val="22"/>
          <w:szCs w:val="22"/>
        </w:rPr>
        <w:t>endline</w:t>
      </w:r>
      <w:r w:rsidRPr="00DB5632">
        <w:rPr>
          <w:rFonts w:asciiTheme="minorHAnsi" w:hAnsiTheme="minorHAnsi" w:cstheme="minorHAnsi"/>
          <w:color w:val="000000"/>
          <w:sz w:val="22"/>
          <w:szCs w:val="22"/>
        </w:rPr>
        <w:t xml:space="preserve"> survey, we present it here to demonstrate the rationale for our sample size, and to show the degree of precision attainable in the baseline measurement.</w:t>
      </w:r>
    </w:p>
    <w:p w14:paraId="6E2B7AF2" w14:textId="77777777" w:rsidR="007275A8" w:rsidRDefault="007275A8"/>
    <w:sectPr w:rsidR="00727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5A8"/>
    <w:rsid w:val="000F1308"/>
    <w:rsid w:val="001867E7"/>
    <w:rsid w:val="004E622E"/>
    <w:rsid w:val="007275A8"/>
    <w:rsid w:val="0073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C4949"/>
  <w15:chartTrackingRefBased/>
  <w15:docId w15:val="{9AB4C198-8202-42CB-8F33-DCD13E38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Nelson</dc:creator>
  <cp:keywords/>
  <dc:description/>
  <cp:lastModifiedBy>Allyson Russell</cp:lastModifiedBy>
  <cp:revision>4</cp:revision>
  <dcterms:created xsi:type="dcterms:W3CDTF">2021-11-17T20:38:00Z</dcterms:created>
  <dcterms:modified xsi:type="dcterms:W3CDTF">2021-11-23T12:19:00Z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957285-7815-485a-9751-5b273b784ad5_Enabled">
    <vt:lpwstr>true</vt:lpwstr>
  </property>
  <property fmtid="{D5CDD505-2E9C-101B-9397-08002B2CF9AE}" pid="3" name="MSIP_Label_0a957285-7815-485a-9751-5b273b784ad5_SetDate">
    <vt:lpwstr>2021-11-23T12:19:10Z</vt:lpwstr>
  </property>
  <property fmtid="{D5CDD505-2E9C-101B-9397-08002B2CF9AE}" pid="4" name="MSIP_Label_0a957285-7815-485a-9751-5b273b784ad5_Method">
    <vt:lpwstr>Privileged</vt:lpwstr>
  </property>
  <property fmtid="{D5CDD505-2E9C-101B-9397-08002B2CF9AE}" pid="5" name="MSIP_Label_0a957285-7815-485a-9751-5b273b784ad5_Name">
    <vt:lpwstr>0a957285-7815-485a-9751-5b273b784ad5</vt:lpwstr>
  </property>
  <property fmtid="{D5CDD505-2E9C-101B-9397-08002B2CF9AE}" pid="6" name="MSIP_Label_0a957285-7815-485a-9751-5b273b784ad5_SiteId">
    <vt:lpwstr>1de6d9f3-0daf-4df6-b9d6-5959f16f6118</vt:lpwstr>
  </property>
  <property fmtid="{D5CDD505-2E9C-101B-9397-08002B2CF9AE}" pid="7" name="MSIP_Label_0a957285-7815-485a-9751-5b273b784ad5_ActionId">
    <vt:lpwstr>668213fa-6fde-44ca-9e0c-0000d50e0d97</vt:lpwstr>
  </property>
  <property fmtid="{D5CDD505-2E9C-101B-9397-08002B2CF9AE}" pid="8" name="MSIP_Label_0a957285-7815-485a-9751-5b273b784ad5_ContentBits">
    <vt:lpwstr>0</vt:lpwstr>
  </property>
</Properties>
</file>