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969AA" w14:textId="3A065519" w:rsidR="004568B0" w:rsidRPr="00BF35FA" w:rsidRDefault="004568B0" w:rsidP="004568B0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</w:t>
      </w:r>
      <w:r w:rsidR="008E02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77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</w:t>
      </w:r>
      <w:r w:rsidR="00226F64" w:rsidRPr="00777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3</w:t>
      </w:r>
      <w:r w:rsidRPr="00777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 </w:t>
      </w:r>
      <w:r w:rsidRPr="007776F4">
        <w:rPr>
          <w:rFonts w:ascii="Times New Roman" w:hAnsi="Times New Roman" w:cs="Times New Roman"/>
          <w:color w:val="000000" w:themeColor="text1"/>
          <w:sz w:val="24"/>
          <w:szCs w:val="24"/>
        </w:rPr>
        <w:t>Comparison of</w:t>
      </w:r>
      <w:r w:rsidRPr="00777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77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Akaike’s information criterion between </w:t>
      </w:r>
      <w:r w:rsidRPr="007776F4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the </w:t>
      </w:r>
      <w:r w:rsidRPr="00777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Cox </w:t>
      </w:r>
      <w:r w:rsidRPr="00BF35FA">
        <w:rPr>
          <w:rFonts w:ascii="Times New Roman" w:hAnsi="Times New Roman" w:cs="Times New Roman"/>
          <w:color w:val="000000" w:themeColor="text1"/>
          <w:sz w:val="24"/>
          <w:szCs w:val="24"/>
        </w:rPr>
        <w:t>proportional hazard model and parametric model</w:t>
      </w:r>
    </w:p>
    <w:tbl>
      <w:tblPr>
        <w:tblStyle w:val="TableGrid"/>
        <w:tblW w:w="10170" w:type="dxa"/>
        <w:tblInd w:w="-545" w:type="dxa"/>
        <w:tblLook w:val="04A0" w:firstRow="1" w:lastRow="0" w:firstColumn="1" w:lastColumn="0" w:noHBand="0" w:noVBand="1"/>
      </w:tblPr>
      <w:tblGrid>
        <w:gridCol w:w="2790"/>
        <w:gridCol w:w="2520"/>
        <w:gridCol w:w="1620"/>
        <w:gridCol w:w="3240"/>
      </w:tblGrid>
      <w:tr w:rsidR="004568B0" w:rsidRPr="00BF35FA" w14:paraId="32074F9B" w14:textId="77777777" w:rsidTr="006D7C61">
        <w:tc>
          <w:tcPr>
            <w:tcW w:w="2790" w:type="dxa"/>
          </w:tcPr>
          <w:p w14:paraId="27378CE7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Model </w:t>
            </w:r>
          </w:p>
        </w:tc>
        <w:tc>
          <w:tcPr>
            <w:tcW w:w="2520" w:type="dxa"/>
          </w:tcPr>
          <w:p w14:paraId="19255436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likelihood</w:t>
            </w:r>
          </w:p>
        </w:tc>
        <w:tc>
          <w:tcPr>
            <w:tcW w:w="1620" w:type="dxa"/>
          </w:tcPr>
          <w:p w14:paraId="481C4A5F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AIC</w:t>
            </w:r>
          </w:p>
        </w:tc>
        <w:tc>
          <w:tcPr>
            <w:tcW w:w="3240" w:type="dxa"/>
          </w:tcPr>
          <w:p w14:paraId="005E058B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Kappa value</w:t>
            </w:r>
          </w:p>
        </w:tc>
      </w:tr>
      <w:tr w:rsidR="004568B0" w:rsidRPr="00BF35FA" w14:paraId="650E8B18" w14:textId="77777777" w:rsidTr="006D7C61">
        <w:tc>
          <w:tcPr>
            <w:tcW w:w="2790" w:type="dxa"/>
          </w:tcPr>
          <w:p w14:paraId="5D85CA4B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Cox </w:t>
            </w:r>
          </w:p>
        </w:tc>
        <w:tc>
          <w:tcPr>
            <w:tcW w:w="2520" w:type="dxa"/>
          </w:tcPr>
          <w:p w14:paraId="70AE976E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-603.65</w:t>
            </w:r>
          </w:p>
        </w:tc>
        <w:tc>
          <w:tcPr>
            <w:tcW w:w="1620" w:type="dxa"/>
          </w:tcPr>
          <w:p w14:paraId="74F43E49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1227.31</w:t>
            </w:r>
          </w:p>
        </w:tc>
        <w:tc>
          <w:tcPr>
            <w:tcW w:w="3240" w:type="dxa"/>
          </w:tcPr>
          <w:p w14:paraId="590662F1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8B0" w:rsidRPr="00BF35FA" w14:paraId="014E7456" w14:textId="77777777" w:rsidTr="006D7C61">
        <w:tc>
          <w:tcPr>
            <w:tcW w:w="2790" w:type="dxa"/>
          </w:tcPr>
          <w:p w14:paraId="79FB05DC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Exponential </w:t>
            </w:r>
          </w:p>
        </w:tc>
        <w:tc>
          <w:tcPr>
            <w:tcW w:w="2520" w:type="dxa"/>
          </w:tcPr>
          <w:p w14:paraId="2E1CC993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-424.41</w:t>
            </w:r>
          </w:p>
        </w:tc>
        <w:tc>
          <w:tcPr>
            <w:tcW w:w="1620" w:type="dxa"/>
          </w:tcPr>
          <w:p w14:paraId="216DE199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870.824</w:t>
            </w:r>
          </w:p>
        </w:tc>
        <w:tc>
          <w:tcPr>
            <w:tcW w:w="3240" w:type="dxa"/>
          </w:tcPr>
          <w:p w14:paraId="0F747237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8B0" w:rsidRPr="00BF35FA" w14:paraId="494A9A88" w14:textId="77777777" w:rsidTr="006D7C61">
        <w:trPr>
          <w:trHeight w:val="593"/>
        </w:trPr>
        <w:tc>
          <w:tcPr>
            <w:tcW w:w="2790" w:type="dxa"/>
          </w:tcPr>
          <w:p w14:paraId="39D1BE3E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sz w:val="24"/>
                <w:szCs w:val="24"/>
              </w:rPr>
              <w:t>Weibull</w:t>
            </w:r>
          </w:p>
        </w:tc>
        <w:tc>
          <w:tcPr>
            <w:tcW w:w="2520" w:type="dxa"/>
          </w:tcPr>
          <w:p w14:paraId="3E7C1070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sz w:val="24"/>
                <w:szCs w:val="24"/>
              </w:rPr>
              <w:t>-405.46</w:t>
            </w:r>
          </w:p>
        </w:tc>
        <w:tc>
          <w:tcPr>
            <w:tcW w:w="1620" w:type="dxa"/>
          </w:tcPr>
          <w:p w14:paraId="388F7BAB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sz w:val="24"/>
                <w:szCs w:val="24"/>
              </w:rPr>
              <w:t>834.926</w:t>
            </w:r>
          </w:p>
        </w:tc>
        <w:tc>
          <w:tcPr>
            <w:tcW w:w="3240" w:type="dxa"/>
          </w:tcPr>
          <w:p w14:paraId="738826EF" w14:textId="6D6255EE" w:rsidR="004568B0" w:rsidRPr="00BF35FA" w:rsidRDefault="001C51D8" w:rsidP="006D7C6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51D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l</w:t>
            </w:r>
            <w:r w:rsidR="004568B0" w:rsidRPr="00BF35FA">
              <w:rPr>
                <w:rFonts w:ascii="Times New Roman" w:hAnsi="Times New Roman" w:cs="Times New Roman"/>
                <w:sz w:val="24"/>
                <w:szCs w:val="24"/>
              </w:rPr>
              <w:t>Kappa</w:t>
            </w:r>
            <w:proofErr w:type="spellEnd"/>
            <w:r w:rsidR="004568B0" w:rsidRPr="00BF35FA">
              <w:rPr>
                <w:rFonts w:ascii="Times New Roman" w:hAnsi="Times New Roman" w:cs="Times New Roman"/>
                <w:sz w:val="24"/>
                <w:szCs w:val="24"/>
              </w:rPr>
              <w:t xml:space="preserve">=0.313, Kappa </w:t>
            </w:r>
            <w:proofErr w:type="gramStart"/>
            <w:r w:rsidR="004568B0" w:rsidRPr="00BF35FA">
              <w:rPr>
                <w:rFonts w:ascii="Times New Roman" w:hAnsi="Times New Roman" w:cs="Times New Roman"/>
                <w:sz w:val="24"/>
                <w:szCs w:val="24"/>
              </w:rPr>
              <w:t xml:space="preserve">test,   </w:t>
            </w:r>
            <w:proofErr w:type="gramEnd"/>
            <w:r w:rsidR="004568B0" w:rsidRPr="00BF35FA">
              <w:rPr>
                <w:rFonts w:ascii="Times New Roman" w:hAnsi="Times New Roman" w:cs="Times New Roman"/>
                <w:sz w:val="24"/>
                <w:szCs w:val="24"/>
              </w:rPr>
              <w:t>[kappa]_cons =1, chi2(1) = 6.71,   Prob &gt; chi2 =0.0096</w:t>
            </w:r>
          </w:p>
        </w:tc>
      </w:tr>
      <w:tr w:rsidR="004568B0" w:rsidRPr="00BF35FA" w14:paraId="70A57B77" w14:textId="77777777" w:rsidTr="006D7C61">
        <w:tc>
          <w:tcPr>
            <w:tcW w:w="2790" w:type="dxa"/>
          </w:tcPr>
          <w:p w14:paraId="4E17290C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Gompertz</w:t>
            </w:r>
            <w:proofErr w:type="spellEnd"/>
          </w:p>
        </w:tc>
        <w:tc>
          <w:tcPr>
            <w:tcW w:w="2520" w:type="dxa"/>
          </w:tcPr>
          <w:p w14:paraId="698EA2CC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-411.76</w:t>
            </w:r>
          </w:p>
        </w:tc>
        <w:tc>
          <w:tcPr>
            <w:tcW w:w="1620" w:type="dxa"/>
          </w:tcPr>
          <w:p w14:paraId="20086C77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847.52</w:t>
            </w:r>
          </w:p>
        </w:tc>
        <w:tc>
          <w:tcPr>
            <w:tcW w:w="3240" w:type="dxa"/>
          </w:tcPr>
          <w:p w14:paraId="7E35CA79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8B0" w:rsidRPr="00BF35FA" w14:paraId="2C1A4163" w14:textId="77777777" w:rsidTr="006D7C61">
        <w:tc>
          <w:tcPr>
            <w:tcW w:w="2790" w:type="dxa"/>
          </w:tcPr>
          <w:p w14:paraId="177E79A5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Lognormal</w:t>
            </w:r>
          </w:p>
        </w:tc>
        <w:tc>
          <w:tcPr>
            <w:tcW w:w="2520" w:type="dxa"/>
          </w:tcPr>
          <w:p w14:paraId="6A0D7AB1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-401.58</w:t>
            </w:r>
          </w:p>
        </w:tc>
        <w:tc>
          <w:tcPr>
            <w:tcW w:w="1620" w:type="dxa"/>
          </w:tcPr>
          <w:p w14:paraId="2228CAA5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827.16</w:t>
            </w:r>
          </w:p>
        </w:tc>
        <w:tc>
          <w:tcPr>
            <w:tcW w:w="3240" w:type="dxa"/>
          </w:tcPr>
          <w:p w14:paraId="11F2D677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8B0" w:rsidRPr="00BF35FA" w14:paraId="6D45C836" w14:textId="77777777" w:rsidTr="006D7C61">
        <w:tc>
          <w:tcPr>
            <w:tcW w:w="2790" w:type="dxa"/>
          </w:tcPr>
          <w:p w14:paraId="064B489D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Loglogistic </w:t>
            </w:r>
          </w:p>
        </w:tc>
        <w:tc>
          <w:tcPr>
            <w:tcW w:w="2520" w:type="dxa"/>
          </w:tcPr>
          <w:p w14:paraId="112D53C1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-404.82</w:t>
            </w:r>
          </w:p>
        </w:tc>
        <w:tc>
          <w:tcPr>
            <w:tcW w:w="1620" w:type="dxa"/>
          </w:tcPr>
          <w:p w14:paraId="12F2C6BE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833.64</w:t>
            </w:r>
          </w:p>
        </w:tc>
        <w:tc>
          <w:tcPr>
            <w:tcW w:w="3240" w:type="dxa"/>
          </w:tcPr>
          <w:p w14:paraId="06BF2046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568B0" w:rsidRPr="00BF35FA" w14:paraId="6A5B0B0B" w14:textId="77777777" w:rsidTr="006D7C61">
        <w:tc>
          <w:tcPr>
            <w:tcW w:w="2790" w:type="dxa"/>
          </w:tcPr>
          <w:p w14:paraId="291EB4F5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Generalized Gamma</w:t>
            </w:r>
          </w:p>
        </w:tc>
        <w:tc>
          <w:tcPr>
            <w:tcW w:w="2520" w:type="dxa"/>
          </w:tcPr>
          <w:p w14:paraId="1A10DFDE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-399.92</w:t>
            </w:r>
          </w:p>
        </w:tc>
        <w:tc>
          <w:tcPr>
            <w:tcW w:w="1620" w:type="dxa"/>
          </w:tcPr>
          <w:p w14:paraId="1468F85B" w14:textId="77777777" w:rsidR="004568B0" w:rsidRPr="00BF35FA" w:rsidRDefault="004568B0" w:rsidP="006D7C6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5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825.84</w:t>
            </w:r>
          </w:p>
        </w:tc>
        <w:tc>
          <w:tcPr>
            <w:tcW w:w="3240" w:type="dxa"/>
          </w:tcPr>
          <w:p w14:paraId="1A0C7116" w14:textId="77777777" w:rsidR="004568B0" w:rsidRPr="00BF35FA" w:rsidRDefault="004568B0" w:rsidP="006D7C61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6B89623" w14:textId="77777777" w:rsidR="00BD5129" w:rsidRDefault="00BD5129" w:rsidP="00BD5129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36E8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AIC: Akaike’s information criterion</w:t>
      </w:r>
    </w:p>
    <w:p w14:paraId="00A67D09" w14:textId="240E094C" w:rsidR="004568B0" w:rsidRPr="00BD5129" w:rsidRDefault="00BD5129" w:rsidP="00BD5129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36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Model comparison was presented based on AIC and Log-likelihood value. Lower AIC and higher Log-Likelihood is used to select the best model. However, for Weibull distribution to be legitimate parametric test (Kappa-value &gt;0.5) is required in addition to the AIC value and Log-likelihood value. The legitimacy of the Weibull distribution is tested with the STATA command </w:t>
      </w:r>
      <w:proofErr w:type="gramStart"/>
      <w:r w:rsidRPr="00236E87">
        <w:rPr>
          <w:rFonts w:ascii="Times New Roman" w:hAnsi="Times New Roman" w:cs="Times New Roman"/>
          <w:color w:val="000000" w:themeColor="text1"/>
          <w:sz w:val="24"/>
          <w:szCs w:val="24"/>
        </w:rPr>
        <w:t>“ test</w:t>
      </w:r>
      <w:proofErr w:type="gramEnd"/>
      <w:r w:rsidRPr="00236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[kappa]_cons=1, (1) [kappa]_cons = 1, chi2 (1) =  6.71,  Prob &gt; chi2 =  0.0096. </w:t>
      </w:r>
      <w:proofErr w:type="spellStart"/>
      <w:r w:rsidR="001C51D8" w:rsidRPr="001C51D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l</w:t>
      </w:r>
      <w:r w:rsidRPr="00236E87">
        <w:rPr>
          <w:rFonts w:ascii="Times New Roman" w:hAnsi="Times New Roman" w:cs="Times New Roman"/>
          <w:color w:val="000000" w:themeColor="text1"/>
          <w:sz w:val="24"/>
          <w:szCs w:val="24"/>
        </w:rPr>
        <w:t>Kappa</w:t>
      </w:r>
      <w:proofErr w:type="spellEnd"/>
      <w:r w:rsidRPr="00236E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value of 0.313 is significantly lower than 1, indicating that Weibull is not legitimate for this distribution</w:t>
      </w:r>
      <w:r w:rsidRPr="00236E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sectPr w:rsidR="004568B0" w:rsidRPr="00BD51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C23C8"/>
    <w:multiLevelType w:val="hybridMultilevel"/>
    <w:tmpl w:val="7122A4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B0"/>
    <w:rsid w:val="001C51D8"/>
    <w:rsid w:val="00226F64"/>
    <w:rsid w:val="00236E87"/>
    <w:rsid w:val="004568B0"/>
    <w:rsid w:val="007776F4"/>
    <w:rsid w:val="008B46E0"/>
    <w:rsid w:val="008E02C4"/>
    <w:rsid w:val="00AE6174"/>
    <w:rsid w:val="00BD5129"/>
    <w:rsid w:val="00FA6569"/>
    <w:rsid w:val="00FB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A18BE"/>
  <w15:chartTrackingRefBased/>
  <w15:docId w15:val="{BD319DF3-C854-4F59-AFFD-3FE25FF7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8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68B0"/>
    <w:pPr>
      <w:spacing w:after="200" w:line="276" w:lineRule="auto"/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39"/>
    <w:rsid w:val="004568B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SEYOUM, Elleni</dc:creator>
  <cp:keywords/>
  <dc:description/>
  <cp:lastModifiedBy>SEYOUM, Elleni</cp:lastModifiedBy>
  <cp:revision>2</cp:revision>
  <dcterms:created xsi:type="dcterms:W3CDTF">2022-02-22T11:29:00Z</dcterms:created>
  <dcterms:modified xsi:type="dcterms:W3CDTF">2022-02-22T11:29:00Z</dcterms:modified>
</cp:coreProperties>
</file>