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100D912D" w:rsidR="002A6E92" w:rsidRPr="00BF387B" w:rsidRDefault="0064161F">
      <w:pPr>
        <w:rPr>
          <w:b/>
          <w:bCs/>
        </w:rPr>
      </w:pPr>
      <w:r>
        <w:rPr>
          <w:b/>
          <w:bCs/>
        </w:rPr>
        <w:t xml:space="preserve">Additional File </w:t>
      </w:r>
      <w:r w:rsidR="6C47D94F" w:rsidRPr="3146CA1F">
        <w:rPr>
          <w:b/>
          <w:bCs/>
        </w:rPr>
        <w:t>3</w:t>
      </w:r>
      <w:r w:rsidR="00BF387B" w:rsidRPr="00BF387B">
        <w:rPr>
          <w:b/>
          <w:bCs/>
        </w:rPr>
        <w:t xml:space="preserve">: </w:t>
      </w:r>
      <w:r w:rsidR="71EE4283" w:rsidRPr="00BF387B">
        <w:rPr>
          <w:b/>
          <w:bCs/>
        </w:rPr>
        <w:t>Details of data transformations and preparation for analysis</w:t>
      </w:r>
    </w:p>
    <w:p w14:paraId="64BE1F3D" w14:textId="30F83F81" w:rsidR="0E3ADBE8" w:rsidRDefault="0E3ADBE8" w:rsidP="0E3ADBE8"/>
    <w:p w14:paraId="1119D311" w14:textId="2B6A892A" w:rsidR="087B9558" w:rsidRPr="0064161F" w:rsidRDefault="087B9558" w:rsidP="0064161F">
      <w:pPr>
        <w:rPr>
          <w:u w:val="single"/>
        </w:rPr>
      </w:pPr>
      <w:r w:rsidRPr="0064161F">
        <w:rPr>
          <w:u w:val="single"/>
        </w:rPr>
        <w:t>Conversion of outcome data to log odds ratio and standard error</w:t>
      </w:r>
    </w:p>
    <w:p w14:paraId="318F2162" w14:textId="65ABADC5" w:rsidR="087B9558" w:rsidRDefault="087B9558" w:rsidP="00BF387B">
      <w:pPr>
        <w:spacing w:line="360" w:lineRule="auto"/>
        <w:jc w:val="both"/>
        <w:rPr>
          <w:rFonts w:ascii="Calibri" w:eastAsia="Calibri" w:hAnsi="Calibri" w:cs="Calibri"/>
          <w:color w:val="000000" w:themeColor="text1"/>
        </w:rPr>
      </w:pPr>
      <w:r w:rsidRPr="0E3ADBE8">
        <w:rPr>
          <w:rFonts w:ascii="Calibri" w:eastAsia="Calibri" w:hAnsi="Calibri" w:cs="Calibri"/>
          <w:color w:val="000000" w:themeColor="text1"/>
        </w:rPr>
        <w:t xml:space="preserve">To maximise the number of studies we could include in the meta-analyses we converted all outcome data to log odds ratios and standard errors, </w:t>
      </w:r>
      <w:r w:rsidR="62DF7DA0" w:rsidRPr="0E3ADBE8">
        <w:rPr>
          <w:rFonts w:ascii="Calibri" w:eastAsia="Calibri" w:hAnsi="Calibri" w:cs="Calibri"/>
          <w:color w:val="000000" w:themeColor="text1"/>
        </w:rPr>
        <w:t>using</w:t>
      </w:r>
      <w:r w:rsidRPr="0E3ADBE8">
        <w:rPr>
          <w:rFonts w:ascii="Calibri" w:eastAsia="Calibri" w:hAnsi="Calibri" w:cs="Calibri"/>
          <w:color w:val="000000" w:themeColor="text1"/>
        </w:rPr>
        <w:t xml:space="preserve"> the methods described in </w:t>
      </w:r>
      <w:proofErr w:type="spellStart"/>
      <w:r w:rsidRPr="0E3ADBE8">
        <w:rPr>
          <w:rFonts w:ascii="Calibri" w:eastAsia="Calibri" w:hAnsi="Calibri" w:cs="Calibri"/>
          <w:color w:val="000000" w:themeColor="text1"/>
        </w:rPr>
        <w:t>Borenstein</w:t>
      </w:r>
      <w:proofErr w:type="spellEnd"/>
      <w:r w:rsidRPr="0E3ADBE8">
        <w:rPr>
          <w:rFonts w:ascii="Calibri" w:eastAsia="Calibri" w:hAnsi="Calibri" w:cs="Calibri"/>
          <w:color w:val="000000" w:themeColor="text1"/>
        </w:rPr>
        <w:t xml:space="preserve"> 2009 (see Chapter 7)</w:t>
      </w:r>
      <w:r w:rsidR="00BF387B">
        <w:rPr>
          <w:rFonts w:ascii="Calibri" w:eastAsia="Calibri" w:hAnsi="Calibri" w:cs="Calibri"/>
          <w:color w:val="000000" w:themeColor="text1"/>
        </w:rPr>
        <w:t xml:space="preserve"> </w:t>
      </w:r>
      <w:r w:rsidR="00BF387B">
        <w:rPr>
          <w:rFonts w:ascii="Calibri" w:eastAsia="Calibri" w:hAnsi="Calibri" w:cs="Calibri"/>
          <w:color w:val="000000" w:themeColor="text1"/>
        </w:rPr>
        <w:fldChar w:fldCharType="begin"/>
      </w:r>
      <w:r w:rsidR="00BF387B">
        <w:rPr>
          <w:rFonts w:ascii="Calibri" w:eastAsia="Calibri" w:hAnsi="Calibri" w:cs="Calibri"/>
          <w:color w:val="000000" w:themeColor="text1"/>
        </w:rPr>
        <w:instrText xml:space="preserve"> ADDIN EN.CITE &lt;EndNote&gt;&lt;Cite&gt;&lt;Author&gt;Borenstein&lt;/Author&gt;&lt;Year&gt;2009&lt;/Year&gt;&lt;RecNum&gt;1054&lt;/RecNum&gt;&lt;DisplayText&gt;[1]&lt;/DisplayText&gt;&lt;record&gt;&lt;rec-number&gt;1054&lt;/rec-number&gt;&lt;foreign-keys&gt;&lt;key app="EN" db-id="zfpweap54ppxeees5szx0sz3599t9200wsa9" timestamp="1611926526"&gt;1054&lt;/key&gt;&lt;/foreign-keys&gt;&lt;ref-type name="Journal Article"&gt;17&lt;/ref-type&gt;&lt;contributors&gt;&lt;authors&gt;&lt;author&gt;Borenstein, Michael&lt;/author&gt;&lt;author&gt;Cooper, H.&lt;/author&gt;&lt;author&gt;Hedges, L.&lt;/author&gt;&lt;author&gt;Valentine, J.&lt;/author&gt;&lt;/authors&gt;&lt;/contributors&gt;&lt;titles&gt;&lt;title&gt;Effect sizes for continuous data&lt;/title&gt;&lt;secondary-title&gt;The handbook of research synthesis and meta-analysis&lt;/secondary-title&gt;&lt;/titles&gt;&lt;periodical&gt;&lt;full-title&gt;The handbook of research synthesis and meta-analysis&lt;/full-title&gt;&lt;/periodical&gt;&lt;pages&gt;221-235&lt;/pages&gt;&lt;volume&gt;2&lt;/volume&gt;&lt;dates&gt;&lt;year&gt;2009&lt;/year&gt;&lt;/dates&gt;&lt;urls&gt;&lt;/urls&gt;&lt;/record&gt;&lt;/Cite&gt;&lt;/EndNote&gt;</w:instrText>
      </w:r>
      <w:r w:rsidR="00BF387B">
        <w:rPr>
          <w:rFonts w:ascii="Calibri" w:eastAsia="Calibri" w:hAnsi="Calibri" w:cs="Calibri"/>
          <w:color w:val="000000" w:themeColor="text1"/>
        </w:rPr>
        <w:fldChar w:fldCharType="separate"/>
      </w:r>
      <w:r w:rsidR="00BF387B">
        <w:rPr>
          <w:rFonts w:ascii="Calibri" w:eastAsia="Calibri" w:hAnsi="Calibri" w:cs="Calibri"/>
          <w:noProof/>
          <w:color w:val="000000" w:themeColor="text1"/>
        </w:rPr>
        <w:t>[1]</w:t>
      </w:r>
      <w:r w:rsidR="00BF387B">
        <w:rPr>
          <w:rFonts w:ascii="Calibri" w:eastAsia="Calibri" w:hAnsi="Calibri" w:cs="Calibri"/>
          <w:color w:val="000000" w:themeColor="text1"/>
        </w:rPr>
        <w:fldChar w:fldCharType="end"/>
      </w:r>
      <w:r w:rsidRPr="0E3ADBE8">
        <w:rPr>
          <w:rFonts w:ascii="Calibri" w:eastAsia="Calibri" w:hAnsi="Calibri" w:cs="Calibri"/>
          <w:color w:val="000000" w:themeColor="text1"/>
        </w:rPr>
        <w:t>. To enable this, first the means and standard deviations were used to calculate a pooled standard deviation, and then a standardised mean difference, using the Calculator Companion to Practical Meta-analysis</w:t>
      </w:r>
      <w:r w:rsidR="00BF387B">
        <w:rPr>
          <w:rFonts w:ascii="Calibri" w:eastAsia="Calibri" w:hAnsi="Calibri" w:cs="Calibri"/>
          <w:color w:val="000000" w:themeColor="text1"/>
        </w:rPr>
        <w:t xml:space="preserve"> </w:t>
      </w:r>
      <w:r w:rsidR="00BF387B">
        <w:rPr>
          <w:rFonts w:ascii="Calibri" w:eastAsia="Calibri" w:hAnsi="Calibri" w:cs="Calibri"/>
          <w:color w:val="000000" w:themeColor="text1"/>
        </w:rPr>
        <w:fldChar w:fldCharType="begin"/>
      </w:r>
      <w:r w:rsidR="00BF387B">
        <w:rPr>
          <w:rFonts w:ascii="Calibri" w:eastAsia="Calibri" w:hAnsi="Calibri" w:cs="Calibri"/>
          <w:color w:val="000000" w:themeColor="text1"/>
        </w:rPr>
        <w:instrText xml:space="preserve"> ADDIN EN.CITE &lt;EndNote&gt;&lt;Cite&gt;&lt;Author&gt;Wilson&lt;/Author&gt;&lt;RecNum&gt;1055&lt;/RecNum&gt;&lt;DisplayText&gt;[2]&lt;/DisplayText&gt;&lt;record&gt;&lt;rec-number&gt;1055&lt;/rec-number&gt;&lt;foreign-keys&gt;&lt;key app="EN" db-id="zfpweap54ppxeees5szx0sz3599t9200wsa9" timestamp="1611926841"&gt;1055&lt;/key&gt;&lt;/foreign-keys&gt;&lt;ref-type name="Web Page"&gt;12&lt;/ref-type&gt;&lt;contributors&gt;&lt;authors&gt;&lt;author&gt;Wilson, D.&lt;/author&gt;&lt;/authors&gt;&lt;/contributors&gt;&lt;titles&gt;&lt;title&gt;Practical Meta-Analysis Effect Size Calculator&lt;/title&gt;&lt;/titles&gt;&lt;number&gt;January 2021&lt;/number&gt;&lt;dates&gt;&lt;/dates&gt;&lt;urls&gt;&lt;related-urls&gt;&lt;url&gt;https://www.campbellcollaboration.org/escalc/html/EffectSizeCalculator-SMD-main.php&lt;/url&gt;&lt;/related-urls&gt;&lt;/urls&gt;&lt;/record&gt;&lt;/Cite&gt;&lt;/EndNote&gt;</w:instrText>
      </w:r>
      <w:r w:rsidR="00BF387B">
        <w:rPr>
          <w:rFonts w:ascii="Calibri" w:eastAsia="Calibri" w:hAnsi="Calibri" w:cs="Calibri"/>
          <w:color w:val="000000" w:themeColor="text1"/>
        </w:rPr>
        <w:fldChar w:fldCharType="separate"/>
      </w:r>
      <w:r w:rsidR="00BF387B">
        <w:rPr>
          <w:rFonts w:ascii="Calibri" w:eastAsia="Calibri" w:hAnsi="Calibri" w:cs="Calibri"/>
          <w:noProof/>
          <w:color w:val="000000" w:themeColor="text1"/>
        </w:rPr>
        <w:t>[2]</w:t>
      </w:r>
      <w:r w:rsidR="00BF387B">
        <w:rPr>
          <w:rFonts w:ascii="Calibri" w:eastAsia="Calibri" w:hAnsi="Calibri" w:cs="Calibri"/>
          <w:color w:val="000000" w:themeColor="text1"/>
        </w:rPr>
        <w:fldChar w:fldCharType="end"/>
      </w:r>
      <w:r w:rsidRPr="0E3ADBE8">
        <w:rPr>
          <w:rFonts w:ascii="Calibri" w:eastAsia="Calibri" w:hAnsi="Calibri" w:cs="Calibri"/>
          <w:color w:val="000000" w:themeColor="text1"/>
        </w:rPr>
        <w:t>. The standardized mean-difference can be computed from means and standard deviations, a t-test, and a one-way ANOVA. Standardised mean difference (SMD) was computed using means and standard errors (SE), where standard deviations were not reported. Where possible and logical, categorical groups were combined to dichotomise. Standard errors for SMDs, ORs or log odds ratios (</w:t>
      </w:r>
      <w:proofErr w:type="spellStart"/>
      <w:r w:rsidRPr="0E3ADBE8">
        <w:rPr>
          <w:rFonts w:ascii="Calibri" w:eastAsia="Calibri" w:hAnsi="Calibri" w:cs="Calibri"/>
          <w:color w:val="000000" w:themeColor="text1"/>
        </w:rPr>
        <w:t>logORs</w:t>
      </w:r>
      <w:proofErr w:type="spellEnd"/>
      <w:r w:rsidRPr="0E3ADBE8">
        <w:rPr>
          <w:rFonts w:ascii="Calibri" w:eastAsia="Calibri" w:hAnsi="Calibri" w:cs="Calibri"/>
          <w:color w:val="000000" w:themeColor="text1"/>
        </w:rPr>
        <w:t>) were calculated using 95% confidence intervals or p-values where not directly reported.</w:t>
      </w:r>
    </w:p>
    <w:p w14:paraId="1216EEA0" w14:textId="1C66A7A6" w:rsidR="00D42B1F" w:rsidRDefault="1B1DCC6E" w:rsidP="00BF387B">
      <w:pPr>
        <w:spacing w:line="360" w:lineRule="auto"/>
        <w:jc w:val="both"/>
      </w:pPr>
      <w:r>
        <w:t xml:space="preserve">We note that this is a change from protocol, where we described converting data to a standardised mean difference. </w:t>
      </w:r>
      <w:r w:rsidR="4B408320">
        <w:t xml:space="preserve">In practice, using the log odds ratio required fewer transformations to be conducted and so was </w:t>
      </w:r>
      <w:r w:rsidR="36DBF05F">
        <w:t>preferred</w:t>
      </w:r>
      <w:r w:rsidR="4B408320">
        <w:t xml:space="preserve">. </w:t>
      </w:r>
    </w:p>
    <w:p w14:paraId="293A45AD" w14:textId="77777777" w:rsidR="00BF387B" w:rsidRDefault="00BF387B" w:rsidP="0E3ADBE8"/>
    <w:p w14:paraId="2D624BF3" w14:textId="68E127D7" w:rsidR="00D42B1F" w:rsidRPr="0064161F" w:rsidRDefault="00D42B1F" w:rsidP="0064161F">
      <w:pPr>
        <w:rPr>
          <w:u w:val="single"/>
        </w:rPr>
      </w:pPr>
      <w:r w:rsidRPr="0064161F">
        <w:rPr>
          <w:u w:val="single"/>
        </w:rPr>
        <w:t xml:space="preserve">Cluster randomised trials, intra-cluster correlations and standard error </w:t>
      </w:r>
    </w:p>
    <w:p w14:paraId="1D2EF8DF" w14:textId="79969F98" w:rsidR="00D42B1F" w:rsidRDefault="00D42B1F" w:rsidP="00BF387B">
      <w:pPr>
        <w:spacing w:line="360" w:lineRule="auto"/>
        <w:jc w:val="both"/>
        <w:rPr>
          <w:rStyle w:val="eop"/>
          <w:rFonts w:ascii="Calibri" w:hAnsi="Calibri" w:cs="Calibri"/>
          <w:color w:val="000000"/>
          <w:shd w:val="clear" w:color="auto" w:fill="FFFFFF"/>
        </w:rPr>
      </w:pPr>
      <w:r>
        <w:rPr>
          <w:rStyle w:val="normaltextrun"/>
          <w:rFonts w:ascii="Calibri" w:hAnsi="Calibri" w:cs="Calibri"/>
          <w:color w:val="000000"/>
          <w:shd w:val="clear" w:color="auto" w:fill="FFFFFF"/>
        </w:rPr>
        <w:t>Some RCTs were cluster RCTs, with the unit of randomisation being a group or ‘cluster’, for example a school. As participants in any given cluster are expected to respond to interventions in a similar way, their data are not independent and therefore the clustering effect must be accounted for in analyses to avoid unit-of-analyses error </w:t>
      </w:r>
      <w:r w:rsidR="00BF387B">
        <w:rPr>
          <w:rStyle w:val="normaltextrun"/>
          <w:rFonts w:ascii="Calibri" w:hAnsi="Calibri" w:cs="Calibri"/>
          <w:color w:val="000000"/>
          <w:shd w:val="clear" w:color="auto" w:fill="FFFFFF"/>
        </w:rPr>
        <w:fldChar w:fldCharType="begin"/>
      </w:r>
      <w:r w:rsidR="00BF387B">
        <w:rPr>
          <w:rStyle w:val="normaltextrun"/>
          <w:rFonts w:ascii="Calibri" w:hAnsi="Calibri" w:cs="Calibri"/>
          <w:color w:val="000000"/>
          <w:shd w:val="clear" w:color="auto" w:fill="FFFFFF"/>
        </w:rPr>
        <w:instrText xml:space="preserve"> ADDIN EN.CITE &lt;EndNote&gt;&lt;Cite&gt;&lt;Author&gt;Higgins&lt;/Author&gt;&lt;Year&gt;2011&lt;/Year&gt;&lt;RecNum&gt;267&lt;/RecNum&gt;&lt;DisplayText&gt;[3]&lt;/DisplayText&gt;&lt;record&gt;&lt;rec-number&gt;267&lt;/rec-number&gt;&lt;foreign-keys&gt;&lt;key app="EN" db-id="zfpweap54ppxeees5szx0sz3599t9200wsa9" timestamp="1516702858"&gt;267&lt;/key&gt;&lt;/foreign-keys&gt;&lt;ref-type name="Web Page"&gt;12&lt;/ref-type&gt;&lt;contributors&gt;&lt;authors&gt;&lt;author&gt;Higgins, Julian PT&lt;/author&gt;&lt;author&gt;Green, Sally&lt;/author&gt;&lt;/authors&gt;&lt;/contributors&gt;&lt;titles&gt;&lt;title&gt;Cochrane Handbook for Systematic Reviews of Interventions Version 5.1.0&lt;/title&gt;&lt;/titles&gt;&lt;volume&gt;4&lt;/volume&gt;&lt;number&gt;23/01/2018&lt;/number&gt;&lt;dates&gt;&lt;year&gt;2011&lt;/year&gt;&lt;/dates&gt;&lt;publisher&gt;The Cochrane Collaboration, 2011&lt;/publisher&gt;&lt;urls&gt;&lt;related-urls&gt;&lt;url&gt;&lt;style face="underline" font="default" size="100%"&gt;www.handbook.cochrane.org&lt;/style&gt;&lt;/url&gt;&lt;/related-urls&gt;&lt;/urls&gt;&lt;/record&gt;&lt;/Cite&gt;&lt;/EndNote&gt;</w:instrText>
      </w:r>
      <w:r w:rsidR="00BF387B">
        <w:rPr>
          <w:rStyle w:val="normaltextrun"/>
          <w:rFonts w:ascii="Calibri" w:hAnsi="Calibri" w:cs="Calibri"/>
          <w:color w:val="000000"/>
          <w:shd w:val="clear" w:color="auto" w:fill="FFFFFF"/>
        </w:rPr>
        <w:fldChar w:fldCharType="separate"/>
      </w:r>
      <w:r w:rsidR="00BF387B">
        <w:rPr>
          <w:rStyle w:val="normaltextrun"/>
          <w:rFonts w:ascii="Calibri" w:hAnsi="Calibri" w:cs="Calibri"/>
          <w:noProof/>
          <w:color w:val="000000"/>
          <w:shd w:val="clear" w:color="auto" w:fill="FFFFFF"/>
        </w:rPr>
        <w:t>[3]</w:t>
      </w:r>
      <w:r w:rsidR="00BF387B">
        <w:rPr>
          <w:rStyle w:val="normaltextrun"/>
          <w:rFonts w:ascii="Calibri" w:hAnsi="Calibri" w:cs="Calibri"/>
          <w:color w:val="000000"/>
          <w:shd w:val="clear" w:color="auto" w:fill="FFFFFF"/>
        </w:rPr>
        <w:fldChar w:fldCharType="end"/>
      </w:r>
      <w:r>
        <w:rPr>
          <w:rStyle w:val="normaltextrun"/>
          <w:color w:val="000000"/>
          <w:shd w:val="clear" w:color="auto" w:fill="FFFFFF"/>
        </w:rPr>
        <w:t>. </w:t>
      </w:r>
      <w:r>
        <w:rPr>
          <w:rStyle w:val="normaltextrun"/>
          <w:rFonts w:ascii="Calibri" w:hAnsi="Calibri" w:cs="Calibri"/>
          <w:color w:val="000000"/>
          <w:shd w:val="clear" w:color="auto" w:fill="FFFFFF"/>
        </w:rPr>
        <w:t>Where studies used a clustered design but ignored clustering in their analyses, or where it was not clear, we inflated the SE to account for intra-cluster correlations. Inflated SEs were calculated by multiplying the SE of the effect estimate (</w:t>
      </w:r>
      <w:proofErr w:type="spellStart"/>
      <w:r>
        <w:rPr>
          <w:rStyle w:val="normaltextrun"/>
          <w:rFonts w:ascii="Calibri" w:hAnsi="Calibri" w:cs="Calibri"/>
          <w:color w:val="000000"/>
          <w:shd w:val="clear" w:color="auto" w:fill="FFFFFF"/>
        </w:rPr>
        <w:t>logOR</w:t>
      </w:r>
      <w:proofErr w:type="spellEnd"/>
      <w:r>
        <w:rPr>
          <w:rStyle w:val="normaltextrun"/>
          <w:rFonts w:ascii="Calibri" w:hAnsi="Calibri" w:cs="Calibri"/>
          <w:color w:val="000000"/>
          <w:shd w:val="clear" w:color="auto" w:fill="FFFFFF"/>
        </w:rPr>
        <w:t>) by the square root of the design effect. Design effect = 1 + (M – 1) ICC, where M is the average cluster size in the trial and ICC is the </w:t>
      </w:r>
      <w:proofErr w:type="spellStart"/>
      <w:r>
        <w:rPr>
          <w:rStyle w:val="normaltextrun"/>
          <w:rFonts w:ascii="Calibri" w:hAnsi="Calibri" w:cs="Calibri"/>
          <w:color w:val="000000"/>
          <w:shd w:val="clear" w:color="auto" w:fill="FFFFFF"/>
        </w:rPr>
        <w:t>intracluster</w:t>
      </w:r>
      <w:proofErr w:type="spellEnd"/>
      <w:r>
        <w:rPr>
          <w:rStyle w:val="normaltextrun"/>
          <w:rFonts w:ascii="Calibri" w:hAnsi="Calibri" w:cs="Calibri"/>
          <w:color w:val="000000"/>
          <w:shd w:val="clear" w:color="auto" w:fill="FFFFFF"/>
        </w:rPr>
        <w:t> correlation coefficient. ICCs provide a measure of the relative variability within and between clusters, and where not reported, were derived from other included studies that reported an ICC for the same outcome, to enable the design effect to be calculated. For all analyses, we selected the mean ICC for the outcome. When no ICC was available for that outcome, we used the mean ICC for the substance behaviour as an estimate</w:t>
      </w:r>
      <w:r w:rsidR="00BF387B">
        <w:rPr>
          <w:rStyle w:val="normaltextrun"/>
          <w:rFonts w:ascii="Calibri" w:hAnsi="Calibri" w:cs="Calibri"/>
          <w:color w:val="000000"/>
          <w:shd w:val="clear" w:color="auto" w:fill="FFFFFF"/>
        </w:rPr>
        <w:t xml:space="preserve"> (see Table below).</w:t>
      </w:r>
      <w:r>
        <w:rPr>
          <w:rStyle w:val="normaltextrun"/>
          <w:rFonts w:ascii="Calibri" w:hAnsi="Calibri" w:cs="Calibri"/>
          <w:color w:val="000000"/>
          <w:shd w:val="clear" w:color="auto" w:fill="FFFFFF"/>
        </w:rPr>
        <w:t xml:space="preserve"> </w:t>
      </w:r>
    </w:p>
    <w:p w14:paraId="1D3B216D" w14:textId="10274746" w:rsidR="00BF387B" w:rsidRDefault="00BF387B" w:rsidP="0E3ADBE8">
      <w:pPr>
        <w:rPr>
          <w:rStyle w:val="eop"/>
          <w:rFonts w:ascii="Calibri" w:hAnsi="Calibri" w:cs="Calibri"/>
          <w:color w:val="000000"/>
          <w:shd w:val="clear" w:color="auto" w:fill="FFFFFF"/>
        </w:rPr>
      </w:pPr>
      <w:r w:rsidRPr="00BF387B">
        <w:rPr>
          <w:rFonts w:ascii="Calibri" w:eastAsia="Calibri" w:hAnsi="Calibri" w:cs="Times New Roman"/>
          <w:b/>
          <w:bCs/>
          <w:noProof/>
        </w:rPr>
        <w:drawing>
          <wp:anchor distT="0" distB="0" distL="114300" distR="114300" simplePos="0" relativeHeight="251658240" behindDoc="0" locked="0" layoutInCell="1" allowOverlap="1" wp14:anchorId="0284617C" wp14:editId="000D7F93">
            <wp:simplePos x="0" y="0"/>
            <wp:positionH relativeFrom="column">
              <wp:posOffset>-89535</wp:posOffset>
            </wp:positionH>
            <wp:positionV relativeFrom="paragraph">
              <wp:posOffset>308589</wp:posOffset>
            </wp:positionV>
            <wp:extent cx="5728335" cy="3188335"/>
            <wp:effectExtent l="0" t="0" r="0" b="0"/>
            <wp:wrapSquare wrapText="bothSides"/>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8335" cy="3188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1D012B47" wp14:editId="48044FF0">
                <wp:simplePos x="0" y="0"/>
                <wp:positionH relativeFrom="column">
                  <wp:posOffset>-90170</wp:posOffset>
                </wp:positionH>
                <wp:positionV relativeFrom="paragraph">
                  <wp:posOffset>0</wp:posOffset>
                </wp:positionV>
                <wp:extent cx="5728335" cy="19431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728335" cy="194310"/>
                        </a:xfrm>
                        <a:prstGeom prst="rect">
                          <a:avLst/>
                        </a:prstGeom>
                        <a:solidFill>
                          <a:prstClr val="white"/>
                        </a:solidFill>
                        <a:ln>
                          <a:noFill/>
                        </a:ln>
                      </wps:spPr>
                      <wps:txbx>
                        <w:txbxContent>
                          <w:p w14:paraId="353B1917" w14:textId="15971C0F" w:rsidR="00BF387B" w:rsidRPr="00BF387B" w:rsidRDefault="0064161F" w:rsidP="00BF387B">
                            <w:pPr>
                              <w:pStyle w:val="Caption"/>
                              <w:rPr>
                                <w:rFonts w:ascii="Calibri" w:eastAsia="Calibri" w:hAnsi="Calibri" w:cs="Times New Roman"/>
                                <w:b/>
                                <w:bCs/>
                                <w:i w:val="0"/>
                                <w:iCs w:val="0"/>
                                <w:noProof/>
                                <w:color w:val="000000" w:themeColor="text1"/>
                                <w:sz w:val="24"/>
                                <w:szCs w:val="24"/>
                              </w:rPr>
                            </w:pPr>
                            <w:r>
                              <w:rPr>
                                <w:b/>
                                <w:bCs/>
                                <w:i w:val="0"/>
                                <w:iCs w:val="0"/>
                                <w:color w:val="000000" w:themeColor="text1"/>
                                <w:sz w:val="20"/>
                                <w:szCs w:val="20"/>
                              </w:rPr>
                              <w:t xml:space="preserve">Additional Table </w:t>
                            </w:r>
                            <w:r w:rsidR="006F60C8">
                              <w:rPr>
                                <w:b/>
                                <w:bCs/>
                                <w:i w:val="0"/>
                                <w:iCs w:val="0"/>
                                <w:color w:val="000000" w:themeColor="text1"/>
                                <w:sz w:val="20"/>
                                <w:szCs w:val="20"/>
                              </w:rPr>
                              <w:t>3</w:t>
                            </w:r>
                            <w:r>
                              <w:rPr>
                                <w:b/>
                                <w:bCs/>
                                <w:i w:val="0"/>
                                <w:iCs w:val="0"/>
                                <w:color w:val="000000" w:themeColor="text1"/>
                                <w:sz w:val="20"/>
                                <w:szCs w:val="20"/>
                              </w:rPr>
                              <w:t>.1</w:t>
                            </w:r>
                            <w:r w:rsidR="00BF387B" w:rsidRPr="00BF387B">
                              <w:rPr>
                                <w:b/>
                                <w:bCs/>
                                <w:i w:val="0"/>
                                <w:iCs w:val="0"/>
                                <w:color w:val="000000" w:themeColor="text1"/>
                                <w:sz w:val="20"/>
                                <w:szCs w:val="20"/>
                              </w:rPr>
                              <w:t xml:space="preserve">: Average </w:t>
                            </w:r>
                            <w:proofErr w:type="spellStart"/>
                            <w:r w:rsidR="00BF387B" w:rsidRPr="00BF387B">
                              <w:rPr>
                                <w:b/>
                                <w:bCs/>
                                <w:i w:val="0"/>
                                <w:iCs w:val="0"/>
                                <w:color w:val="000000" w:themeColor="text1"/>
                                <w:sz w:val="20"/>
                                <w:szCs w:val="20"/>
                              </w:rPr>
                              <w:t>intracluster</w:t>
                            </w:r>
                            <w:proofErr w:type="spellEnd"/>
                            <w:r w:rsidR="00BF387B" w:rsidRPr="00BF387B">
                              <w:rPr>
                                <w:b/>
                                <w:bCs/>
                                <w:i w:val="0"/>
                                <w:iCs w:val="0"/>
                                <w:color w:val="000000" w:themeColor="text1"/>
                                <w:sz w:val="20"/>
                                <w:szCs w:val="20"/>
                              </w:rPr>
                              <w:t xml:space="preserve"> correlation coefficient for each outcome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012B47" id="_x0000_t202" coordsize="21600,21600" o:spt="202" path="m,l,21600r21600,l21600,xe">
                <v:stroke joinstyle="miter"/>
                <v:path gradientshapeok="t" o:connecttype="rect"/>
              </v:shapetype>
              <v:shape id="Text Box 2" o:spid="_x0000_s1026" type="#_x0000_t202" style="position:absolute;margin-left:-7.1pt;margin-top:0;width:451.05pt;height:15.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" stroked="f">
                <v:textbox inset="0,0,0,0">
                  <w:txbxContent>
                    <w:p w14:paraId="353B1917" w14:textId="15971C0F" w:rsidR="00BF387B" w:rsidRPr="00BF387B" w:rsidRDefault="0064161F" w:rsidP="00BF387B">
                      <w:pPr>
                        <w:pStyle w:val="Caption"/>
                        <w:rPr>
                          <w:rFonts w:ascii="Calibri" w:eastAsia="Calibri" w:hAnsi="Calibri" w:cs="Times New Roman"/>
                          <w:b/>
                          <w:bCs/>
                          <w:i w:val="0"/>
                          <w:iCs w:val="0"/>
                          <w:noProof/>
                          <w:color w:val="000000" w:themeColor="text1"/>
                          <w:sz w:val="24"/>
                          <w:szCs w:val="24"/>
                        </w:rPr>
                      </w:pPr>
                      <w:r>
                        <w:rPr>
                          <w:b/>
                          <w:bCs/>
                          <w:i w:val="0"/>
                          <w:iCs w:val="0"/>
                          <w:color w:val="000000" w:themeColor="text1"/>
                          <w:sz w:val="20"/>
                          <w:szCs w:val="20"/>
                        </w:rPr>
                        <w:t xml:space="preserve">Additional Table </w:t>
                      </w:r>
                      <w:r w:rsidR="006F60C8">
                        <w:rPr>
                          <w:b/>
                          <w:bCs/>
                          <w:i w:val="0"/>
                          <w:iCs w:val="0"/>
                          <w:color w:val="000000" w:themeColor="text1"/>
                          <w:sz w:val="20"/>
                          <w:szCs w:val="20"/>
                        </w:rPr>
                        <w:t>3</w:t>
                      </w:r>
                      <w:r>
                        <w:rPr>
                          <w:b/>
                          <w:bCs/>
                          <w:i w:val="0"/>
                          <w:iCs w:val="0"/>
                          <w:color w:val="000000" w:themeColor="text1"/>
                          <w:sz w:val="20"/>
                          <w:szCs w:val="20"/>
                        </w:rPr>
                        <w:t>.1</w:t>
                      </w:r>
                      <w:r w:rsidR="00BF387B" w:rsidRPr="00BF387B">
                        <w:rPr>
                          <w:b/>
                          <w:bCs/>
                          <w:i w:val="0"/>
                          <w:iCs w:val="0"/>
                          <w:color w:val="000000" w:themeColor="text1"/>
                          <w:sz w:val="20"/>
                          <w:szCs w:val="20"/>
                        </w:rPr>
                        <w:t xml:space="preserve">: Average </w:t>
                      </w:r>
                      <w:proofErr w:type="spellStart"/>
                      <w:r w:rsidR="00BF387B" w:rsidRPr="00BF387B">
                        <w:rPr>
                          <w:b/>
                          <w:bCs/>
                          <w:i w:val="0"/>
                          <w:iCs w:val="0"/>
                          <w:color w:val="000000" w:themeColor="text1"/>
                          <w:sz w:val="20"/>
                          <w:szCs w:val="20"/>
                        </w:rPr>
                        <w:t>intracluster</w:t>
                      </w:r>
                      <w:proofErr w:type="spellEnd"/>
                      <w:r w:rsidR="00BF387B" w:rsidRPr="00BF387B">
                        <w:rPr>
                          <w:b/>
                          <w:bCs/>
                          <w:i w:val="0"/>
                          <w:iCs w:val="0"/>
                          <w:color w:val="000000" w:themeColor="text1"/>
                          <w:sz w:val="20"/>
                          <w:szCs w:val="20"/>
                        </w:rPr>
                        <w:t xml:space="preserve"> correlation coefficient for each outcome</w:t>
                      </w:r>
                    </w:p>
                  </w:txbxContent>
                </v:textbox>
                <w10:wrap type="square"/>
              </v:shape>
            </w:pict>
          </mc:Fallback>
        </mc:AlternateContent>
      </w:r>
    </w:p>
    <w:p w14:paraId="0B103129" w14:textId="480909F8" w:rsidR="00BF387B" w:rsidRDefault="00BF387B" w:rsidP="0E3ADBE8">
      <w:pPr>
        <w:rPr>
          <w:rStyle w:val="eop"/>
          <w:rFonts w:ascii="Calibri" w:hAnsi="Calibri" w:cs="Calibri"/>
          <w:color w:val="000000"/>
          <w:shd w:val="clear" w:color="auto" w:fill="FFFFFF"/>
        </w:rPr>
      </w:pPr>
    </w:p>
    <w:p w14:paraId="70DB5430" w14:textId="078F09D6" w:rsidR="00BF387B" w:rsidRDefault="00BF387B" w:rsidP="0E3ADBE8">
      <w:pPr>
        <w:rPr>
          <w:rStyle w:val="eop"/>
          <w:rFonts w:ascii="Calibri" w:hAnsi="Calibri" w:cs="Calibri"/>
          <w:color w:val="000000"/>
          <w:shd w:val="clear" w:color="auto" w:fill="FFFFFF"/>
        </w:rPr>
      </w:pPr>
      <w:r w:rsidRPr="00BF387B">
        <w:rPr>
          <w:rStyle w:val="eop"/>
          <w:rFonts w:ascii="Calibri" w:hAnsi="Calibri" w:cs="Calibri"/>
          <w:color w:val="000000"/>
          <w:u w:val="single"/>
          <w:shd w:val="clear" w:color="auto" w:fill="FFFFFF"/>
        </w:rPr>
        <w:t>Combining intervention groups</w:t>
      </w:r>
    </w:p>
    <w:p w14:paraId="4F653D05" w14:textId="0E565E6B" w:rsidR="00BF387B" w:rsidRDefault="00BF387B" w:rsidP="00BF387B">
      <w:pPr>
        <w:pStyle w:val="paragraph"/>
        <w:spacing w:before="0" w:beforeAutospacing="0" w:after="0" w:afterAutospacing="0" w:line="360" w:lineRule="auto"/>
        <w:jc w:val="both"/>
        <w:textAlignment w:val="baseline"/>
        <w:rPr>
          <w:rStyle w:val="eop"/>
          <w:rFonts w:ascii="Calibri" w:hAnsi="Calibri" w:cs="Segoe UI"/>
          <w:sz w:val="22"/>
          <w:szCs w:val="22"/>
        </w:rPr>
      </w:pPr>
      <w:r>
        <w:rPr>
          <w:rStyle w:val="normaltextrun"/>
          <w:rFonts w:ascii="Calibri" w:hAnsi="Calibri" w:cs="Segoe UI"/>
          <w:sz w:val="22"/>
          <w:szCs w:val="22"/>
        </w:rPr>
        <w:t>To combine group means and group standard deviations, the following two formulas were used respectively (I think I got these from the Cochrane handbook?): ((N1 X M1) + (N2 X M2)) / (N1 + N2); and SQRT((((N1-1) X (SD1^2))+((N2-1) X (SD2^2))+(((N1 X N2)/(N1+N2)) X ((M1^2)+(M2^2)-(2 X M1 X M2))))/(N1+N2-1)); where N1 and N2 are sample sizes; M1 and M2 are means; and SD1 and SD2 and standard deviations of the two groups. </w:t>
      </w:r>
      <w:r>
        <w:rPr>
          <w:rStyle w:val="eop"/>
          <w:rFonts w:ascii="Calibri" w:hAnsi="Calibri" w:cs="Segoe UI"/>
          <w:sz w:val="22"/>
          <w:szCs w:val="22"/>
        </w:rPr>
        <w:t> </w:t>
      </w:r>
    </w:p>
    <w:p w14:paraId="2270E173" w14:textId="77777777" w:rsidR="00BF387B" w:rsidRDefault="00BF387B" w:rsidP="00BF387B">
      <w:pPr>
        <w:pStyle w:val="paragraph"/>
        <w:spacing w:before="0" w:beforeAutospacing="0" w:after="0" w:afterAutospacing="0" w:line="360" w:lineRule="auto"/>
        <w:jc w:val="both"/>
        <w:textAlignment w:val="baseline"/>
        <w:rPr>
          <w:rFonts w:ascii="Segoe UI" w:hAnsi="Segoe UI" w:cs="Segoe UI"/>
          <w:sz w:val="18"/>
          <w:szCs w:val="18"/>
        </w:rPr>
      </w:pPr>
    </w:p>
    <w:p w14:paraId="0A9D60DB" w14:textId="4DE6123C" w:rsidR="00BF387B" w:rsidRDefault="00BF387B" w:rsidP="00BF38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sz w:val="22"/>
          <w:szCs w:val="22"/>
        </w:rPr>
        <w:t>Where proportions were provided, groups were combined by reconstructing the 3x2 table and combining the numbers in the intervention groups. </w:t>
      </w:r>
      <w:r>
        <w:rPr>
          <w:rStyle w:val="eop"/>
          <w:rFonts w:ascii="Calibri" w:hAnsi="Calibri" w:cs="Segoe UI"/>
          <w:sz w:val="22"/>
          <w:szCs w:val="22"/>
        </w:rPr>
        <w:t> </w:t>
      </w:r>
      <w:r>
        <w:rPr>
          <w:rStyle w:val="normaltextrun"/>
          <w:rFonts w:ascii="Calibri" w:hAnsi="Calibri" w:cs="Segoe UI"/>
          <w:sz w:val="22"/>
          <w:szCs w:val="22"/>
        </w:rPr>
        <w:t>For 3-arm studies where only log(OR) and </w:t>
      </w:r>
      <w:proofErr w:type="spellStart"/>
      <w:r>
        <w:rPr>
          <w:rStyle w:val="normaltextrun"/>
          <w:rFonts w:ascii="Calibri" w:hAnsi="Calibri" w:cs="Segoe UI"/>
          <w:sz w:val="22"/>
          <w:szCs w:val="22"/>
        </w:rPr>
        <w:t>selog</w:t>
      </w:r>
      <w:proofErr w:type="spellEnd"/>
      <w:r>
        <w:rPr>
          <w:rStyle w:val="normaltextrun"/>
          <w:rFonts w:ascii="Calibri" w:hAnsi="Calibri" w:cs="Segoe UI"/>
          <w:sz w:val="22"/>
          <w:szCs w:val="22"/>
        </w:rPr>
        <w:t>(OR) were provided, we had to assumed a control group risk to be able to reconstruct the 3x2 table of events/non-events for each group and combine intervention groups. The studies in question were from a suite of similar studies, in which the same intervention was trialled by the same authors, in similar populations, but in different cities/schools, some of which provided data on control group risk to allow estimation. Using the odds ratios (OR) and assumed control group risk (ACR), the corresponding intervention risk was obtained as (reference section 14.1.5.1 of Cochrane handbook): Corresponding intervention risk per 1000 = 1000 × </w:t>
      </w:r>
      <w:r>
        <w:rPr>
          <w:rStyle w:val="normaltextrun"/>
          <w:rFonts w:ascii="Tahoma" w:hAnsi="Tahoma" w:cs="Tahoma"/>
          <w:sz w:val="22"/>
          <w:szCs w:val="22"/>
        </w:rPr>
        <w:t>((</w:t>
      </w:r>
      <w:r>
        <w:rPr>
          <w:rStyle w:val="normaltextrun"/>
          <w:rFonts w:ascii="Calibri" w:hAnsi="Calibri" w:cs="Segoe UI"/>
          <w:sz w:val="22"/>
          <w:szCs w:val="22"/>
        </w:rPr>
        <w:t>OR × ACR)/(( 1 – ACR) + (OR × ACR))). The combined 2x2 table was used to calculate log(OR) and </w:t>
      </w:r>
      <w:proofErr w:type="spellStart"/>
      <w:r>
        <w:rPr>
          <w:rStyle w:val="normaltextrun"/>
          <w:rFonts w:ascii="Calibri" w:hAnsi="Calibri" w:cs="Segoe UI"/>
          <w:sz w:val="22"/>
          <w:szCs w:val="22"/>
        </w:rPr>
        <w:t>selog</w:t>
      </w:r>
      <w:proofErr w:type="spellEnd"/>
      <w:r>
        <w:rPr>
          <w:rStyle w:val="normaltextrun"/>
          <w:rFonts w:ascii="Calibri" w:hAnsi="Calibri" w:cs="Segoe UI"/>
          <w:sz w:val="22"/>
          <w:szCs w:val="22"/>
        </w:rPr>
        <w:t>(OR) in the usual way, and cluster-adjusted if required. </w:t>
      </w:r>
      <w:r>
        <w:rPr>
          <w:rStyle w:val="eop"/>
          <w:rFonts w:ascii="Calibri" w:hAnsi="Calibri" w:cs="Segoe UI"/>
          <w:sz w:val="22"/>
          <w:szCs w:val="22"/>
        </w:rPr>
        <w:t> </w:t>
      </w:r>
    </w:p>
    <w:p w14:paraId="52995BBE" w14:textId="6589242E" w:rsidR="00BF387B" w:rsidRDefault="00BF387B" w:rsidP="00BF387B">
      <w:pPr>
        <w:pStyle w:val="paragraph"/>
        <w:spacing w:before="0" w:beforeAutospacing="0" w:after="0" w:afterAutospacing="0" w:line="360" w:lineRule="auto"/>
        <w:jc w:val="both"/>
        <w:textAlignment w:val="baseline"/>
        <w:rPr>
          <w:rStyle w:val="eop"/>
          <w:rFonts w:ascii="Calibri" w:hAnsi="Calibri" w:cs="Segoe UI"/>
          <w:sz w:val="22"/>
          <w:szCs w:val="22"/>
        </w:rPr>
      </w:pPr>
      <w:r>
        <w:rPr>
          <w:rStyle w:val="normaltextrun"/>
          <w:rFonts w:ascii="Calibri" w:hAnsi="Calibri" w:cs="Segoe UI"/>
          <w:sz w:val="22"/>
          <w:szCs w:val="22"/>
        </w:rPr>
        <w:t>One study (White, 2017) had 3 intervention arms: two different types of intervention individually and an arm where both interventions were given. We chose to use the combined intervention arm and exclude the two individual intervention arms. </w:t>
      </w:r>
      <w:r>
        <w:rPr>
          <w:rStyle w:val="eop"/>
          <w:rFonts w:ascii="Calibri" w:hAnsi="Calibri" w:cs="Segoe UI"/>
          <w:sz w:val="22"/>
          <w:szCs w:val="22"/>
        </w:rPr>
        <w:t> </w:t>
      </w:r>
    </w:p>
    <w:p w14:paraId="29AC0311" w14:textId="77777777" w:rsidR="00BF387B" w:rsidRDefault="00BF387B" w:rsidP="00BF387B">
      <w:pPr>
        <w:pStyle w:val="paragraph"/>
        <w:spacing w:before="0" w:beforeAutospacing="0" w:after="0" w:afterAutospacing="0" w:line="360" w:lineRule="auto"/>
        <w:jc w:val="both"/>
        <w:textAlignment w:val="baseline"/>
        <w:rPr>
          <w:rFonts w:ascii="Segoe UI" w:hAnsi="Segoe UI" w:cs="Segoe UI"/>
          <w:sz w:val="18"/>
          <w:szCs w:val="18"/>
        </w:rPr>
      </w:pPr>
    </w:p>
    <w:p w14:paraId="60616BFA" w14:textId="593DEB6D" w:rsidR="00BF387B" w:rsidRDefault="00BF387B" w:rsidP="00BF38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sz w:val="22"/>
          <w:szCs w:val="22"/>
        </w:rPr>
        <w:t>One study (</w:t>
      </w:r>
      <w:proofErr w:type="spellStart"/>
      <w:r>
        <w:rPr>
          <w:rStyle w:val="normaltextrun"/>
          <w:rFonts w:ascii="Calibri" w:hAnsi="Calibri" w:cs="Segoe UI"/>
          <w:sz w:val="22"/>
          <w:szCs w:val="22"/>
        </w:rPr>
        <w:t>Ellickson</w:t>
      </w:r>
      <w:proofErr w:type="spellEnd"/>
      <w:r>
        <w:rPr>
          <w:rStyle w:val="normaltextrun"/>
          <w:rFonts w:ascii="Calibri" w:hAnsi="Calibri" w:cs="Segoe UI"/>
          <w:sz w:val="22"/>
          <w:szCs w:val="22"/>
        </w:rPr>
        <w:t>, 2003) administered the intervention and reported separately by sex an adjusted risk. This was used to calculate expected number of events and to combine both sexes into one lager intervention group. </w:t>
      </w:r>
      <w:r>
        <w:rPr>
          <w:rStyle w:val="eop"/>
          <w:rFonts w:ascii="Calibri" w:hAnsi="Calibri" w:cs="Segoe UI"/>
          <w:sz w:val="22"/>
          <w:szCs w:val="22"/>
        </w:rPr>
        <w:t> </w:t>
      </w:r>
    </w:p>
    <w:p w14:paraId="0DA10C1C" w14:textId="77777777" w:rsidR="00BF387B" w:rsidRDefault="00BF387B" w:rsidP="00BF387B">
      <w:pPr>
        <w:pStyle w:val="paragraph"/>
        <w:spacing w:before="0" w:beforeAutospacing="0" w:after="0" w:afterAutospacing="0" w:line="360" w:lineRule="auto"/>
        <w:jc w:val="both"/>
        <w:textAlignment w:val="baseline"/>
        <w:rPr>
          <w:rStyle w:val="eop"/>
          <w:rFonts w:ascii="Calibri" w:hAnsi="Calibri" w:cs="Segoe UI"/>
          <w:sz w:val="22"/>
          <w:szCs w:val="22"/>
        </w:rPr>
      </w:pPr>
      <w:r>
        <w:rPr>
          <w:rStyle w:val="eop"/>
          <w:rFonts w:ascii="Calibri" w:hAnsi="Calibri" w:cs="Segoe UI"/>
          <w:sz w:val="22"/>
          <w:szCs w:val="22"/>
        </w:rPr>
        <w:t> </w:t>
      </w:r>
    </w:p>
    <w:p w14:paraId="7EE8D6BC" w14:textId="77777777" w:rsidR="00BF387B" w:rsidRDefault="00BF387B" w:rsidP="00BF387B">
      <w:pPr>
        <w:pStyle w:val="paragraph"/>
        <w:spacing w:before="0" w:beforeAutospacing="0" w:after="0" w:afterAutospacing="0" w:line="360" w:lineRule="auto"/>
        <w:jc w:val="both"/>
        <w:textAlignment w:val="baseline"/>
        <w:rPr>
          <w:rStyle w:val="eop"/>
          <w:rFonts w:ascii="Calibri" w:hAnsi="Calibri" w:cs="Segoe UI"/>
          <w:sz w:val="22"/>
          <w:szCs w:val="22"/>
        </w:rPr>
      </w:pPr>
    </w:p>
    <w:p w14:paraId="02BBB960" w14:textId="77777777" w:rsidR="00BF387B" w:rsidRPr="00BF387B" w:rsidRDefault="00BF387B" w:rsidP="00BF387B">
      <w:pPr>
        <w:pStyle w:val="EndNoteBibliography"/>
        <w:spacing w:after="0"/>
        <w:ind w:left="720" w:hanging="720"/>
        <w:rPr>
          <w:noProof/>
        </w:rPr>
      </w:pPr>
      <w:r>
        <w:rPr>
          <w:rFonts w:ascii="Segoe UI" w:hAnsi="Segoe UI" w:cs="Segoe UI"/>
          <w:sz w:val="18"/>
          <w:szCs w:val="18"/>
        </w:rPr>
        <w:fldChar w:fldCharType="begin"/>
      </w:r>
      <w:r>
        <w:rPr>
          <w:rFonts w:ascii="Segoe UI" w:hAnsi="Segoe UI" w:cs="Segoe UI"/>
          <w:sz w:val="18"/>
          <w:szCs w:val="18"/>
        </w:rPr>
        <w:instrText xml:space="preserve"> ADDIN EN.REFLIST </w:instrText>
      </w:r>
      <w:r>
        <w:rPr>
          <w:rFonts w:ascii="Segoe UI" w:hAnsi="Segoe UI" w:cs="Segoe UI"/>
          <w:sz w:val="18"/>
          <w:szCs w:val="18"/>
        </w:rPr>
        <w:fldChar w:fldCharType="separate"/>
      </w:r>
      <w:r w:rsidRPr="00BF387B">
        <w:rPr>
          <w:noProof/>
        </w:rPr>
        <w:t>1.</w:t>
      </w:r>
      <w:r w:rsidRPr="00BF387B">
        <w:rPr>
          <w:noProof/>
        </w:rPr>
        <w:tab/>
        <w:t xml:space="preserve">Borenstein, M., et al., </w:t>
      </w:r>
      <w:r w:rsidRPr="00BF387B">
        <w:rPr>
          <w:i/>
          <w:noProof/>
        </w:rPr>
        <w:t>Effect sizes for continuous data.</w:t>
      </w:r>
      <w:r w:rsidRPr="00BF387B">
        <w:rPr>
          <w:noProof/>
        </w:rPr>
        <w:t xml:space="preserve"> The handbook of research synthesis and meta-analysis, 2009. </w:t>
      </w:r>
      <w:r w:rsidRPr="00BF387B">
        <w:rPr>
          <w:b/>
          <w:noProof/>
        </w:rPr>
        <w:t>2</w:t>
      </w:r>
      <w:r w:rsidRPr="00BF387B">
        <w:rPr>
          <w:noProof/>
        </w:rPr>
        <w:t>: p. 221-235</w:t>
      </w:r>
    </w:p>
    <w:p w14:paraId="43A6EBCF" w14:textId="64B2C420" w:rsidR="00BF387B" w:rsidRPr="00BF387B" w:rsidRDefault="00BF387B" w:rsidP="00BF387B">
      <w:pPr>
        <w:pStyle w:val="EndNoteBibliography"/>
        <w:spacing w:after="0"/>
        <w:ind w:left="720" w:hanging="720"/>
        <w:rPr>
          <w:noProof/>
        </w:rPr>
      </w:pPr>
      <w:r w:rsidRPr="00BF387B">
        <w:rPr>
          <w:noProof/>
        </w:rPr>
        <w:t>2.</w:t>
      </w:r>
      <w:r w:rsidRPr="00BF387B">
        <w:rPr>
          <w:noProof/>
        </w:rPr>
        <w:tab/>
        <w:t xml:space="preserve">Wilson, D. </w:t>
      </w:r>
      <w:r w:rsidRPr="00BF387B">
        <w:rPr>
          <w:i/>
          <w:noProof/>
        </w:rPr>
        <w:t>Practical Meta-Analysis Effect Size Calculator</w:t>
      </w:r>
      <w:r w:rsidRPr="00BF387B">
        <w:rPr>
          <w:noProof/>
        </w:rPr>
        <w:t xml:space="preserve">.  January 2021]; Available from: </w:t>
      </w:r>
      <w:hyperlink r:id="rId10" w:history="1">
        <w:r w:rsidRPr="00BF387B">
          <w:rPr>
            <w:rStyle w:val="Hyperlink"/>
            <w:noProof/>
          </w:rPr>
          <w:t>https://www.campbellcollaboration.org/escalc/html/EffectSizeCalculator-SMD-main.php</w:t>
        </w:r>
      </w:hyperlink>
      <w:r w:rsidRPr="00BF387B">
        <w:rPr>
          <w:noProof/>
        </w:rPr>
        <w:t>.</w:t>
      </w:r>
    </w:p>
    <w:p w14:paraId="29E84B5A" w14:textId="4A722153" w:rsidR="00BF387B" w:rsidRPr="00BF387B" w:rsidRDefault="00BF387B" w:rsidP="00BF387B">
      <w:pPr>
        <w:pStyle w:val="EndNoteBibliography"/>
        <w:ind w:left="720" w:hanging="720"/>
        <w:rPr>
          <w:noProof/>
        </w:rPr>
      </w:pPr>
      <w:r w:rsidRPr="00BF387B">
        <w:rPr>
          <w:noProof/>
        </w:rPr>
        <w:t>3.</w:t>
      </w:r>
      <w:r w:rsidRPr="00BF387B">
        <w:rPr>
          <w:noProof/>
        </w:rPr>
        <w:tab/>
        <w:t xml:space="preserve">Higgins, J.P. and S. Green. </w:t>
      </w:r>
      <w:r w:rsidRPr="00BF387B">
        <w:rPr>
          <w:i/>
          <w:noProof/>
        </w:rPr>
        <w:t>Cochrane Handbook for Systematic Reviews of Interventions Version 5.1.0</w:t>
      </w:r>
      <w:r w:rsidRPr="00BF387B">
        <w:rPr>
          <w:noProof/>
        </w:rPr>
        <w:t xml:space="preserve">. 2011  [cited 4 23/01/2018]; Available from: </w:t>
      </w:r>
      <w:hyperlink r:id="rId11" w:history="1">
        <w:r w:rsidRPr="00BF387B">
          <w:rPr>
            <w:rStyle w:val="Hyperlink"/>
            <w:noProof/>
          </w:rPr>
          <w:t>www.handbook.cochrane.org</w:t>
        </w:r>
      </w:hyperlink>
      <w:r w:rsidRPr="00BF387B">
        <w:rPr>
          <w:noProof/>
        </w:rPr>
        <w:t>.</w:t>
      </w:r>
    </w:p>
    <w:p w14:paraId="14783B80" w14:textId="75B1326C" w:rsidR="00BF387B" w:rsidRDefault="00BF387B" w:rsidP="00BF387B">
      <w:pPr>
        <w:pStyle w:val="paragraph"/>
        <w:spacing w:before="0" w:beforeAutospacing="0" w:after="0" w:afterAutospacing="0" w:line="360" w:lineRule="auto"/>
        <w:jc w:val="both"/>
        <w:textAlignment w:val="baseline"/>
        <w:rPr>
          <w:rFonts w:ascii="Segoe UI" w:hAnsi="Segoe UI" w:cs="Segoe UI"/>
          <w:sz w:val="18"/>
          <w:szCs w:val="18"/>
        </w:rPr>
      </w:pPr>
      <w:r>
        <w:rPr>
          <w:rFonts w:ascii="Segoe UI" w:hAnsi="Segoe UI" w:cs="Segoe UI"/>
          <w:sz w:val="18"/>
          <w:szCs w:val="18"/>
        </w:rPr>
        <w:fldChar w:fldCharType="end"/>
      </w:r>
    </w:p>
    <w:sectPr w:rsidR="00BF387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32F"/>
    <w:multiLevelType w:val="hybridMultilevel"/>
    <w:tmpl w:val="EDAECB30"/>
    <w:lvl w:ilvl="0" w:tplc="9BA232FE">
      <w:start w:val="1"/>
      <w:numFmt w:val="decimal"/>
      <w:lvlText w:val="%1."/>
      <w:lvlJc w:val="left"/>
      <w:pPr>
        <w:ind w:left="720" w:hanging="360"/>
      </w:pPr>
    </w:lvl>
    <w:lvl w:ilvl="1" w:tplc="C3006B38">
      <w:start w:val="1"/>
      <w:numFmt w:val="lowerLetter"/>
      <w:lvlText w:val="%2."/>
      <w:lvlJc w:val="left"/>
      <w:pPr>
        <w:ind w:left="1440" w:hanging="360"/>
      </w:pPr>
    </w:lvl>
    <w:lvl w:ilvl="2" w:tplc="CF4C18BC">
      <w:start w:val="1"/>
      <w:numFmt w:val="lowerRoman"/>
      <w:lvlText w:val="%3."/>
      <w:lvlJc w:val="right"/>
      <w:pPr>
        <w:ind w:left="2160" w:hanging="180"/>
      </w:pPr>
    </w:lvl>
    <w:lvl w:ilvl="3" w:tplc="3C2A65BE">
      <w:start w:val="1"/>
      <w:numFmt w:val="decimal"/>
      <w:lvlText w:val="%4."/>
      <w:lvlJc w:val="left"/>
      <w:pPr>
        <w:ind w:left="2880" w:hanging="360"/>
      </w:pPr>
    </w:lvl>
    <w:lvl w:ilvl="4" w:tplc="8B48B3DA">
      <w:start w:val="1"/>
      <w:numFmt w:val="lowerLetter"/>
      <w:lvlText w:val="%5."/>
      <w:lvlJc w:val="left"/>
      <w:pPr>
        <w:ind w:left="3600" w:hanging="360"/>
      </w:pPr>
    </w:lvl>
    <w:lvl w:ilvl="5" w:tplc="376EFE28">
      <w:start w:val="1"/>
      <w:numFmt w:val="lowerRoman"/>
      <w:lvlText w:val="%6."/>
      <w:lvlJc w:val="right"/>
      <w:pPr>
        <w:ind w:left="4320" w:hanging="180"/>
      </w:pPr>
    </w:lvl>
    <w:lvl w:ilvl="6" w:tplc="0ED8E9A6">
      <w:start w:val="1"/>
      <w:numFmt w:val="decimal"/>
      <w:lvlText w:val="%7."/>
      <w:lvlJc w:val="left"/>
      <w:pPr>
        <w:ind w:left="5040" w:hanging="360"/>
      </w:pPr>
    </w:lvl>
    <w:lvl w:ilvl="7" w:tplc="48542EA8">
      <w:start w:val="1"/>
      <w:numFmt w:val="lowerLetter"/>
      <w:lvlText w:val="%8."/>
      <w:lvlJc w:val="left"/>
      <w:pPr>
        <w:ind w:left="5760" w:hanging="360"/>
      </w:pPr>
    </w:lvl>
    <w:lvl w:ilvl="8" w:tplc="3A10F702">
      <w:start w:val="1"/>
      <w:numFmt w:val="lowerRoman"/>
      <w:lvlText w:val="%9."/>
      <w:lvlJc w:val="right"/>
      <w:pPr>
        <w:ind w:left="6480" w:hanging="180"/>
      </w:pPr>
    </w:lvl>
  </w:abstractNum>
  <w:abstractNum w:abstractNumId="1" w15:restartNumberingAfterBreak="0">
    <w:nsid w:val="27A935A7"/>
    <w:multiLevelType w:val="hybridMultilevel"/>
    <w:tmpl w:val="39BA1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1C3B98"/>
    <w:multiLevelType w:val="multilevel"/>
    <w:tmpl w:val="D46817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58B570C"/>
    <w:multiLevelType w:val="multilevel"/>
    <w:tmpl w:val="579085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pweap54ppxeees5szx0sz3599t9200wsa9&quot;&gt;PhD Library-Converted&lt;record-ids&gt;&lt;item&gt;267&lt;/item&gt;&lt;item&gt;1054&lt;/item&gt;&lt;item&gt;1055&lt;/item&gt;&lt;/record-ids&gt;&lt;/item&gt;&lt;/Libraries&gt;"/>
  </w:docVars>
  <w:rsids>
    <w:rsidRoot w:val="2F3AD9E6"/>
    <w:rsid w:val="000E3274"/>
    <w:rsid w:val="000E6947"/>
    <w:rsid w:val="002A6E92"/>
    <w:rsid w:val="0064161F"/>
    <w:rsid w:val="006F60C8"/>
    <w:rsid w:val="00722EB4"/>
    <w:rsid w:val="0086160E"/>
    <w:rsid w:val="00AB7D8B"/>
    <w:rsid w:val="00B55C62"/>
    <w:rsid w:val="00BF387B"/>
    <w:rsid w:val="00D42B1F"/>
    <w:rsid w:val="00F2732A"/>
    <w:rsid w:val="087B9558"/>
    <w:rsid w:val="0D4F067B"/>
    <w:rsid w:val="0E3ADBE8"/>
    <w:rsid w:val="0FBD83EC"/>
    <w:rsid w:val="1086A73D"/>
    <w:rsid w:val="128C3B4B"/>
    <w:rsid w:val="1B1DCC6E"/>
    <w:rsid w:val="2E3CC048"/>
    <w:rsid w:val="2F3AD9E6"/>
    <w:rsid w:val="3146CA1F"/>
    <w:rsid w:val="36DBF05F"/>
    <w:rsid w:val="3E818F72"/>
    <w:rsid w:val="441A1828"/>
    <w:rsid w:val="4B408320"/>
    <w:rsid w:val="60FD8423"/>
    <w:rsid w:val="62DF7DA0"/>
    <w:rsid w:val="6C47D94F"/>
    <w:rsid w:val="71EE4283"/>
    <w:rsid w:val="73A33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D9E6"/>
  <w15:chartTrackingRefBased/>
  <w15:docId w15:val="{F8BC7237-CA02-47D8-92CF-ABDCE349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42B1F"/>
  </w:style>
  <w:style w:type="character" w:customStyle="1" w:styleId="eop">
    <w:name w:val="eop"/>
    <w:basedOn w:val="DefaultParagraphFont"/>
    <w:rsid w:val="00D42B1F"/>
  </w:style>
  <w:style w:type="paragraph" w:styleId="ListParagraph">
    <w:name w:val="List Paragraph"/>
    <w:basedOn w:val="Normal"/>
    <w:uiPriority w:val="34"/>
    <w:qFormat/>
    <w:rsid w:val="00BF387B"/>
    <w:pPr>
      <w:ind w:left="720"/>
      <w:contextualSpacing/>
    </w:pPr>
  </w:style>
  <w:style w:type="paragraph" w:customStyle="1" w:styleId="paragraph">
    <w:name w:val="paragraph"/>
    <w:basedOn w:val="Normal"/>
    <w:rsid w:val="00BF38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F387B"/>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BF387B"/>
    <w:pPr>
      <w:spacing w:after="0"/>
      <w:jc w:val="center"/>
    </w:pPr>
    <w:rPr>
      <w:rFonts w:ascii="Calibri" w:hAnsi="Calibri"/>
      <w:lang w:val="en-US"/>
    </w:rPr>
  </w:style>
  <w:style w:type="character" w:customStyle="1" w:styleId="EndNoteBibliographyTitleChar">
    <w:name w:val="EndNote Bibliography Title Char"/>
    <w:basedOn w:val="DefaultParagraphFont"/>
    <w:link w:val="EndNoteBibliographyTitle"/>
    <w:rsid w:val="00BF387B"/>
    <w:rPr>
      <w:rFonts w:ascii="Calibri" w:hAnsi="Calibri"/>
      <w:lang w:val="en-US"/>
    </w:rPr>
  </w:style>
  <w:style w:type="paragraph" w:customStyle="1" w:styleId="EndNoteBibliography">
    <w:name w:val="EndNote Bibliography"/>
    <w:basedOn w:val="Normal"/>
    <w:link w:val="EndNoteBibliographyChar"/>
    <w:rsid w:val="00BF387B"/>
    <w:pPr>
      <w:spacing w:line="240" w:lineRule="auto"/>
      <w:jc w:val="both"/>
    </w:pPr>
    <w:rPr>
      <w:rFonts w:ascii="Calibri" w:hAnsi="Calibri"/>
      <w:lang w:val="en-US"/>
    </w:rPr>
  </w:style>
  <w:style w:type="character" w:customStyle="1" w:styleId="EndNoteBibliographyChar">
    <w:name w:val="EndNote Bibliography Char"/>
    <w:basedOn w:val="DefaultParagraphFont"/>
    <w:link w:val="EndNoteBibliography"/>
    <w:rsid w:val="00BF387B"/>
    <w:rPr>
      <w:rFonts w:ascii="Calibri" w:hAnsi="Calibri"/>
      <w:lang w:val="en-US"/>
    </w:rPr>
  </w:style>
  <w:style w:type="character" w:styleId="Hyperlink">
    <w:name w:val="Hyperlink"/>
    <w:basedOn w:val="DefaultParagraphFont"/>
    <w:uiPriority w:val="99"/>
    <w:unhideWhenUsed/>
    <w:rsid w:val="00BF387B"/>
    <w:rPr>
      <w:color w:val="0563C1" w:themeColor="hyperlink"/>
      <w:u w:val="single"/>
    </w:rPr>
  </w:style>
  <w:style w:type="character" w:styleId="UnresolvedMention">
    <w:name w:val="Unresolved Mention"/>
    <w:basedOn w:val="DefaultParagraphFont"/>
    <w:uiPriority w:val="99"/>
    <w:semiHidden/>
    <w:unhideWhenUsed/>
    <w:rsid w:val="00BF3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03455">
      <w:bodyDiv w:val="1"/>
      <w:marLeft w:val="0"/>
      <w:marRight w:val="0"/>
      <w:marTop w:val="0"/>
      <w:marBottom w:val="0"/>
      <w:divBdr>
        <w:top w:val="none" w:sz="0" w:space="0" w:color="auto"/>
        <w:left w:val="none" w:sz="0" w:space="0" w:color="auto"/>
        <w:bottom w:val="none" w:sz="0" w:space="0" w:color="auto"/>
        <w:right w:val="none" w:sz="0" w:space="0" w:color="auto"/>
      </w:divBdr>
      <w:divsChild>
        <w:div w:id="422796916">
          <w:marLeft w:val="0"/>
          <w:marRight w:val="0"/>
          <w:marTop w:val="0"/>
          <w:marBottom w:val="0"/>
          <w:divBdr>
            <w:top w:val="none" w:sz="0" w:space="0" w:color="auto"/>
            <w:left w:val="none" w:sz="0" w:space="0" w:color="auto"/>
            <w:bottom w:val="none" w:sz="0" w:space="0" w:color="auto"/>
            <w:right w:val="none" w:sz="0" w:space="0" w:color="auto"/>
          </w:divBdr>
        </w:div>
        <w:div w:id="720330915">
          <w:marLeft w:val="0"/>
          <w:marRight w:val="0"/>
          <w:marTop w:val="0"/>
          <w:marBottom w:val="0"/>
          <w:divBdr>
            <w:top w:val="none" w:sz="0" w:space="0" w:color="auto"/>
            <w:left w:val="none" w:sz="0" w:space="0" w:color="auto"/>
            <w:bottom w:val="none" w:sz="0" w:space="0" w:color="auto"/>
            <w:right w:val="none" w:sz="0" w:space="0" w:color="auto"/>
          </w:divBdr>
        </w:div>
        <w:div w:id="954672971">
          <w:marLeft w:val="0"/>
          <w:marRight w:val="0"/>
          <w:marTop w:val="0"/>
          <w:marBottom w:val="0"/>
          <w:divBdr>
            <w:top w:val="none" w:sz="0" w:space="0" w:color="auto"/>
            <w:left w:val="none" w:sz="0" w:space="0" w:color="auto"/>
            <w:bottom w:val="none" w:sz="0" w:space="0" w:color="auto"/>
            <w:right w:val="none" w:sz="0" w:space="0" w:color="auto"/>
          </w:divBdr>
        </w:div>
        <w:div w:id="982386939">
          <w:marLeft w:val="0"/>
          <w:marRight w:val="0"/>
          <w:marTop w:val="0"/>
          <w:marBottom w:val="0"/>
          <w:divBdr>
            <w:top w:val="none" w:sz="0" w:space="0" w:color="auto"/>
            <w:left w:val="none" w:sz="0" w:space="0" w:color="auto"/>
            <w:bottom w:val="none" w:sz="0" w:space="0" w:color="auto"/>
            <w:right w:val="none" w:sz="0" w:space="0" w:color="auto"/>
          </w:divBdr>
        </w:div>
        <w:div w:id="1688947759">
          <w:marLeft w:val="0"/>
          <w:marRight w:val="0"/>
          <w:marTop w:val="0"/>
          <w:marBottom w:val="0"/>
          <w:divBdr>
            <w:top w:val="none" w:sz="0" w:space="0" w:color="auto"/>
            <w:left w:val="none" w:sz="0" w:space="0" w:color="auto"/>
            <w:bottom w:val="none" w:sz="0" w:space="0" w:color="auto"/>
            <w:right w:val="none" w:sz="0" w:space="0" w:color="auto"/>
          </w:divBdr>
        </w:div>
        <w:div w:id="1998997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lauratinner/Downloads/www.handbook.cochrane.org" TargetMode="External"/><Relationship Id="rId5" Type="http://schemas.openxmlformats.org/officeDocument/2006/relationships/numbering" Target="numbering.xml"/><Relationship Id="rId10" Type="http://schemas.openxmlformats.org/officeDocument/2006/relationships/hyperlink" Target="https://www.campbellcollaboration.org/escalc/html/EffectSizeCalculator-SMD-main.php"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50EDC65C0C62439B618E81673E3589" ma:contentTypeVersion="6" ma:contentTypeDescription="Create a new document." ma:contentTypeScope="" ma:versionID="b0635eb34f929b9eb6dc0c43c7fc25a7">
  <xsd:schema xmlns:xsd="http://www.w3.org/2001/XMLSchema" xmlns:xs="http://www.w3.org/2001/XMLSchema" xmlns:p="http://schemas.microsoft.com/office/2006/metadata/properties" xmlns:ns2="1b2a34a4-eab0-4d8d-8bba-9831ca9730f4" xmlns:ns3="431a4f2c-73d7-410c-99fd-a2860aff9c3c" targetNamespace="http://schemas.microsoft.com/office/2006/metadata/properties" ma:root="true" ma:fieldsID="5cc1a275c319f8347933e2950c6acce2" ns2:_="" ns3:_="">
    <xsd:import namespace="1b2a34a4-eab0-4d8d-8bba-9831ca9730f4"/>
    <xsd:import namespace="431a4f2c-73d7-410c-99fd-a2860aff9c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a34a4-eab0-4d8d-8bba-9831ca973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a4f2c-73d7-410c-99fd-a2860aff9c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FF21B-173D-49AB-95D6-3CA785063100}">
  <ds:schemaRefs>
    <ds:schemaRef ds:uri="http://schemas.microsoft.com/sharepoint/v3/contenttype/forms"/>
  </ds:schemaRefs>
</ds:datastoreItem>
</file>

<file path=customXml/itemProps2.xml><?xml version="1.0" encoding="utf-8"?>
<ds:datastoreItem xmlns:ds="http://schemas.openxmlformats.org/officeDocument/2006/customXml" ds:itemID="{950EB139-22EE-422E-A074-83D28AD9E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a34a4-eab0-4d8d-8bba-9831ca9730f4"/>
    <ds:schemaRef ds:uri="431a4f2c-73d7-410c-99fd-a2860aff9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C638-016D-C74B-9CB0-01933C7154D6}">
  <ds:schemaRefs>
    <ds:schemaRef ds:uri="http://schemas.openxmlformats.org/officeDocument/2006/bibliography"/>
  </ds:schemaRefs>
</ds:datastoreItem>
</file>

<file path=customXml/itemProps4.xml><?xml version="1.0" encoding="utf-8"?>
<ds:datastoreItem xmlns:ds="http://schemas.openxmlformats.org/officeDocument/2006/customXml" ds:itemID="{3601FCE4-E674-48D7-8597-A37A70BB98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1118</Words>
  <Characters>6373</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Caldwell</dc:creator>
  <cp:keywords/>
  <dc:description/>
  <cp:lastModifiedBy>Laura Tinner</cp:lastModifiedBy>
  <cp:revision>7</cp:revision>
  <dcterms:created xsi:type="dcterms:W3CDTF">2021-03-12T18:09:00Z</dcterms:created>
  <dcterms:modified xsi:type="dcterms:W3CDTF">2021-08-27T19:00:00Z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0x0101008050EDC65C0C62439B618E81673E3589</vt:lpwstr>
  </property>
</Properties>
</file>