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0A345" w14:textId="79943E13" w:rsidR="00547722" w:rsidRDefault="00547722">
      <w:pPr>
        <w:rPr>
          <w:b/>
          <w:bCs/>
          <w:noProof/>
        </w:rPr>
      </w:pPr>
      <w:r>
        <w:rPr>
          <w:b/>
          <w:bCs/>
          <w:noProof/>
        </w:rPr>
        <w:t>Additional File 1</w:t>
      </w:r>
    </w:p>
    <w:p w14:paraId="7000B0C4" w14:textId="48B5EBF3" w:rsidR="00CD055C" w:rsidRPr="00DA62BB" w:rsidRDefault="00CD055C" w:rsidP="00CD055C">
      <w:pPr>
        <w:pStyle w:val="Caption"/>
        <w:keepNext/>
        <w:rPr>
          <w:i w:val="0"/>
          <w:iCs w:val="0"/>
        </w:rPr>
      </w:pPr>
      <w:r w:rsidRPr="00DA62BB">
        <w:rPr>
          <w:i w:val="0"/>
          <w:iCs w:val="0"/>
        </w:rPr>
        <w:t xml:space="preserve">Supplementary Table </w:t>
      </w:r>
      <w:r w:rsidR="00DA62BB" w:rsidRPr="00DA62BB">
        <w:rPr>
          <w:i w:val="0"/>
          <w:iCs w:val="0"/>
        </w:rPr>
        <w:fldChar w:fldCharType="begin"/>
      </w:r>
      <w:r w:rsidR="00DA62BB" w:rsidRPr="00DA62BB">
        <w:rPr>
          <w:i w:val="0"/>
          <w:iCs w:val="0"/>
        </w:rPr>
        <w:instrText xml:space="preserve"> SEQ Table \* ARABIC </w:instrText>
      </w:r>
      <w:r w:rsidR="00DA62BB" w:rsidRPr="00DA62BB">
        <w:rPr>
          <w:i w:val="0"/>
          <w:iCs w:val="0"/>
        </w:rPr>
        <w:fldChar w:fldCharType="separate"/>
      </w:r>
      <w:r w:rsidR="00ED461C" w:rsidRPr="00DA62BB">
        <w:rPr>
          <w:i w:val="0"/>
          <w:iCs w:val="0"/>
          <w:noProof/>
        </w:rPr>
        <w:t>1</w:t>
      </w:r>
      <w:r w:rsidR="00DA62BB" w:rsidRPr="00DA62BB">
        <w:rPr>
          <w:i w:val="0"/>
          <w:iCs w:val="0"/>
          <w:noProof/>
        </w:rPr>
        <w:fldChar w:fldCharType="end"/>
      </w:r>
      <w:r w:rsidRPr="00DA62BB">
        <w:rPr>
          <w:i w:val="0"/>
          <w:iCs w:val="0"/>
        </w:rPr>
        <w:t>. Age distribution of people living and working in an average local male prison.</w:t>
      </w:r>
    </w:p>
    <w:tbl>
      <w:tblPr>
        <w:tblStyle w:val="TableGrid"/>
        <w:tblW w:w="0" w:type="auto"/>
        <w:tblLook w:val="04A0" w:firstRow="1" w:lastRow="0" w:firstColumn="1" w:lastColumn="0" w:noHBand="0" w:noVBand="1"/>
      </w:tblPr>
      <w:tblGrid>
        <w:gridCol w:w="1696"/>
        <w:gridCol w:w="2410"/>
        <w:gridCol w:w="1701"/>
      </w:tblGrid>
      <w:tr w:rsidR="001A1D68" w14:paraId="21F7648B" w14:textId="77777777" w:rsidTr="001E49CE">
        <w:tc>
          <w:tcPr>
            <w:tcW w:w="5807" w:type="dxa"/>
            <w:gridSpan w:val="3"/>
            <w:shd w:val="clear" w:color="auto" w:fill="E7E6E6" w:themeFill="background2"/>
          </w:tcPr>
          <w:p w14:paraId="7B81145E" w14:textId="77777777" w:rsidR="001A1D68" w:rsidRPr="00A02CFF" w:rsidRDefault="001A1D68" w:rsidP="001E49CE">
            <w:pPr>
              <w:rPr>
                <w:rFonts w:eastAsia="Times New Roman"/>
              </w:rPr>
            </w:pPr>
            <w:r w:rsidRPr="00A02CFF">
              <w:rPr>
                <w:rFonts w:eastAsia="Times New Roman"/>
              </w:rPr>
              <w:t>Population structure</w:t>
            </w:r>
          </w:p>
        </w:tc>
      </w:tr>
      <w:tr w:rsidR="001A1D68" w14:paraId="519E028F" w14:textId="77777777" w:rsidTr="001E49CE">
        <w:tc>
          <w:tcPr>
            <w:tcW w:w="1696" w:type="dxa"/>
          </w:tcPr>
          <w:p w14:paraId="2AD8EEDB" w14:textId="77777777" w:rsidR="001A1D68" w:rsidRDefault="001A1D68" w:rsidP="001E49CE">
            <w:pPr>
              <w:rPr>
                <w:rFonts w:eastAsia="Times New Roman"/>
                <w:b/>
                <w:bCs/>
              </w:rPr>
            </w:pPr>
            <w:r>
              <w:rPr>
                <w:rFonts w:eastAsia="Times New Roman"/>
                <w:b/>
                <w:bCs/>
              </w:rPr>
              <w:t>Age group</w:t>
            </w:r>
          </w:p>
        </w:tc>
        <w:tc>
          <w:tcPr>
            <w:tcW w:w="2410" w:type="dxa"/>
          </w:tcPr>
          <w:p w14:paraId="5F50108A" w14:textId="77777777" w:rsidR="001A1D68" w:rsidRPr="007915DC" w:rsidRDefault="001A1D68" w:rsidP="001E49CE">
            <w:pPr>
              <w:rPr>
                <w:rFonts w:eastAsia="Times New Roman"/>
                <w:b/>
                <w:bCs/>
              </w:rPr>
            </w:pPr>
            <w:r>
              <w:rPr>
                <w:rFonts w:eastAsia="Times New Roman"/>
                <w:b/>
                <w:bCs/>
              </w:rPr>
              <w:t>People living in prisons</w:t>
            </w:r>
          </w:p>
        </w:tc>
        <w:tc>
          <w:tcPr>
            <w:tcW w:w="1701" w:type="dxa"/>
          </w:tcPr>
          <w:p w14:paraId="1D9754D4" w14:textId="77777777" w:rsidR="001A1D68" w:rsidRDefault="001A1D68" w:rsidP="001E49CE">
            <w:pPr>
              <w:rPr>
                <w:rFonts w:eastAsia="Times New Roman"/>
                <w:b/>
                <w:bCs/>
              </w:rPr>
            </w:pPr>
            <w:r>
              <w:rPr>
                <w:rFonts w:eastAsia="Times New Roman"/>
                <w:b/>
                <w:bCs/>
              </w:rPr>
              <w:t>Prison staff</w:t>
            </w:r>
          </w:p>
        </w:tc>
      </w:tr>
      <w:tr w:rsidR="001A1D68" w14:paraId="0A8A4875" w14:textId="77777777" w:rsidTr="001E49CE">
        <w:tc>
          <w:tcPr>
            <w:tcW w:w="1696" w:type="dxa"/>
          </w:tcPr>
          <w:p w14:paraId="35D514F9" w14:textId="77777777" w:rsidR="001A1D68" w:rsidRPr="007915DC" w:rsidRDefault="001A1D68" w:rsidP="001E49CE">
            <w:pPr>
              <w:rPr>
                <w:rFonts w:eastAsia="Times New Roman"/>
              </w:rPr>
            </w:pPr>
            <w:r w:rsidRPr="007915DC">
              <w:rPr>
                <w:rFonts w:eastAsia="Times New Roman"/>
              </w:rPr>
              <w:t>0-4</w:t>
            </w:r>
          </w:p>
        </w:tc>
        <w:tc>
          <w:tcPr>
            <w:tcW w:w="2410" w:type="dxa"/>
          </w:tcPr>
          <w:p w14:paraId="4A9252F2" w14:textId="77777777" w:rsidR="001A1D68" w:rsidRPr="007915DC" w:rsidRDefault="001A1D68" w:rsidP="001E49CE">
            <w:pPr>
              <w:rPr>
                <w:rFonts w:eastAsia="Times New Roman"/>
              </w:rPr>
            </w:pPr>
            <w:r>
              <w:rPr>
                <w:rFonts w:eastAsia="Times New Roman"/>
              </w:rPr>
              <w:t>0.0000</w:t>
            </w:r>
          </w:p>
        </w:tc>
        <w:tc>
          <w:tcPr>
            <w:tcW w:w="1701" w:type="dxa"/>
          </w:tcPr>
          <w:p w14:paraId="6A84FA7C" w14:textId="77777777" w:rsidR="001A1D68" w:rsidRPr="007915DC" w:rsidRDefault="001A1D68" w:rsidP="001E49CE">
            <w:pPr>
              <w:rPr>
                <w:rFonts w:eastAsia="Times New Roman"/>
              </w:rPr>
            </w:pPr>
            <w:r w:rsidRPr="007915DC">
              <w:rPr>
                <w:rFonts w:eastAsia="Times New Roman"/>
              </w:rPr>
              <w:t>0.0000</w:t>
            </w:r>
          </w:p>
        </w:tc>
      </w:tr>
      <w:tr w:rsidR="001A1D68" w14:paraId="4EA95508" w14:textId="77777777" w:rsidTr="001E49CE">
        <w:tc>
          <w:tcPr>
            <w:tcW w:w="1696" w:type="dxa"/>
          </w:tcPr>
          <w:p w14:paraId="760A6912" w14:textId="77777777" w:rsidR="001A1D68" w:rsidRPr="007915DC" w:rsidRDefault="001A1D68" w:rsidP="001E49CE">
            <w:pPr>
              <w:rPr>
                <w:rFonts w:eastAsia="Times New Roman"/>
              </w:rPr>
            </w:pPr>
            <w:r w:rsidRPr="007915DC">
              <w:rPr>
                <w:rFonts w:eastAsia="Times New Roman"/>
              </w:rPr>
              <w:t>5-9</w:t>
            </w:r>
          </w:p>
        </w:tc>
        <w:tc>
          <w:tcPr>
            <w:tcW w:w="2410" w:type="dxa"/>
          </w:tcPr>
          <w:p w14:paraId="086DDD11" w14:textId="77777777" w:rsidR="001A1D68" w:rsidRPr="007915DC" w:rsidRDefault="001A1D68" w:rsidP="001E49CE">
            <w:pPr>
              <w:rPr>
                <w:rFonts w:eastAsia="Times New Roman"/>
              </w:rPr>
            </w:pPr>
            <w:r>
              <w:rPr>
                <w:rFonts w:eastAsia="Times New Roman"/>
              </w:rPr>
              <w:t>0.0000</w:t>
            </w:r>
          </w:p>
        </w:tc>
        <w:tc>
          <w:tcPr>
            <w:tcW w:w="1701" w:type="dxa"/>
          </w:tcPr>
          <w:p w14:paraId="79C67CA9" w14:textId="77777777" w:rsidR="001A1D68" w:rsidRPr="007915DC" w:rsidRDefault="001A1D68" w:rsidP="001E49CE">
            <w:pPr>
              <w:rPr>
                <w:rFonts w:eastAsia="Times New Roman"/>
              </w:rPr>
            </w:pPr>
            <w:r w:rsidRPr="007915DC">
              <w:rPr>
                <w:rFonts w:eastAsia="Times New Roman"/>
              </w:rPr>
              <w:t>0.0000</w:t>
            </w:r>
          </w:p>
        </w:tc>
      </w:tr>
      <w:tr w:rsidR="001A1D68" w14:paraId="75B3EAFB" w14:textId="77777777" w:rsidTr="001E49CE">
        <w:tc>
          <w:tcPr>
            <w:tcW w:w="1696" w:type="dxa"/>
          </w:tcPr>
          <w:p w14:paraId="512FF4A3" w14:textId="77777777" w:rsidR="001A1D68" w:rsidRPr="007915DC" w:rsidRDefault="001A1D68" w:rsidP="001E49CE">
            <w:pPr>
              <w:rPr>
                <w:rFonts w:eastAsia="Times New Roman"/>
              </w:rPr>
            </w:pPr>
            <w:r w:rsidRPr="007915DC">
              <w:rPr>
                <w:rFonts w:eastAsia="Times New Roman"/>
              </w:rPr>
              <w:t>10-14</w:t>
            </w:r>
          </w:p>
        </w:tc>
        <w:tc>
          <w:tcPr>
            <w:tcW w:w="2410" w:type="dxa"/>
          </w:tcPr>
          <w:p w14:paraId="37C8FE29" w14:textId="77777777" w:rsidR="001A1D68" w:rsidRPr="007915DC" w:rsidRDefault="001A1D68" w:rsidP="001E49CE">
            <w:pPr>
              <w:rPr>
                <w:rFonts w:eastAsia="Times New Roman"/>
              </w:rPr>
            </w:pPr>
            <w:r>
              <w:rPr>
                <w:rFonts w:eastAsia="Times New Roman"/>
              </w:rPr>
              <w:t>0.0000</w:t>
            </w:r>
          </w:p>
        </w:tc>
        <w:tc>
          <w:tcPr>
            <w:tcW w:w="1701" w:type="dxa"/>
          </w:tcPr>
          <w:p w14:paraId="34CB48C8" w14:textId="77777777" w:rsidR="001A1D68" w:rsidRPr="007915DC" w:rsidRDefault="001A1D68" w:rsidP="001E49CE">
            <w:pPr>
              <w:rPr>
                <w:rFonts w:eastAsia="Times New Roman"/>
              </w:rPr>
            </w:pPr>
            <w:r w:rsidRPr="007915DC">
              <w:rPr>
                <w:rFonts w:eastAsia="Times New Roman"/>
              </w:rPr>
              <w:t>0.0000</w:t>
            </w:r>
          </w:p>
        </w:tc>
      </w:tr>
      <w:tr w:rsidR="001A1D68" w14:paraId="2BA52DE4" w14:textId="77777777" w:rsidTr="001E49CE">
        <w:tc>
          <w:tcPr>
            <w:tcW w:w="1696" w:type="dxa"/>
          </w:tcPr>
          <w:p w14:paraId="124AA695" w14:textId="77777777" w:rsidR="001A1D68" w:rsidRPr="007915DC" w:rsidRDefault="001A1D68" w:rsidP="001E49CE">
            <w:pPr>
              <w:rPr>
                <w:rFonts w:eastAsia="Times New Roman"/>
              </w:rPr>
            </w:pPr>
            <w:r w:rsidRPr="007915DC">
              <w:rPr>
                <w:rFonts w:eastAsia="Times New Roman"/>
              </w:rPr>
              <w:t>15-19</w:t>
            </w:r>
          </w:p>
        </w:tc>
        <w:tc>
          <w:tcPr>
            <w:tcW w:w="2410" w:type="dxa"/>
          </w:tcPr>
          <w:p w14:paraId="54E55E4C" w14:textId="77777777" w:rsidR="001A1D68" w:rsidRPr="007915DC" w:rsidRDefault="001A1D68" w:rsidP="001E49CE">
            <w:pPr>
              <w:rPr>
                <w:rFonts w:eastAsia="Times New Roman"/>
              </w:rPr>
            </w:pPr>
            <w:r w:rsidRPr="00A02CFF">
              <w:rPr>
                <w:rFonts w:eastAsia="Times New Roman"/>
              </w:rPr>
              <w:t>0.0643</w:t>
            </w:r>
          </w:p>
        </w:tc>
        <w:tc>
          <w:tcPr>
            <w:tcW w:w="1701" w:type="dxa"/>
          </w:tcPr>
          <w:p w14:paraId="7E5F5DFA" w14:textId="77777777" w:rsidR="001A1D68" w:rsidRPr="007915DC" w:rsidRDefault="001A1D68" w:rsidP="001E49CE">
            <w:pPr>
              <w:rPr>
                <w:rFonts w:eastAsia="Times New Roman"/>
              </w:rPr>
            </w:pPr>
            <w:r w:rsidRPr="007915DC">
              <w:rPr>
                <w:rFonts w:eastAsia="Times New Roman"/>
              </w:rPr>
              <w:t>0.065</w:t>
            </w:r>
            <w:r>
              <w:rPr>
                <w:rFonts w:eastAsia="Times New Roman"/>
              </w:rPr>
              <w:t>8</w:t>
            </w:r>
          </w:p>
        </w:tc>
      </w:tr>
      <w:tr w:rsidR="001A1D68" w14:paraId="1200B681" w14:textId="77777777" w:rsidTr="001E49CE">
        <w:tc>
          <w:tcPr>
            <w:tcW w:w="1696" w:type="dxa"/>
          </w:tcPr>
          <w:p w14:paraId="7ADE5738" w14:textId="77777777" w:rsidR="001A1D68" w:rsidRPr="007915DC" w:rsidRDefault="001A1D68" w:rsidP="001E49CE">
            <w:pPr>
              <w:rPr>
                <w:rFonts w:eastAsia="Times New Roman"/>
              </w:rPr>
            </w:pPr>
            <w:r w:rsidRPr="007915DC">
              <w:rPr>
                <w:rFonts w:eastAsia="Times New Roman"/>
              </w:rPr>
              <w:t>20-24</w:t>
            </w:r>
          </w:p>
        </w:tc>
        <w:tc>
          <w:tcPr>
            <w:tcW w:w="2410" w:type="dxa"/>
          </w:tcPr>
          <w:p w14:paraId="3EC505EA" w14:textId="77777777" w:rsidR="001A1D68" w:rsidRPr="007915DC" w:rsidRDefault="001A1D68" w:rsidP="001E49CE">
            <w:pPr>
              <w:rPr>
                <w:rFonts w:eastAsia="Times New Roman"/>
              </w:rPr>
            </w:pPr>
            <w:r w:rsidRPr="00A02CFF">
              <w:rPr>
                <w:rFonts w:eastAsia="Times New Roman"/>
              </w:rPr>
              <w:t>0.123</w:t>
            </w:r>
            <w:r>
              <w:rPr>
                <w:rFonts w:eastAsia="Times New Roman"/>
              </w:rPr>
              <w:t>8</w:t>
            </w:r>
          </w:p>
        </w:tc>
        <w:tc>
          <w:tcPr>
            <w:tcW w:w="1701" w:type="dxa"/>
          </w:tcPr>
          <w:p w14:paraId="2780C48A" w14:textId="77777777" w:rsidR="001A1D68" w:rsidRPr="007915DC" w:rsidRDefault="001A1D68" w:rsidP="001E49CE">
            <w:pPr>
              <w:rPr>
                <w:rFonts w:eastAsia="Times New Roman"/>
              </w:rPr>
            </w:pPr>
            <w:r w:rsidRPr="007915DC">
              <w:rPr>
                <w:rFonts w:eastAsia="Times New Roman"/>
              </w:rPr>
              <w:t>0.065</w:t>
            </w:r>
            <w:r>
              <w:rPr>
                <w:rFonts w:eastAsia="Times New Roman"/>
              </w:rPr>
              <w:t>8</w:t>
            </w:r>
          </w:p>
        </w:tc>
      </w:tr>
      <w:tr w:rsidR="001A1D68" w14:paraId="0E518A0D" w14:textId="77777777" w:rsidTr="001E49CE">
        <w:tc>
          <w:tcPr>
            <w:tcW w:w="1696" w:type="dxa"/>
          </w:tcPr>
          <w:p w14:paraId="40663A92" w14:textId="77777777" w:rsidR="001A1D68" w:rsidRPr="007915DC" w:rsidRDefault="001A1D68" w:rsidP="001E49CE">
            <w:pPr>
              <w:rPr>
                <w:rFonts w:eastAsia="Times New Roman"/>
              </w:rPr>
            </w:pPr>
            <w:r w:rsidRPr="007915DC">
              <w:rPr>
                <w:rFonts w:eastAsia="Times New Roman"/>
              </w:rPr>
              <w:t>25-29</w:t>
            </w:r>
          </w:p>
        </w:tc>
        <w:tc>
          <w:tcPr>
            <w:tcW w:w="2410" w:type="dxa"/>
          </w:tcPr>
          <w:p w14:paraId="2CE1C65C" w14:textId="77777777" w:rsidR="001A1D68" w:rsidRPr="007915DC" w:rsidRDefault="001A1D68" w:rsidP="001E49CE">
            <w:pPr>
              <w:rPr>
                <w:rFonts w:eastAsia="Times New Roman"/>
              </w:rPr>
            </w:pPr>
            <w:r w:rsidRPr="00A02CFF">
              <w:rPr>
                <w:rFonts w:eastAsia="Times New Roman"/>
              </w:rPr>
              <w:t>0.186</w:t>
            </w:r>
            <w:r>
              <w:rPr>
                <w:rFonts w:eastAsia="Times New Roman"/>
              </w:rPr>
              <w:t>9</w:t>
            </w:r>
          </w:p>
        </w:tc>
        <w:tc>
          <w:tcPr>
            <w:tcW w:w="1701" w:type="dxa"/>
          </w:tcPr>
          <w:p w14:paraId="6C8390A9" w14:textId="77777777" w:rsidR="001A1D68" w:rsidRPr="007915DC" w:rsidRDefault="001A1D68" w:rsidP="001E49CE">
            <w:pPr>
              <w:rPr>
                <w:rFonts w:eastAsia="Times New Roman"/>
              </w:rPr>
            </w:pPr>
            <w:r w:rsidRPr="007915DC">
              <w:rPr>
                <w:rFonts w:eastAsia="Times New Roman"/>
              </w:rPr>
              <w:t>0.065</w:t>
            </w:r>
            <w:r>
              <w:rPr>
                <w:rFonts w:eastAsia="Times New Roman"/>
              </w:rPr>
              <w:t>8</w:t>
            </w:r>
          </w:p>
        </w:tc>
      </w:tr>
      <w:tr w:rsidR="001A1D68" w14:paraId="73C72D2F" w14:textId="77777777" w:rsidTr="001E49CE">
        <w:tc>
          <w:tcPr>
            <w:tcW w:w="1696" w:type="dxa"/>
          </w:tcPr>
          <w:p w14:paraId="6929C280" w14:textId="77777777" w:rsidR="001A1D68" w:rsidRPr="007915DC" w:rsidRDefault="001A1D68" w:rsidP="001E49CE">
            <w:pPr>
              <w:rPr>
                <w:rFonts w:eastAsia="Times New Roman"/>
              </w:rPr>
            </w:pPr>
            <w:r w:rsidRPr="007915DC">
              <w:rPr>
                <w:rFonts w:eastAsia="Times New Roman"/>
              </w:rPr>
              <w:t>30-34</w:t>
            </w:r>
          </w:p>
        </w:tc>
        <w:tc>
          <w:tcPr>
            <w:tcW w:w="2410" w:type="dxa"/>
          </w:tcPr>
          <w:p w14:paraId="0217A808" w14:textId="77777777" w:rsidR="001A1D68" w:rsidRPr="007915DC" w:rsidRDefault="001A1D68" w:rsidP="001E49CE">
            <w:pPr>
              <w:rPr>
                <w:rFonts w:eastAsia="Times New Roman"/>
              </w:rPr>
            </w:pPr>
            <w:r w:rsidRPr="00A02CFF">
              <w:rPr>
                <w:rFonts w:eastAsia="Times New Roman"/>
              </w:rPr>
              <w:t>0.166</w:t>
            </w:r>
            <w:r>
              <w:rPr>
                <w:rFonts w:eastAsia="Times New Roman"/>
              </w:rPr>
              <w:t>3</w:t>
            </w:r>
          </w:p>
        </w:tc>
        <w:tc>
          <w:tcPr>
            <w:tcW w:w="1701" w:type="dxa"/>
          </w:tcPr>
          <w:p w14:paraId="6095F43A" w14:textId="77777777" w:rsidR="001A1D68" w:rsidRPr="007915DC" w:rsidRDefault="001A1D68" w:rsidP="001E49CE">
            <w:pPr>
              <w:rPr>
                <w:rFonts w:eastAsia="Times New Roman"/>
              </w:rPr>
            </w:pPr>
            <w:r w:rsidRPr="00A02CFF">
              <w:rPr>
                <w:rFonts w:eastAsia="Times New Roman"/>
              </w:rPr>
              <w:t>0.117</w:t>
            </w:r>
            <w:r>
              <w:rPr>
                <w:rFonts w:eastAsia="Times New Roman"/>
              </w:rPr>
              <w:t>1</w:t>
            </w:r>
          </w:p>
        </w:tc>
      </w:tr>
      <w:tr w:rsidR="001A1D68" w14:paraId="2C0F029E" w14:textId="77777777" w:rsidTr="001E49CE">
        <w:tc>
          <w:tcPr>
            <w:tcW w:w="1696" w:type="dxa"/>
          </w:tcPr>
          <w:p w14:paraId="3B1D6C4B" w14:textId="77777777" w:rsidR="001A1D68" w:rsidRPr="007915DC" w:rsidRDefault="001A1D68" w:rsidP="001E49CE">
            <w:pPr>
              <w:rPr>
                <w:rFonts w:eastAsia="Times New Roman"/>
              </w:rPr>
            </w:pPr>
            <w:r w:rsidRPr="007915DC">
              <w:rPr>
                <w:rFonts w:eastAsia="Times New Roman"/>
              </w:rPr>
              <w:t>35-39</w:t>
            </w:r>
          </w:p>
        </w:tc>
        <w:tc>
          <w:tcPr>
            <w:tcW w:w="2410" w:type="dxa"/>
          </w:tcPr>
          <w:p w14:paraId="72D05BC6" w14:textId="77777777" w:rsidR="001A1D68" w:rsidRPr="007915DC" w:rsidRDefault="001A1D68" w:rsidP="001E49CE">
            <w:pPr>
              <w:rPr>
                <w:rFonts w:eastAsia="Times New Roman"/>
              </w:rPr>
            </w:pPr>
            <w:r w:rsidRPr="00A02CFF">
              <w:rPr>
                <w:rFonts w:eastAsia="Times New Roman"/>
              </w:rPr>
              <w:t>0.166</w:t>
            </w:r>
            <w:r>
              <w:rPr>
                <w:rFonts w:eastAsia="Times New Roman"/>
              </w:rPr>
              <w:t>3</w:t>
            </w:r>
          </w:p>
        </w:tc>
        <w:tc>
          <w:tcPr>
            <w:tcW w:w="1701" w:type="dxa"/>
          </w:tcPr>
          <w:p w14:paraId="3E5DB5AA" w14:textId="77777777" w:rsidR="001A1D68" w:rsidRPr="007915DC" w:rsidRDefault="001A1D68" w:rsidP="001E49CE">
            <w:pPr>
              <w:rPr>
                <w:rFonts w:eastAsia="Times New Roman"/>
              </w:rPr>
            </w:pPr>
            <w:r w:rsidRPr="00A02CFF">
              <w:rPr>
                <w:rFonts w:eastAsia="Times New Roman"/>
              </w:rPr>
              <w:t>0.117</w:t>
            </w:r>
            <w:r>
              <w:rPr>
                <w:rFonts w:eastAsia="Times New Roman"/>
              </w:rPr>
              <w:t>1</w:t>
            </w:r>
          </w:p>
        </w:tc>
      </w:tr>
      <w:tr w:rsidR="001A1D68" w14:paraId="2AC3C60D" w14:textId="77777777" w:rsidTr="001E49CE">
        <w:tc>
          <w:tcPr>
            <w:tcW w:w="1696" w:type="dxa"/>
          </w:tcPr>
          <w:p w14:paraId="56E4224A" w14:textId="77777777" w:rsidR="001A1D68" w:rsidRPr="007915DC" w:rsidRDefault="001A1D68" w:rsidP="001E49CE">
            <w:pPr>
              <w:rPr>
                <w:rFonts w:eastAsia="Times New Roman"/>
              </w:rPr>
            </w:pPr>
            <w:r w:rsidRPr="007915DC">
              <w:rPr>
                <w:rFonts w:eastAsia="Times New Roman"/>
              </w:rPr>
              <w:t>40-44</w:t>
            </w:r>
          </w:p>
        </w:tc>
        <w:tc>
          <w:tcPr>
            <w:tcW w:w="2410" w:type="dxa"/>
          </w:tcPr>
          <w:p w14:paraId="0904683F" w14:textId="77777777" w:rsidR="001A1D68" w:rsidRPr="007915DC" w:rsidRDefault="001A1D68" w:rsidP="001E49CE">
            <w:pPr>
              <w:rPr>
                <w:rFonts w:eastAsia="Times New Roman"/>
              </w:rPr>
            </w:pPr>
            <w:r w:rsidRPr="00A02CFF">
              <w:rPr>
                <w:rFonts w:eastAsia="Times New Roman"/>
              </w:rPr>
              <w:t>0.089</w:t>
            </w:r>
            <w:r>
              <w:rPr>
                <w:rFonts w:eastAsia="Times New Roman"/>
              </w:rPr>
              <w:t>2</w:t>
            </w:r>
          </w:p>
        </w:tc>
        <w:tc>
          <w:tcPr>
            <w:tcW w:w="1701" w:type="dxa"/>
          </w:tcPr>
          <w:p w14:paraId="091FF9EE" w14:textId="77777777" w:rsidR="001A1D68" w:rsidRPr="007915DC" w:rsidRDefault="001A1D68" w:rsidP="001E49CE">
            <w:pPr>
              <w:rPr>
                <w:rFonts w:eastAsia="Times New Roman"/>
              </w:rPr>
            </w:pPr>
            <w:r w:rsidRPr="00A02CFF">
              <w:rPr>
                <w:rFonts w:eastAsia="Times New Roman"/>
              </w:rPr>
              <w:t>0.109</w:t>
            </w:r>
            <w:r>
              <w:rPr>
                <w:rFonts w:eastAsia="Times New Roman"/>
              </w:rPr>
              <w:t>7</w:t>
            </w:r>
          </w:p>
        </w:tc>
      </w:tr>
      <w:tr w:rsidR="001A1D68" w14:paraId="3601612B" w14:textId="77777777" w:rsidTr="001E49CE">
        <w:tc>
          <w:tcPr>
            <w:tcW w:w="1696" w:type="dxa"/>
          </w:tcPr>
          <w:p w14:paraId="3391A91B" w14:textId="77777777" w:rsidR="001A1D68" w:rsidRPr="007915DC" w:rsidRDefault="001A1D68" w:rsidP="001E49CE">
            <w:pPr>
              <w:rPr>
                <w:rFonts w:eastAsia="Times New Roman"/>
              </w:rPr>
            </w:pPr>
            <w:r w:rsidRPr="007915DC">
              <w:rPr>
                <w:rFonts w:eastAsia="Times New Roman"/>
              </w:rPr>
              <w:t>45-49</w:t>
            </w:r>
          </w:p>
        </w:tc>
        <w:tc>
          <w:tcPr>
            <w:tcW w:w="2410" w:type="dxa"/>
          </w:tcPr>
          <w:p w14:paraId="7611361D" w14:textId="77777777" w:rsidR="001A1D68" w:rsidRPr="007915DC" w:rsidRDefault="001A1D68" w:rsidP="001E49CE">
            <w:pPr>
              <w:rPr>
                <w:rFonts w:eastAsia="Times New Roman"/>
              </w:rPr>
            </w:pPr>
            <w:r w:rsidRPr="00A02CFF">
              <w:rPr>
                <w:rFonts w:eastAsia="Times New Roman"/>
              </w:rPr>
              <w:t>0.089</w:t>
            </w:r>
            <w:r>
              <w:rPr>
                <w:rFonts w:eastAsia="Times New Roman"/>
              </w:rPr>
              <w:t>2</w:t>
            </w:r>
          </w:p>
        </w:tc>
        <w:tc>
          <w:tcPr>
            <w:tcW w:w="1701" w:type="dxa"/>
          </w:tcPr>
          <w:p w14:paraId="0D55F76A" w14:textId="77777777" w:rsidR="001A1D68" w:rsidRPr="007915DC" w:rsidRDefault="001A1D68" w:rsidP="001E49CE">
            <w:pPr>
              <w:rPr>
                <w:rFonts w:eastAsia="Times New Roman"/>
              </w:rPr>
            </w:pPr>
            <w:r w:rsidRPr="00A02CFF">
              <w:rPr>
                <w:rFonts w:eastAsia="Times New Roman"/>
              </w:rPr>
              <w:t>0.109</w:t>
            </w:r>
            <w:r>
              <w:rPr>
                <w:rFonts w:eastAsia="Times New Roman"/>
              </w:rPr>
              <w:t>7</w:t>
            </w:r>
          </w:p>
        </w:tc>
      </w:tr>
      <w:tr w:rsidR="001A1D68" w14:paraId="14356802" w14:textId="77777777" w:rsidTr="001E49CE">
        <w:tc>
          <w:tcPr>
            <w:tcW w:w="1696" w:type="dxa"/>
          </w:tcPr>
          <w:p w14:paraId="6DF98948" w14:textId="77777777" w:rsidR="001A1D68" w:rsidRPr="007915DC" w:rsidRDefault="001A1D68" w:rsidP="001E49CE">
            <w:pPr>
              <w:rPr>
                <w:rFonts w:eastAsia="Times New Roman"/>
              </w:rPr>
            </w:pPr>
            <w:r w:rsidRPr="007915DC">
              <w:rPr>
                <w:rFonts w:eastAsia="Times New Roman"/>
              </w:rPr>
              <w:t>50-54</w:t>
            </w:r>
          </w:p>
        </w:tc>
        <w:tc>
          <w:tcPr>
            <w:tcW w:w="2410" w:type="dxa"/>
          </w:tcPr>
          <w:p w14:paraId="1914871F" w14:textId="77777777" w:rsidR="001A1D68" w:rsidRPr="007915DC" w:rsidRDefault="001A1D68" w:rsidP="001E49CE">
            <w:pPr>
              <w:rPr>
                <w:rFonts w:eastAsia="Times New Roman"/>
              </w:rPr>
            </w:pPr>
            <w:r w:rsidRPr="00A02CFF">
              <w:rPr>
                <w:rFonts w:eastAsia="Times New Roman"/>
              </w:rPr>
              <w:t>0.0394</w:t>
            </w:r>
          </w:p>
        </w:tc>
        <w:tc>
          <w:tcPr>
            <w:tcW w:w="1701" w:type="dxa"/>
          </w:tcPr>
          <w:p w14:paraId="43905C65" w14:textId="77777777" w:rsidR="001A1D68" w:rsidRPr="007915DC" w:rsidRDefault="001A1D68" w:rsidP="001E49CE">
            <w:pPr>
              <w:rPr>
                <w:rFonts w:eastAsia="Times New Roman"/>
              </w:rPr>
            </w:pPr>
            <w:r w:rsidRPr="00A02CFF">
              <w:rPr>
                <w:rFonts w:eastAsia="Times New Roman"/>
              </w:rPr>
              <w:t>0.135</w:t>
            </w:r>
            <w:r>
              <w:rPr>
                <w:rFonts w:eastAsia="Times New Roman"/>
              </w:rPr>
              <w:t>4</w:t>
            </w:r>
          </w:p>
        </w:tc>
      </w:tr>
      <w:tr w:rsidR="001A1D68" w14:paraId="03977A26" w14:textId="77777777" w:rsidTr="001E49CE">
        <w:tc>
          <w:tcPr>
            <w:tcW w:w="1696" w:type="dxa"/>
          </w:tcPr>
          <w:p w14:paraId="5FE3DBFB" w14:textId="77777777" w:rsidR="001A1D68" w:rsidRPr="007915DC" w:rsidRDefault="001A1D68" w:rsidP="001E49CE">
            <w:pPr>
              <w:rPr>
                <w:rFonts w:eastAsia="Times New Roman"/>
              </w:rPr>
            </w:pPr>
            <w:r w:rsidRPr="007915DC">
              <w:rPr>
                <w:rFonts w:eastAsia="Times New Roman"/>
              </w:rPr>
              <w:t>55-59</w:t>
            </w:r>
          </w:p>
        </w:tc>
        <w:tc>
          <w:tcPr>
            <w:tcW w:w="2410" w:type="dxa"/>
          </w:tcPr>
          <w:p w14:paraId="437B226C" w14:textId="77777777" w:rsidR="001A1D68" w:rsidRPr="007915DC" w:rsidRDefault="001A1D68" w:rsidP="001E49CE">
            <w:pPr>
              <w:rPr>
                <w:rFonts w:eastAsia="Times New Roman"/>
              </w:rPr>
            </w:pPr>
            <w:r w:rsidRPr="00A02CFF">
              <w:rPr>
                <w:rFonts w:eastAsia="Times New Roman"/>
              </w:rPr>
              <w:t>0.0394</w:t>
            </w:r>
          </w:p>
        </w:tc>
        <w:tc>
          <w:tcPr>
            <w:tcW w:w="1701" w:type="dxa"/>
          </w:tcPr>
          <w:p w14:paraId="65E454D6" w14:textId="77777777" w:rsidR="001A1D68" w:rsidRPr="007915DC" w:rsidRDefault="001A1D68" w:rsidP="001E49CE">
            <w:pPr>
              <w:rPr>
                <w:rFonts w:eastAsia="Times New Roman"/>
              </w:rPr>
            </w:pPr>
            <w:r w:rsidRPr="00A02CFF">
              <w:rPr>
                <w:rFonts w:eastAsia="Times New Roman"/>
              </w:rPr>
              <w:t>0.135</w:t>
            </w:r>
            <w:r>
              <w:rPr>
                <w:rFonts w:eastAsia="Times New Roman"/>
              </w:rPr>
              <w:t>4</w:t>
            </w:r>
          </w:p>
        </w:tc>
      </w:tr>
      <w:tr w:rsidR="001A1D68" w14:paraId="5891F95F" w14:textId="77777777" w:rsidTr="001E49CE">
        <w:tc>
          <w:tcPr>
            <w:tcW w:w="1696" w:type="dxa"/>
          </w:tcPr>
          <w:p w14:paraId="6535C690" w14:textId="77777777" w:rsidR="001A1D68" w:rsidRPr="007915DC" w:rsidRDefault="001A1D68" w:rsidP="001E49CE">
            <w:pPr>
              <w:rPr>
                <w:rFonts w:eastAsia="Times New Roman"/>
              </w:rPr>
            </w:pPr>
            <w:r w:rsidRPr="007915DC">
              <w:rPr>
                <w:rFonts w:eastAsia="Times New Roman"/>
              </w:rPr>
              <w:t>60-64</w:t>
            </w:r>
          </w:p>
        </w:tc>
        <w:tc>
          <w:tcPr>
            <w:tcW w:w="2410" w:type="dxa"/>
          </w:tcPr>
          <w:p w14:paraId="5B0F7C72" w14:textId="77777777" w:rsidR="001A1D68" w:rsidRPr="007915DC" w:rsidRDefault="001A1D68" w:rsidP="001E49CE">
            <w:pPr>
              <w:rPr>
                <w:rFonts w:eastAsia="Times New Roman"/>
              </w:rPr>
            </w:pPr>
            <w:r w:rsidRPr="00A02CFF">
              <w:rPr>
                <w:rFonts w:eastAsia="Times New Roman"/>
              </w:rPr>
              <w:t>0.0115</w:t>
            </w:r>
          </w:p>
        </w:tc>
        <w:tc>
          <w:tcPr>
            <w:tcW w:w="1701" w:type="dxa"/>
          </w:tcPr>
          <w:p w14:paraId="7C25FE19" w14:textId="77777777" w:rsidR="001A1D68" w:rsidRPr="007915DC" w:rsidRDefault="001A1D68" w:rsidP="001E49CE">
            <w:pPr>
              <w:rPr>
                <w:rFonts w:eastAsia="Times New Roman"/>
              </w:rPr>
            </w:pPr>
            <w:r w:rsidRPr="00A02CFF">
              <w:rPr>
                <w:rFonts w:eastAsia="Times New Roman"/>
              </w:rPr>
              <w:t>0.0196</w:t>
            </w:r>
          </w:p>
        </w:tc>
      </w:tr>
      <w:tr w:rsidR="001A1D68" w14:paraId="376AFA5E" w14:textId="77777777" w:rsidTr="001E49CE">
        <w:tc>
          <w:tcPr>
            <w:tcW w:w="1696" w:type="dxa"/>
          </w:tcPr>
          <w:p w14:paraId="731887C0" w14:textId="77777777" w:rsidR="001A1D68" w:rsidRPr="007915DC" w:rsidRDefault="001A1D68" w:rsidP="001E49CE">
            <w:pPr>
              <w:rPr>
                <w:rFonts w:eastAsia="Times New Roman"/>
              </w:rPr>
            </w:pPr>
            <w:r w:rsidRPr="007915DC">
              <w:rPr>
                <w:rFonts w:eastAsia="Times New Roman"/>
              </w:rPr>
              <w:t>65-69</w:t>
            </w:r>
          </w:p>
        </w:tc>
        <w:tc>
          <w:tcPr>
            <w:tcW w:w="2410" w:type="dxa"/>
          </w:tcPr>
          <w:p w14:paraId="0F1CD394" w14:textId="77777777" w:rsidR="001A1D68" w:rsidRPr="007915DC" w:rsidRDefault="001A1D68" w:rsidP="001E49CE">
            <w:pPr>
              <w:rPr>
                <w:rFonts w:eastAsia="Times New Roman"/>
              </w:rPr>
            </w:pPr>
            <w:r w:rsidRPr="00A02CFF">
              <w:rPr>
                <w:rFonts w:eastAsia="Times New Roman"/>
              </w:rPr>
              <w:t>0.0115</w:t>
            </w:r>
          </w:p>
        </w:tc>
        <w:tc>
          <w:tcPr>
            <w:tcW w:w="1701" w:type="dxa"/>
          </w:tcPr>
          <w:p w14:paraId="5FED8DEF" w14:textId="77777777" w:rsidR="001A1D68" w:rsidRPr="007915DC" w:rsidRDefault="001A1D68" w:rsidP="001E49CE">
            <w:pPr>
              <w:rPr>
                <w:rFonts w:eastAsia="Times New Roman"/>
              </w:rPr>
            </w:pPr>
            <w:r w:rsidRPr="00A02CFF">
              <w:rPr>
                <w:rFonts w:eastAsia="Times New Roman"/>
              </w:rPr>
              <w:t>0.0196</w:t>
            </w:r>
          </w:p>
        </w:tc>
      </w:tr>
      <w:tr w:rsidR="001A1D68" w14:paraId="72D07B5D" w14:textId="77777777" w:rsidTr="001E49CE">
        <w:tc>
          <w:tcPr>
            <w:tcW w:w="1696" w:type="dxa"/>
          </w:tcPr>
          <w:p w14:paraId="1E13BB3F" w14:textId="77777777" w:rsidR="001A1D68" w:rsidRPr="007915DC" w:rsidRDefault="001A1D68" w:rsidP="001E49CE">
            <w:pPr>
              <w:rPr>
                <w:rFonts w:eastAsia="Times New Roman"/>
              </w:rPr>
            </w:pPr>
            <w:r w:rsidRPr="007915DC">
              <w:rPr>
                <w:rFonts w:eastAsia="Times New Roman"/>
              </w:rPr>
              <w:t>70-74</w:t>
            </w:r>
          </w:p>
        </w:tc>
        <w:tc>
          <w:tcPr>
            <w:tcW w:w="2410" w:type="dxa"/>
          </w:tcPr>
          <w:p w14:paraId="76032438" w14:textId="77777777" w:rsidR="001A1D68" w:rsidRPr="007915DC" w:rsidRDefault="001A1D68" w:rsidP="001E49CE">
            <w:pPr>
              <w:rPr>
                <w:rFonts w:eastAsia="Times New Roman"/>
              </w:rPr>
            </w:pPr>
            <w:r w:rsidRPr="00A02CFF">
              <w:rPr>
                <w:rFonts w:eastAsia="Times New Roman"/>
              </w:rPr>
              <w:t>0.006</w:t>
            </w:r>
            <w:r>
              <w:rPr>
                <w:rFonts w:eastAsia="Times New Roman"/>
              </w:rPr>
              <w:t>1</w:t>
            </w:r>
          </w:p>
        </w:tc>
        <w:tc>
          <w:tcPr>
            <w:tcW w:w="1701" w:type="dxa"/>
          </w:tcPr>
          <w:p w14:paraId="71916B5B" w14:textId="77777777" w:rsidR="001A1D68" w:rsidRPr="007915DC" w:rsidRDefault="001A1D68" w:rsidP="001E49CE">
            <w:pPr>
              <w:rPr>
                <w:rFonts w:eastAsia="Times New Roman"/>
              </w:rPr>
            </w:pPr>
            <w:r w:rsidRPr="00A02CFF">
              <w:rPr>
                <w:rFonts w:eastAsia="Times New Roman"/>
              </w:rPr>
              <w:t>0.0196</w:t>
            </w:r>
          </w:p>
        </w:tc>
      </w:tr>
      <w:tr w:rsidR="001A1D68" w14:paraId="029CF08C" w14:textId="77777777" w:rsidTr="001E49CE">
        <w:tc>
          <w:tcPr>
            <w:tcW w:w="1696" w:type="dxa"/>
          </w:tcPr>
          <w:p w14:paraId="4319A1FC" w14:textId="77777777" w:rsidR="001A1D68" w:rsidRPr="007915DC" w:rsidRDefault="001A1D68" w:rsidP="001E49CE">
            <w:pPr>
              <w:rPr>
                <w:rFonts w:eastAsia="Times New Roman"/>
              </w:rPr>
            </w:pPr>
            <w:r w:rsidRPr="007915DC">
              <w:rPr>
                <w:rFonts w:eastAsia="Times New Roman"/>
              </w:rPr>
              <w:t>75+</w:t>
            </w:r>
          </w:p>
        </w:tc>
        <w:tc>
          <w:tcPr>
            <w:tcW w:w="2410" w:type="dxa"/>
          </w:tcPr>
          <w:p w14:paraId="49681C7C" w14:textId="77777777" w:rsidR="001A1D68" w:rsidRPr="007915DC" w:rsidRDefault="001A1D68" w:rsidP="001E49CE">
            <w:pPr>
              <w:rPr>
                <w:rFonts w:eastAsia="Times New Roman"/>
              </w:rPr>
            </w:pPr>
            <w:r w:rsidRPr="00A02CFF">
              <w:rPr>
                <w:rFonts w:eastAsia="Times New Roman"/>
              </w:rPr>
              <w:t>0.006</w:t>
            </w:r>
            <w:r>
              <w:rPr>
                <w:rFonts w:eastAsia="Times New Roman"/>
              </w:rPr>
              <w:t>1</w:t>
            </w:r>
          </w:p>
        </w:tc>
        <w:tc>
          <w:tcPr>
            <w:tcW w:w="1701" w:type="dxa"/>
          </w:tcPr>
          <w:p w14:paraId="3A199604" w14:textId="77777777" w:rsidR="001A1D68" w:rsidRPr="007915DC" w:rsidRDefault="001A1D68" w:rsidP="001E49CE">
            <w:pPr>
              <w:rPr>
                <w:rFonts w:eastAsia="Times New Roman"/>
              </w:rPr>
            </w:pPr>
            <w:r w:rsidRPr="00A02CFF">
              <w:rPr>
                <w:rFonts w:eastAsia="Times New Roman"/>
              </w:rPr>
              <w:t>0.0196</w:t>
            </w:r>
          </w:p>
        </w:tc>
      </w:tr>
    </w:tbl>
    <w:p w14:paraId="485216AB" w14:textId="77777777" w:rsidR="00961E86" w:rsidRDefault="00961E86">
      <w:pPr>
        <w:rPr>
          <w:b/>
          <w:bCs/>
          <w:noProof/>
        </w:rPr>
      </w:pPr>
    </w:p>
    <w:p w14:paraId="741C3601" w14:textId="052D8C35" w:rsidR="00547722" w:rsidRDefault="00A9119A">
      <w:pPr>
        <w:rPr>
          <w:b/>
          <w:bCs/>
          <w:noProof/>
        </w:rPr>
      </w:pPr>
      <w:r>
        <w:rPr>
          <w:b/>
          <w:bCs/>
          <w:noProof/>
        </w:rPr>
        <w:t>Epidemiological input parameters</w:t>
      </w:r>
    </w:p>
    <w:p w14:paraId="60A4EB11" w14:textId="65910069" w:rsidR="0042411F" w:rsidRPr="00DA62BB" w:rsidRDefault="00A9119A" w:rsidP="0042411F">
      <w:pPr>
        <w:rPr>
          <w:rFonts w:ascii="Calibri" w:hAnsi="Calibri" w:cs="Calibri"/>
        </w:rPr>
      </w:pPr>
      <w:r>
        <w:rPr>
          <w:noProof/>
        </w:rPr>
        <w:t xml:space="preserve">The susceptibility to infection upon contact and the probability of clinical symptoms on infection were taken from Davies </w:t>
      </w:r>
      <w:r>
        <w:rPr>
          <w:i/>
          <w:iCs/>
          <w:noProof/>
        </w:rPr>
        <w:t xml:space="preserve">et al. </w:t>
      </w:r>
      <w:r>
        <w:rPr>
          <w:noProof/>
        </w:rPr>
        <w:t>2020</w:t>
      </w:r>
      <w:r w:rsidR="00D82ADB">
        <w:rPr>
          <w:noProof/>
        </w:rPr>
        <w:t xml:space="preserve"> </w:t>
      </w:r>
      <w:r w:rsidR="00C56A43">
        <w:rPr>
          <w:noProof/>
        </w:rPr>
        <w:fldChar w:fldCharType="begin"/>
      </w:r>
      <w:r w:rsidR="00C56A43">
        <w:rPr>
          <w:noProof/>
        </w:rPr>
        <w:instrText xml:space="preserve"> ADDIN ZOTERO_ITEM CSL_CITATION {"citationID":"lspnnmAL","properties":{"formattedCitation":"(1)","plainCitation":"(1)","noteIndex":0},"citationItems":[{"id":227,"uris":["http://zotero.org/users/8857588/items/5R8BSTE6"],"uri":["http://zotero.org/users/8857588/items/5R8BSTE6"],"itemData":{"id":227,"type":"article-journal","abstract":"The COVID-19 pandemic has shown a markedly low proportion of cases among children1–4. Age disparities in observed cases could be explained by children having lower susceptibility to infection, lower propensity to show clinical symptoms or both. We evaluate these possibilities by fitting an age-structured mathematical model to epidemic data from China, Italy, Japan, Singapore, Canada and South Korea. We estimate that susceptibility to infection in individuals under 20 years of age is approximately half that of adults aged over 20 years, and that clinical symptoms manifest in 21% (95% credible interval: 12–31%) of infections in 10- to 19-year-olds, rising to 69% (57–82%) of infections in people aged over 70 years. Accordingly, we find that interventions aimed at children might have a relatively small impact on reducing SARS-CoV-2 transmission, particularly if the transmissibility of subclinical infections is low. Our age-specific clinical fraction and susceptibility estimates have implications for the expected global burden of COVID-19, as a result of demographic differences across settings. In countries with younger population structures—such as many low-income countries—the expected per capita incidence of clinical cases would be lower than in countries with older population structures, although it is likely that comorbidities in low-income countries will also influence disease severity. Without effective control measures, regions with relatively older populations could see disproportionally more cases of COVID-19, particularly in the later stages of an unmitigated epidemic.","container-title":"Nature Medicine","DOI":"10.1038/s41591-020-0962-9","ISSN":"1546-170X","issue":"8","journalAbbreviation":"Nat Med","language":"en","note":"number: 8\npublisher: Nature Publishing Group","page":"1205-1211","source":"www.nature.com","title":"Age-dependent effects in the transmission and control of COVID-19 epidemics","volume":"26","author":[{"family":"Davies","given":"Nicholas G."},{"family":"Klepac","given":"Petra"},{"family":"Liu","given":"Yang"},{"family":"Prem","given":"Kiesha"},{"family":"Jit","given":"Mark"},{"family":"Eggo","given":"Rosalind M."}],"issued":{"date-parts":[["2020",8]]}}}],"schema":"https://github.com/citation-style-language/schema/raw/master/csl-citation.json"} </w:instrText>
      </w:r>
      <w:r w:rsidR="00C56A43">
        <w:rPr>
          <w:noProof/>
        </w:rPr>
        <w:fldChar w:fldCharType="separate"/>
      </w:r>
      <w:r w:rsidR="00C56A43" w:rsidRPr="00C56A43">
        <w:rPr>
          <w:rFonts w:ascii="Calibri" w:hAnsi="Calibri" w:cs="Calibri"/>
        </w:rPr>
        <w:t>(1)</w:t>
      </w:r>
      <w:r w:rsidR="00C56A43">
        <w:rPr>
          <w:noProof/>
        </w:rPr>
        <w:fldChar w:fldCharType="end"/>
      </w:r>
      <w:r w:rsidR="00D82ADB">
        <w:rPr>
          <w:noProof/>
        </w:rPr>
        <w:t xml:space="preserve">. </w:t>
      </w:r>
      <w:r w:rsidR="00F332CC">
        <w:rPr>
          <w:noProof/>
        </w:rPr>
        <w:t>To estimate the infection-hospitalisation risk</w:t>
      </w:r>
      <w:r w:rsidR="00B67021">
        <w:rPr>
          <w:noProof/>
        </w:rPr>
        <w:t xml:space="preserve"> and infection-fatality risk</w:t>
      </w:r>
      <w:r w:rsidR="00F332CC">
        <w:rPr>
          <w:noProof/>
        </w:rPr>
        <w:t xml:space="preserve"> associated with the </w:t>
      </w:r>
      <w:r w:rsidR="00CD0A34">
        <w:rPr>
          <w:noProof/>
        </w:rPr>
        <w:t xml:space="preserve">Delta </w:t>
      </w:r>
      <w:r w:rsidR="00F332CC">
        <w:rPr>
          <w:noProof/>
        </w:rPr>
        <w:t>variant</w:t>
      </w:r>
      <w:r w:rsidR="006B7705">
        <w:rPr>
          <w:noProof/>
        </w:rPr>
        <w:t xml:space="preserve">, we used the absolute risk of hospital admission for </w:t>
      </w:r>
      <w:r w:rsidR="00325C04">
        <w:rPr>
          <w:noProof/>
        </w:rPr>
        <w:t xml:space="preserve">after a positive test </w:t>
      </w:r>
      <w:r w:rsidR="00B67021">
        <w:rPr>
          <w:noProof/>
        </w:rPr>
        <w:t xml:space="preserve">and death within 28 days after a positive test </w:t>
      </w:r>
      <w:r w:rsidR="00BA206F">
        <w:rPr>
          <w:noProof/>
        </w:rPr>
        <w:fldChar w:fldCharType="begin"/>
      </w:r>
      <w:r w:rsidR="00713577">
        <w:rPr>
          <w:noProof/>
        </w:rPr>
        <w:instrText xml:space="preserve"> ADDIN ZOTERO_ITEM CSL_CITATION {"citationID":"VsRYpCYL","properties":{"formattedCitation":"(2)","plainCitation":"(2)","noteIndex":0},"citationItems":[{"id":263,"uris":["http://zotero.org/users/8857588/items/9JM7YBIE"],"uri":["http://zotero.org/users/8857588/items/9JM7YBIE"],"itemData":{"id":263,"type":"webpage","title":"Comparative Analysis of the Risks of Hospitalisation and Death Associated with SARS-CoV-2 Omicron (B.1.1.529) and Delta (B.1.617.2) Variants in England by Tommy Nyberg, Neil M. Ferguson, Sophie G. Nash, Harriet H. Webster, Seth Flaxman, Nick Andrews, Wes Hinsley, Jamie Lopez Bernal, Meaghan Kall, Samir Bhatt, Paula Bianca Blomquist, Asad Zaidi, Erik Volz, Nurin Abdul Aziz, Katie Harman, Russell Hope, Andre Charlett, Meera A. Chand, Azra Ghani, Shaun Seaman, Gavin Dabrera, Daniela DeAngelis, Anne M. Presanis, Simon Thelwall :: SSRN","URL":"https://papers.ssrn.com/sol3/papers.cfm?abstract_id=4025932","accessed":{"date-parts":[["2022",3,14]]}}}],"schema":"https://github.com/citation-style-language/schema/raw/master/csl-citation.json"} </w:instrText>
      </w:r>
      <w:r w:rsidR="00BA206F">
        <w:rPr>
          <w:noProof/>
        </w:rPr>
        <w:fldChar w:fldCharType="separate"/>
      </w:r>
      <w:r w:rsidR="00713577" w:rsidRPr="00713577">
        <w:rPr>
          <w:rFonts w:ascii="Calibri" w:hAnsi="Calibri" w:cs="Calibri"/>
        </w:rPr>
        <w:t>(2)</w:t>
      </w:r>
      <w:r w:rsidR="00BA206F">
        <w:rPr>
          <w:noProof/>
        </w:rPr>
        <w:fldChar w:fldCharType="end"/>
      </w:r>
      <w:r w:rsidR="00BA206F">
        <w:rPr>
          <w:noProof/>
        </w:rPr>
        <w:t xml:space="preserve">. </w:t>
      </w:r>
      <w:r w:rsidR="0042411F">
        <w:rPr>
          <w:noProof/>
        </w:rPr>
        <w:t xml:space="preserve">To estimate IHR </w:t>
      </w:r>
      <w:r w:rsidR="00B67021">
        <w:rPr>
          <w:noProof/>
        </w:rPr>
        <w:t xml:space="preserve">and IFR </w:t>
      </w:r>
      <w:r w:rsidR="0042411F">
        <w:rPr>
          <w:noProof/>
        </w:rPr>
        <w:t>for those aged 75 and over, the mean of estimates for the 70-79 and 80+ agebands was weighted using 2022 population projections for England and Wales</w:t>
      </w:r>
      <w:r w:rsidR="00444696">
        <w:rPr>
          <w:noProof/>
        </w:rPr>
        <w:t xml:space="preserve"> </w:t>
      </w:r>
      <w:r w:rsidR="00444696">
        <w:rPr>
          <w:noProof/>
        </w:rPr>
        <w:fldChar w:fldCharType="begin"/>
      </w:r>
      <w:r w:rsidR="00DA62BB">
        <w:rPr>
          <w:noProof/>
        </w:rPr>
        <w:instrText xml:space="preserve"> ADDIN ZOTERO_ITEM CSL_CITATION {"citationID":"7u6CZ0De","properties":{"formattedCitation":"(3)","plainCitation":"(3)","noteIndex":0},"citationItems":[{"id":243,"uris":["http://zotero.org/users/8857588/items/LJLYD2RX"],"uri":["http://zotero.org/users/8857588/items/LJLYD2RX"],"itemData":{"id":243,"type":"webpage","title":"Principal projection - England and Wales population in age groups","URL":"https://www.ons.gov.uk/peoplepopulationandcommunity/populationandmigration/populationprojections/datasets/tablea23principalprojectionenglandandwalespopulationinagegroups","author":[{"family":"Office for National Statistics","given":""}],"accessed":{"date-parts":[["2022",3,1]]},"issued":{"date-parts":[["2022",1,12]]}}}],"schema":"https://github.com/citation-style-language/schema/raw/master/csl-citation.json"} </w:instrText>
      </w:r>
      <w:r w:rsidR="00444696">
        <w:rPr>
          <w:noProof/>
        </w:rPr>
        <w:fldChar w:fldCharType="separate"/>
      </w:r>
      <w:r w:rsidR="00DA62BB" w:rsidRPr="00DA62BB">
        <w:rPr>
          <w:rFonts w:ascii="Calibri" w:hAnsi="Calibri" w:cs="Calibri"/>
        </w:rPr>
        <w:t>(3)</w:t>
      </w:r>
      <w:r w:rsidR="00444696">
        <w:rPr>
          <w:noProof/>
        </w:rPr>
        <w:fldChar w:fldCharType="end"/>
      </w:r>
      <w:r w:rsidR="00445CB6">
        <w:rPr>
          <w:noProof/>
        </w:rPr>
        <w:t xml:space="preserve">. </w:t>
      </w:r>
    </w:p>
    <w:p w14:paraId="2551FC5D" w14:textId="2E887AAA" w:rsidR="00A9119A" w:rsidRDefault="003B3419">
      <w:pPr>
        <w:rPr>
          <w:noProof/>
        </w:rPr>
      </w:pPr>
      <w:r>
        <w:rPr>
          <w:noProof/>
        </w:rPr>
        <w:t xml:space="preserve">The proportion of hospitalised cases requiring ICU admission was taken from Docherty </w:t>
      </w:r>
      <w:r>
        <w:rPr>
          <w:i/>
          <w:iCs/>
          <w:noProof/>
        </w:rPr>
        <w:t xml:space="preserve">et al. </w:t>
      </w:r>
      <w:r>
        <w:rPr>
          <w:noProof/>
        </w:rPr>
        <w:t xml:space="preserve">2020 </w:t>
      </w:r>
      <w:r>
        <w:rPr>
          <w:noProof/>
        </w:rPr>
        <w:fldChar w:fldCharType="begin"/>
      </w:r>
      <w:r w:rsidR="00444696">
        <w:rPr>
          <w:noProof/>
        </w:rPr>
        <w:instrText xml:space="preserve"> ADDIN ZOTERO_ITEM CSL_CITATION {"citationID":"KVAdObSt","properties":{"formattedCitation":"(4)","plainCitation":"(4)","noteIndex":0},"citationItems":[{"id":205,"uris":["http://zotero.org/users/8857588/items/PFG6URRB"],"uri":["http://zotero.org/users/8857588/items/PFG6URRB"],"itemData":{"id":205,"type":"article-journal","abstract":"Objective To characterise the clinical features of patients admitted to hospital with coronavirus disease 2019 (covid-19) in the United Kingdom during the growth phase of the first wave of this outbreak who were enrolled in the International Severe Acute Respiratory and emerging Infections Consortium (ISARIC) World Health Organization (WHO) Clinical Characterisation Protocol UK (CCP-UK) study, and to explore risk factors associated with mortality in hospital.Design Prospective observational cohort study with rapid data gathering and near real time analysis.Setting 208 acute care hospitals in England, Wales, and Scotland between 6 February and 19 April 2020. A case report form developed by ISARIC and WHO was used to collect clinical data. A minimal follow-up time of two weeks (to 3 May 2020) allowed most patients to complete their hospital admission.Participants 20 133 hospital inpatients with covid-19.Main outcome measures Admission to critical care (high dependency unit or intensive care unit) and mortality in hospital.Results The median age of patients admitted to hospital with covid-19, or with a diagnosis of covid-19 made in hospital, was 73 years (interquartile range 58-82, range 0-104). More men were admitted than women (men 60%, n=12 068; women 40%, n=8065). The median duration of symptoms before admission was 4 days (interquartile range 1-8). The commonest comorbidities were chronic cardiac disease (31%, 5469/17 702), uncomplicated diabetes (21%, 3650/17 599), non-asthmatic chronic pulmonary disease (18%, 3128/17 634), and chronic kidney disease (16%, 2830/17 506); 23% (4161/18 525) had no reported major comorbidity. Overall, 41% (8199/20 133) of patients were discharged alive, 26% (5165/20 133) died, and 34% (6769/20 133) continued to receive care at the reporting date. 17% (3001/18 183) required admission to high dependency or intensive care units; of these, 28% (826/3001) were discharged alive, 32% (958/3001) died, and 41% (1217/3001) continued to receive care at the reporting date. Of those receiving mechanical ventilation, 17% (276/1658) were discharged alive, 37% (618/1658) died, and 46% (764/1658) remained in hospital. Increasing age, male sex, and comorbidities including chronic cardiac disease, non-asthmatic chronic pulmonary disease, chronic kidney disease, liver disease and obesity were associated with higher mortality in hospital.Conclusions ISARIC WHO CCP-UK is a large prospective cohort study of patients in hospital with covid-19. The study continues to enrol at the time of this report. In study participants, mortality was high, independent risk factors were increasing age, male sex, and chronic comorbidity, including obesity. This study has shown the importance of pandemic preparedness and the need to maintain readiness to launch research studies in response to outbreaks.Study registration ISRCTN66726260.","container-title":"BMJ","DOI":"10.1136/bmj.m1985","note":"publisher: BMJ Publishing Group Ltd\n_eprint: https://www.bmj.com/content/369/bmj.m1985.full.pdf","title":"Features of 20 133 UK patients in hospital with covid-19 using the ISARIC WHO Clinical Characterisation Protocol: prospective observational cohort study","URL":"https://www.bmj.com/content/369/bmj.m1985","volume":"369","author":[{"family":"Docherty","given":"Annemarie B"},{"family":"Harrison","given":"Ewen M"},{"family":"Green","given":"Christopher A"},{"family":"Hardwick","given":"Hayley E"},{"family":"Pius","given":"Riinu"},{"family":"Norman","given":"Lisa"},{"family":"Holden","given":"Karl A"},{"family":"Read","given":"Jonathan M"},{"family":"Dondelinger","given":"Frank"},{"family":"Carson","given":"Gail"},{"family":"Merson","given":"Laura"},{"family":"Lee","given":"James"},{"family":"Plotkin","given":"Daniel"},{"family":"Sigfrid","given":"Louise"},{"family":"Halpin","given":"Sophie"},{"family":"Jackson","given":"Clare"},{"family":"Gamble","given":"Carrol"},{"family":"Horby","given":"Peter W"},{"family":"Nguyen-Van-Tam","given":"Jonathan S"},{"family":"Ho","given":"Antonia"},{"family":"Russell","given":"Clark D"},{"family":"Dunning","given":"Jake"},{"family":"Openshaw","given":"Peter JM"},{"family":"Baillie","given":"J Kenneth"},{"family":"Semple","given":"Malcolm G"}],"issued":{"date-parts":[["2020"]]}}}],"schema":"https://github.com/citation-style-language/schema/raw/master/csl-citation.json"} </w:instrText>
      </w:r>
      <w:r>
        <w:rPr>
          <w:noProof/>
        </w:rPr>
        <w:fldChar w:fldCharType="separate"/>
      </w:r>
      <w:r w:rsidR="00444696" w:rsidRPr="00444696">
        <w:rPr>
          <w:rFonts w:ascii="Calibri" w:hAnsi="Calibri" w:cs="Calibri"/>
        </w:rPr>
        <w:t>(4)</w:t>
      </w:r>
      <w:r>
        <w:rPr>
          <w:noProof/>
        </w:rPr>
        <w:fldChar w:fldCharType="end"/>
      </w:r>
      <w:r w:rsidR="00805CD5">
        <w:rPr>
          <w:noProof/>
        </w:rPr>
        <w:t xml:space="preserve">. </w:t>
      </w:r>
    </w:p>
    <w:p w14:paraId="7D568E23" w14:textId="254E600E" w:rsidR="00DD5CB6" w:rsidRPr="00DA62BB" w:rsidRDefault="00DD5CB6" w:rsidP="00DD5CB6">
      <w:pPr>
        <w:pStyle w:val="Caption"/>
        <w:keepNext/>
        <w:rPr>
          <w:i w:val="0"/>
          <w:iCs w:val="0"/>
        </w:rPr>
      </w:pPr>
      <w:r w:rsidRPr="00DA62BB">
        <w:rPr>
          <w:i w:val="0"/>
          <w:iCs w:val="0"/>
        </w:rPr>
        <w:t xml:space="preserve">Supplementary Table </w:t>
      </w:r>
      <w:r w:rsidR="00DA62BB" w:rsidRPr="00DA62BB">
        <w:rPr>
          <w:i w:val="0"/>
          <w:iCs w:val="0"/>
        </w:rPr>
        <w:fldChar w:fldCharType="begin"/>
      </w:r>
      <w:r w:rsidR="00DA62BB" w:rsidRPr="00DA62BB">
        <w:rPr>
          <w:i w:val="0"/>
          <w:iCs w:val="0"/>
        </w:rPr>
        <w:instrText xml:space="preserve"> SEQ Table \* ARABIC </w:instrText>
      </w:r>
      <w:r w:rsidR="00DA62BB" w:rsidRPr="00DA62BB">
        <w:rPr>
          <w:i w:val="0"/>
          <w:iCs w:val="0"/>
        </w:rPr>
        <w:fldChar w:fldCharType="separate"/>
      </w:r>
      <w:r w:rsidR="00ED461C" w:rsidRPr="00DA62BB">
        <w:rPr>
          <w:i w:val="0"/>
          <w:iCs w:val="0"/>
          <w:noProof/>
        </w:rPr>
        <w:t>2</w:t>
      </w:r>
      <w:r w:rsidR="00DA62BB" w:rsidRPr="00DA62BB">
        <w:rPr>
          <w:i w:val="0"/>
          <w:iCs w:val="0"/>
          <w:noProof/>
        </w:rPr>
        <w:fldChar w:fldCharType="end"/>
      </w:r>
      <w:r w:rsidRPr="00DA62BB">
        <w:rPr>
          <w:i w:val="0"/>
          <w:iCs w:val="0"/>
        </w:rPr>
        <w:t>. Input data on age-specific susceptibility to infection and severity of disease.</w:t>
      </w:r>
    </w:p>
    <w:tbl>
      <w:tblPr>
        <w:tblStyle w:val="TableGrid"/>
        <w:tblW w:w="9209" w:type="dxa"/>
        <w:tblLook w:val="04A0" w:firstRow="1" w:lastRow="0" w:firstColumn="1" w:lastColumn="0" w:noHBand="0" w:noVBand="1"/>
      </w:tblPr>
      <w:tblGrid>
        <w:gridCol w:w="922"/>
        <w:gridCol w:w="1767"/>
        <w:gridCol w:w="2409"/>
        <w:gridCol w:w="2127"/>
        <w:gridCol w:w="1984"/>
      </w:tblGrid>
      <w:tr w:rsidR="00443B40" w14:paraId="593DFFEF" w14:textId="77777777" w:rsidTr="00443B40">
        <w:tc>
          <w:tcPr>
            <w:tcW w:w="922" w:type="dxa"/>
          </w:tcPr>
          <w:p w14:paraId="08704CF2" w14:textId="77777777" w:rsidR="00443B40" w:rsidRPr="0073723C" w:rsidRDefault="00443B40" w:rsidP="003E7218">
            <w:pPr>
              <w:rPr>
                <w:rFonts w:eastAsia="Times New Roman"/>
                <w:b/>
                <w:bCs/>
              </w:rPr>
            </w:pPr>
            <w:r w:rsidRPr="0073723C">
              <w:rPr>
                <w:rFonts w:eastAsia="Times New Roman"/>
                <w:b/>
                <w:bCs/>
              </w:rPr>
              <w:t>Age group</w:t>
            </w:r>
          </w:p>
        </w:tc>
        <w:tc>
          <w:tcPr>
            <w:tcW w:w="1767" w:type="dxa"/>
          </w:tcPr>
          <w:p w14:paraId="5744854D" w14:textId="77777777" w:rsidR="00443B40" w:rsidRPr="005B278D" w:rsidRDefault="00443B40" w:rsidP="003E7218">
            <w:pPr>
              <w:rPr>
                <w:rFonts w:eastAsia="Times New Roman"/>
                <w:b/>
                <w:bCs/>
              </w:rPr>
            </w:pPr>
            <w:r>
              <w:rPr>
                <w:rFonts w:eastAsia="Times New Roman"/>
                <w:b/>
                <w:bCs/>
              </w:rPr>
              <w:t>Susceptibility to infection on contact</w:t>
            </w:r>
          </w:p>
        </w:tc>
        <w:tc>
          <w:tcPr>
            <w:tcW w:w="2409" w:type="dxa"/>
          </w:tcPr>
          <w:p w14:paraId="7ABACD4F" w14:textId="77777777" w:rsidR="00443B40" w:rsidRPr="0073723C" w:rsidRDefault="00443B40" w:rsidP="003E7218">
            <w:pPr>
              <w:rPr>
                <w:rFonts w:eastAsia="Times New Roman"/>
                <w:b/>
                <w:bCs/>
              </w:rPr>
            </w:pPr>
            <w:r>
              <w:rPr>
                <w:rFonts w:eastAsia="Times New Roman"/>
                <w:b/>
                <w:bCs/>
              </w:rPr>
              <w:t>Probability of clinical symptoms given infection</w:t>
            </w:r>
            <w:r w:rsidRPr="0073723C">
              <w:rPr>
                <w:rFonts w:eastAsia="Times New Roman"/>
                <w:b/>
                <w:bCs/>
              </w:rPr>
              <w:t xml:space="preserve"> </w:t>
            </w:r>
          </w:p>
        </w:tc>
        <w:tc>
          <w:tcPr>
            <w:tcW w:w="2127" w:type="dxa"/>
          </w:tcPr>
          <w:p w14:paraId="5D0B5682" w14:textId="77777777" w:rsidR="00443B40" w:rsidRPr="0073723C" w:rsidRDefault="00443B40" w:rsidP="003E7218">
            <w:pPr>
              <w:rPr>
                <w:rFonts w:eastAsia="Times New Roman"/>
                <w:b/>
                <w:bCs/>
              </w:rPr>
            </w:pPr>
            <w:r>
              <w:rPr>
                <w:rFonts w:eastAsia="Times New Roman"/>
                <w:b/>
                <w:bCs/>
              </w:rPr>
              <w:t>IHRs (%)</w:t>
            </w:r>
          </w:p>
        </w:tc>
        <w:tc>
          <w:tcPr>
            <w:tcW w:w="1984" w:type="dxa"/>
          </w:tcPr>
          <w:p w14:paraId="170295EA" w14:textId="77777777" w:rsidR="00443B40" w:rsidRPr="0073723C" w:rsidRDefault="00443B40" w:rsidP="003E7218">
            <w:pPr>
              <w:rPr>
                <w:rFonts w:eastAsia="Times New Roman"/>
                <w:b/>
                <w:bCs/>
              </w:rPr>
            </w:pPr>
            <w:r w:rsidRPr="0073723C">
              <w:rPr>
                <w:rFonts w:eastAsia="Times New Roman"/>
                <w:b/>
                <w:bCs/>
              </w:rPr>
              <w:t>IFRs (%)</w:t>
            </w:r>
          </w:p>
        </w:tc>
      </w:tr>
      <w:tr w:rsidR="00443B40" w14:paraId="6072B66E" w14:textId="77777777" w:rsidTr="00443B40">
        <w:tc>
          <w:tcPr>
            <w:tcW w:w="922" w:type="dxa"/>
          </w:tcPr>
          <w:p w14:paraId="3A904A11" w14:textId="77777777" w:rsidR="00443B40" w:rsidRDefault="00443B40" w:rsidP="003E7218">
            <w:pPr>
              <w:rPr>
                <w:rFonts w:eastAsia="Times New Roman"/>
                <w:b/>
                <w:bCs/>
              </w:rPr>
            </w:pPr>
            <w:r>
              <w:rPr>
                <w:rFonts w:eastAsia="Times New Roman"/>
              </w:rPr>
              <w:t>0-4</w:t>
            </w:r>
          </w:p>
        </w:tc>
        <w:tc>
          <w:tcPr>
            <w:tcW w:w="1767" w:type="dxa"/>
          </w:tcPr>
          <w:p w14:paraId="4C764AA3" w14:textId="77777777" w:rsidR="00443B40" w:rsidRDefault="00443B40" w:rsidP="003E7218">
            <w:pPr>
              <w:rPr>
                <w:rFonts w:eastAsia="Times New Roman"/>
              </w:rPr>
            </w:pPr>
            <w:r>
              <w:rPr>
                <w:rFonts w:eastAsia="Times New Roman"/>
              </w:rPr>
              <w:t>0</w:t>
            </w:r>
          </w:p>
        </w:tc>
        <w:tc>
          <w:tcPr>
            <w:tcW w:w="2409" w:type="dxa"/>
          </w:tcPr>
          <w:p w14:paraId="711A2E99" w14:textId="77777777" w:rsidR="00443B40" w:rsidRPr="00941EBD" w:rsidRDefault="00443B40" w:rsidP="003E7218">
            <w:pPr>
              <w:rPr>
                <w:rFonts w:eastAsia="Times New Roman"/>
              </w:rPr>
            </w:pPr>
            <w:r>
              <w:rPr>
                <w:rFonts w:eastAsia="Times New Roman"/>
              </w:rPr>
              <w:t>0.2904</w:t>
            </w:r>
          </w:p>
        </w:tc>
        <w:tc>
          <w:tcPr>
            <w:tcW w:w="2127" w:type="dxa"/>
          </w:tcPr>
          <w:p w14:paraId="3B7ABAC7" w14:textId="77777777" w:rsidR="00443B40" w:rsidRPr="005918F4" w:rsidRDefault="00443B40" w:rsidP="003E7218">
            <w:pPr>
              <w:rPr>
                <w:rFonts w:eastAsia="Times New Roman"/>
              </w:rPr>
            </w:pPr>
            <w:r>
              <w:rPr>
                <w:rFonts w:eastAsia="Times New Roman"/>
              </w:rPr>
              <w:t>1.0</w:t>
            </w:r>
          </w:p>
        </w:tc>
        <w:tc>
          <w:tcPr>
            <w:tcW w:w="1984" w:type="dxa"/>
          </w:tcPr>
          <w:p w14:paraId="6E5C27E0" w14:textId="77777777" w:rsidR="00443B40" w:rsidRDefault="00443B40" w:rsidP="003E7218">
            <w:pPr>
              <w:rPr>
                <w:rFonts w:eastAsia="Times New Roman"/>
                <w:b/>
                <w:bCs/>
              </w:rPr>
            </w:pPr>
            <w:r w:rsidRPr="005918F4">
              <w:rPr>
                <w:rFonts w:eastAsia="Times New Roman"/>
              </w:rPr>
              <w:t>0.003</w:t>
            </w:r>
          </w:p>
        </w:tc>
      </w:tr>
      <w:tr w:rsidR="00443B40" w14:paraId="199AAE03" w14:textId="77777777" w:rsidTr="00443B40">
        <w:tc>
          <w:tcPr>
            <w:tcW w:w="922" w:type="dxa"/>
          </w:tcPr>
          <w:p w14:paraId="2BCD961E" w14:textId="77777777" w:rsidR="00443B40" w:rsidRDefault="00443B40" w:rsidP="003E7218">
            <w:pPr>
              <w:rPr>
                <w:rFonts w:eastAsia="Times New Roman"/>
                <w:b/>
                <w:bCs/>
              </w:rPr>
            </w:pPr>
            <w:r>
              <w:rPr>
                <w:rFonts w:eastAsia="Times New Roman"/>
              </w:rPr>
              <w:t>5-9</w:t>
            </w:r>
          </w:p>
        </w:tc>
        <w:tc>
          <w:tcPr>
            <w:tcW w:w="1767" w:type="dxa"/>
          </w:tcPr>
          <w:p w14:paraId="0904D5EB" w14:textId="77777777" w:rsidR="00443B40" w:rsidRDefault="00443B40" w:rsidP="003E7218">
            <w:pPr>
              <w:rPr>
                <w:rFonts w:eastAsia="Times New Roman"/>
              </w:rPr>
            </w:pPr>
            <w:r>
              <w:rPr>
                <w:rFonts w:eastAsia="Times New Roman"/>
              </w:rPr>
              <w:t>0</w:t>
            </w:r>
          </w:p>
        </w:tc>
        <w:tc>
          <w:tcPr>
            <w:tcW w:w="2409" w:type="dxa"/>
          </w:tcPr>
          <w:p w14:paraId="198F43C2" w14:textId="77777777" w:rsidR="00443B40" w:rsidRPr="00043ACD" w:rsidRDefault="00443B40" w:rsidP="003E7218">
            <w:pPr>
              <w:rPr>
                <w:rFonts w:eastAsia="Times New Roman"/>
              </w:rPr>
            </w:pPr>
            <w:r>
              <w:rPr>
                <w:rFonts w:eastAsia="Times New Roman"/>
              </w:rPr>
              <w:t>0.2904</w:t>
            </w:r>
          </w:p>
        </w:tc>
        <w:tc>
          <w:tcPr>
            <w:tcW w:w="2127" w:type="dxa"/>
          </w:tcPr>
          <w:p w14:paraId="0088A311" w14:textId="77777777" w:rsidR="00443B40" w:rsidRPr="005918F4" w:rsidRDefault="00443B40" w:rsidP="003E7218">
            <w:pPr>
              <w:rPr>
                <w:rFonts w:eastAsia="Times New Roman"/>
              </w:rPr>
            </w:pPr>
            <w:r>
              <w:rPr>
                <w:rFonts w:eastAsia="Times New Roman"/>
              </w:rPr>
              <w:t>1.0</w:t>
            </w:r>
          </w:p>
        </w:tc>
        <w:tc>
          <w:tcPr>
            <w:tcW w:w="1984" w:type="dxa"/>
          </w:tcPr>
          <w:p w14:paraId="14E468F1" w14:textId="77777777" w:rsidR="00443B40" w:rsidRDefault="00443B40" w:rsidP="003E7218">
            <w:pPr>
              <w:rPr>
                <w:rFonts w:eastAsia="Times New Roman"/>
                <w:b/>
                <w:bCs/>
              </w:rPr>
            </w:pPr>
            <w:r w:rsidRPr="005918F4">
              <w:rPr>
                <w:rFonts w:eastAsia="Times New Roman"/>
              </w:rPr>
              <w:t>0.001</w:t>
            </w:r>
          </w:p>
        </w:tc>
      </w:tr>
      <w:tr w:rsidR="00443B40" w14:paraId="1CD40A1F" w14:textId="77777777" w:rsidTr="00443B40">
        <w:tc>
          <w:tcPr>
            <w:tcW w:w="922" w:type="dxa"/>
          </w:tcPr>
          <w:p w14:paraId="5E125A81" w14:textId="77777777" w:rsidR="00443B40" w:rsidRDefault="00443B40" w:rsidP="003E7218">
            <w:pPr>
              <w:rPr>
                <w:rFonts w:eastAsia="Times New Roman"/>
                <w:b/>
                <w:bCs/>
              </w:rPr>
            </w:pPr>
            <w:r>
              <w:rPr>
                <w:rFonts w:eastAsia="Times New Roman"/>
              </w:rPr>
              <w:t>10-14</w:t>
            </w:r>
          </w:p>
        </w:tc>
        <w:tc>
          <w:tcPr>
            <w:tcW w:w="1767" w:type="dxa"/>
          </w:tcPr>
          <w:p w14:paraId="0126EBE9" w14:textId="77777777" w:rsidR="00443B40" w:rsidRDefault="00443B40" w:rsidP="003E7218">
            <w:pPr>
              <w:rPr>
                <w:rFonts w:eastAsia="Times New Roman"/>
              </w:rPr>
            </w:pPr>
            <w:r>
              <w:rPr>
                <w:rFonts w:eastAsia="Times New Roman"/>
              </w:rPr>
              <w:t>0</w:t>
            </w:r>
          </w:p>
        </w:tc>
        <w:tc>
          <w:tcPr>
            <w:tcW w:w="2409" w:type="dxa"/>
          </w:tcPr>
          <w:p w14:paraId="4D34E7C4" w14:textId="77777777" w:rsidR="00443B40" w:rsidRPr="00043ACD" w:rsidRDefault="00443B40" w:rsidP="003E7218">
            <w:pPr>
              <w:rPr>
                <w:rFonts w:eastAsia="Times New Roman"/>
              </w:rPr>
            </w:pPr>
            <w:r>
              <w:rPr>
                <w:rFonts w:eastAsia="Times New Roman"/>
              </w:rPr>
              <w:t>0.2070</w:t>
            </w:r>
          </w:p>
        </w:tc>
        <w:tc>
          <w:tcPr>
            <w:tcW w:w="2127" w:type="dxa"/>
          </w:tcPr>
          <w:p w14:paraId="440C55D7" w14:textId="77777777" w:rsidR="00443B40" w:rsidRDefault="00443B40" w:rsidP="003E7218">
            <w:pPr>
              <w:rPr>
                <w:rFonts w:eastAsia="Times New Roman"/>
              </w:rPr>
            </w:pPr>
            <w:r>
              <w:rPr>
                <w:rFonts w:eastAsia="Times New Roman"/>
              </w:rPr>
              <w:t>0.7</w:t>
            </w:r>
          </w:p>
        </w:tc>
        <w:tc>
          <w:tcPr>
            <w:tcW w:w="1984" w:type="dxa"/>
          </w:tcPr>
          <w:p w14:paraId="2845E7A2" w14:textId="77777777" w:rsidR="00443B40" w:rsidRDefault="00443B40" w:rsidP="003E7218">
            <w:pPr>
              <w:rPr>
                <w:rFonts w:eastAsia="Times New Roman"/>
                <w:b/>
                <w:bCs/>
              </w:rPr>
            </w:pPr>
            <w:r>
              <w:rPr>
                <w:rFonts w:eastAsia="Times New Roman"/>
              </w:rPr>
              <w:t>0.001</w:t>
            </w:r>
          </w:p>
        </w:tc>
      </w:tr>
      <w:tr w:rsidR="00443B40" w14:paraId="3027928B" w14:textId="77777777" w:rsidTr="00443B40">
        <w:tc>
          <w:tcPr>
            <w:tcW w:w="922" w:type="dxa"/>
          </w:tcPr>
          <w:p w14:paraId="0D94F9B1" w14:textId="77777777" w:rsidR="00443B40" w:rsidRDefault="00443B40" w:rsidP="003E7218">
            <w:pPr>
              <w:rPr>
                <w:rFonts w:eastAsia="Times New Roman"/>
              </w:rPr>
            </w:pPr>
            <w:r>
              <w:rPr>
                <w:rFonts w:eastAsia="Times New Roman"/>
              </w:rPr>
              <w:t>15-19</w:t>
            </w:r>
          </w:p>
        </w:tc>
        <w:tc>
          <w:tcPr>
            <w:tcW w:w="1767" w:type="dxa"/>
          </w:tcPr>
          <w:p w14:paraId="273BB825" w14:textId="77777777" w:rsidR="00443B40" w:rsidRDefault="00443B40" w:rsidP="003E7218">
            <w:pPr>
              <w:rPr>
                <w:rFonts w:eastAsia="Times New Roman"/>
              </w:rPr>
            </w:pPr>
            <w:r w:rsidRPr="00954E73">
              <w:rPr>
                <w:rFonts w:eastAsia="Times New Roman"/>
              </w:rPr>
              <w:t>0.3815</w:t>
            </w:r>
          </w:p>
        </w:tc>
        <w:tc>
          <w:tcPr>
            <w:tcW w:w="2409" w:type="dxa"/>
          </w:tcPr>
          <w:p w14:paraId="391429CD" w14:textId="77777777" w:rsidR="00443B40" w:rsidRPr="00043ACD" w:rsidRDefault="00443B40" w:rsidP="003E7218">
            <w:pPr>
              <w:rPr>
                <w:rFonts w:eastAsia="Times New Roman"/>
              </w:rPr>
            </w:pPr>
            <w:r>
              <w:rPr>
                <w:rFonts w:eastAsia="Times New Roman"/>
              </w:rPr>
              <w:t>0.2070</w:t>
            </w:r>
          </w:p>
        </w:tc>
        <w:tc>
          <w:tcPr>
            <w:tcW w:w="2127" w:type="dxa"/>
          </w:tcPr>
          <w:p w14:paraId="392B46D5" w14:textId="77777777" w:rsidR="00443B40" w:rsidRDefault="00443B40" w:rsidP="003E7218">
            <w:pPr>
              <w:rPr>
                <w:rFonts w:eastAsia="Times New Roman"/>
              </w:rPr>
            </w:pPr>
            <w:r>
              <w:rPr>
                <w:rFonts w:eastAsia="Times New Roman"/>
              </w:rPr>
              <w:t>0.7</w:t>
            </w:r>
          </w:p>
        </w:tc>
        <w:tc>
          <w:tcPr>
            <w:tcW w:w="1984" w:type="dxa"/>
          </w:tcPr>
          <w:p w14:paraId="4C493949" w14:textId="77777777" w:rsidR="00443B40" w:rsidRDefault="00443B40" w:rsidP="003E7218">
            <w:pPr>
              <w:rPr>
                <w:rFonts w:eastAsia="Times New Roman"/>
                <w:b/>
                <w:bCs/>
              </w:rPr>
            </w:pPr>
            <w:r>
              <w:rPr>
                <w:rFonts w:eastAsia="Times New Roman"/>
              </w:rPr>
              <w:t>0.003</w:t>
            </w:r>
          </w:p>
        </w:tc>
      </w:tr>
      <w:tr w:rsidR="00443B40" w14:paraId="7DC8C7A2" w14:textId="77777777" w:rsidTr="00443B40">
        <w:tc>
          <w:tcPr>
            <w:tcW w:w="922" w:type="dxa"/>
          </w:tcPr>
          <w:p w14:paraId="792D9CFC" w14:textId="77777777" w:rsidR="00443B40" w:rsidRDefault="00443B40" w:rsidP="003E7218">
            <w:pPr>
              <w:rPr>
                <w:rFonts w:eastAsia="Times New Roman"/>
              </w:rPr>
            </w:pPr>
            <w:r>
              <w:rPr>
                <w:rFonts w:eastAsia="Times New Roman"/>
              </w:rPr>
              <w:t>20-24</w:t>
            </w:r>
          </w:p>
        </w:tc>
        <w:tc>
          <w:tcPr>
            <w:tcW w:w="1767" w:type="dxa"/>
          </w:tcPr>
          <w:p w14:paraId="65EC5C1E" w14:textId="77777777" w:rsidR="00443B40" w:rsidRDefault="00443B40" w:rsidP="003E7218">
            <w:pPr>
              <w:rPr>
                <w:rFonts w:eastAsia="Times New Roman"/>
              </w:rPr>
            </w:pPr>
            <w:r>
              <w:rPr>
                <w:rFonts w:eastAsia="Times New Roman"/>
              </w:rPr>
              <w:t>0.7860</w:t>
            </w:r>
          </w:p>
        </w:tc>
        <w:tc>
          <w:tcPr>
            <w:tcW w:w="2409" w:type="dxa"/>
          </w:tcPr>
          <w:p w14:paraId="3796CC62" w14:textId="77777777" w:rsidR="00443B40" w:rsidRPr="00043ACD" w:rsidRDefault="00443B40" w:rsidP="003E7218">
            <w:pPr>
              <w:rPr>
                <w:rFonts w:eastAsia="Times New Roman"/>
              </w:rPr>
            </w:pPr>
            <w:r>
              <w:rPr>
                <w:rFonts w:eastAsia="Times New Roman"/>
              </w:rPr>
              <w:t>0.2676</w:t>
            </w:r>
          </w:p>
        </w:tc>
        <w:tc>
          <w:tcPr>
            <w:tcW w:w="2127" w:type="dxa"/>
          </w:tcPr>
          <w:p w14:paraId="3485BF1E" w14:textId="77777777" w:rsidR="00443B40" w:rsidRDefault="00443B40" w:rsidP="003E7218">
            <w:pPr>
              <w:rPr>
                <w:rFonts w:eastAsia="Times New Roman"/>
              </w:rPr>
            </w:pPr>
            <w:r>
              <w:rPr>
                <w:rFonts w:eastAsia="Times New Roman"/>
              </w:rPr>
              <w:t>1.5</w:t>
            </w:r>
          </w:p>
        </w:tc>
        <w:tc>
          <w:tcPr>
            <w:tcW w:w="1984" w:type="dxa"/>
          </w:tcPr>
          <w:p w14:paraId="0A01AFFA" w14:textId="77777777" w:rsidR="00443B40" w:rsidRDefault="00443B40" w:rsidP="003E7218">
            <w:pPr>
              <w:rPr>
                <w:rFonts w:eastAsia="Times New Roman"/>
                <w:b/>
                <w:bCs/>
              </w:rPr>
            </w:pPr>
            <w:r>
              <w:rPr>
                <w:rFonts w:eastAsia="Times New Roman"/>
              </w:rPr>
              <w:t>0.006</w:t>
            </w:r>
          </w:p>
        </w:tc>
      </w:tr>
      <w:tr w:rsidR="00443B40" w14:paraId="5B246A53" w14:textId="77777777" w:rsidTr="00443B40">
        <w:tc>
          <w:tcPr>
            <w:tcW w:w="922" w:type="dxa"/>
          </w:tcPr>
          <w:p w14:paraId="1A9F8C70" w14:textId="77777777" w:rsidR="00443B40" w:rsidRDefault="00443B40" w:rsidP="003E7218">
            <w:pPr>
              <w:rPr>
                <w:rFonts w:eastAsia="Times New Roman"/>
              </w:rPr>
            </w:pPr>
            <w:r>
              <w:rPr>
                <w:rFonts w:eastAsia="Times New Roman"/>
              </w:rPr>
              <w:t>25-29</w:t>
            </w:r>
          </w:p>
        </w:tc>
        <w:tc>
          <w:tcPr>
            <w:tcW w:w="1767" w:type="dxa"/>
          </w:tcPr>
          <w:p w14:paraId="75DB5E74" w14:textId="77777777" w:rsidR="00443B40" w:rsidRDefault="00443B40" w:rsidP="003E7218">
            <w:pPr>
              <w:rPr>
                <w:rFonts w:eastAsia="Times New Roman"/>
              </w:rPr>
            </w:pPr>
            <w:r>
              <w:rPr>
                <w:rFonts w:eastAsia="Times New Roman"/>
              </w:rPr>
              <w:t>0.7860</w:t>
            </w:r>
          </w:p>
        </w:tc>
        <w:tc>
          <w:tcPr>
            <w:tcW w:w="2409" w:type="dxa"/>
          </w:tcPr>
          <w:p w14:paraId="7BC38A10" w14:textId="77777777" w:rsidR="00443B40" w:rsidRPr="00043ACD" w:rsidRDefault="00443B40" w:rsidP="003E7218">
            <w:pPr>
              <w:rPr>
                <w:rFonts w:eastAsia="Times New Roman"/>
              </w:rPr>
            </w:pPr>
            <w:r>
              <w:rPr>
                <w:rFonts w:eastAsia="Times New Roman"/>
              </w:rPr>
              <w:t>0.2676</w:t>
            </w:r>
          </w:p>
        </w:tc>
        <w:tc>
          <w:tcPr>
            <w:tcW w:w="2127" w:type="dxa"/>
          </w:tcPr>
          <w:p w14:paraId="3804D545" w14:textId="77777777" w:rsidR="00443B40" w:rsidRDefault="00443B40" w:rsidP="003E7218">
            <w:pPr>
              <w:rPr>
                <w:rFonts w:eastAsia="Times New Roman"/>
              </w:rPr>
            </w:pPr>
            <w:r>
              <w:rPr>
                <w:rFonts w:eastAsia="Times New Roman"/>
              </w:rPr>
              <w:t>1.5</w:t>
            </w:r>
          </w:p>
        </w:tc>
        <w:tc>
          <w:tcPr>
            <w:tcW w:w="1984" w:type="dxa"/>
          </w:tcPr>
          <w:p w14:paraId="2C768DA3" w14:textId="77777777" w:rsidR="00443B40" w:rsidRDefault="00443B40" w:rsidP="003E7218">
            <w:pPr>
              <w:rPr>
                <w:rFonts w:eastAsia="Times New Roman"/>
                <w:b/>
                <w:bCs/>
              </w:rPr>
            </w:pPr>
            <w:r>
              <w:rPr>
                <w:rFonts w:eastAsia="Times New Roman"/>
              </w:rPr>
              <w:t>0.013</w:t>
            </w:r>
          </w:p>
        </w:tc>
      </w:tr>
      <w:tr w:rsidR="00443B40" w14:paraId="54B11CDA" w14:textId="77777777" w:rsidTr="00443B40">
        <w:tc>
          <w:tcPr>
            <w:tcW w:w="922" w:type="dxa"/>
          </w:tcPr>
          <w:p w14:paraId="1F0FD044" w14:textId="77777777" w:rsidR="00443B40" w:rsidRDefault="00443B40" w:rsidP="003E7218">
            <w:pPr>
              <w:rPr>
                <w:rFonts w:eastAsia="Times New Roman"/>
              </w:rPr>
            </w:pPr>
            <w:r>
              <w:rPr>
                <w:rFonts w:eastAsia="Times New Roman"/>
              </w:rPr>
              <w:t>30-34</w:t>
            </w:r>
          </w:p>
        </w:tc>
        <w:tc>
          <w:tcPr>
            <w:tcW w:w="1767" w:type="dxa"/>
          </w:tcPr>
          <w:p w14:paraId="3CB57993" w14:textId="77777777" w:rsidR="00443B40" w:rsidRDefault="00443B40" w:rsidP="003E7218">
            <w:pPr>
              <w:rPr>
                <w:rFonts w:eastAsia="Times New Roman"/>
              </w:rPr>
            </w:pPr>
            <w:r>
              <w:rPr>
                <w:rFonts w:eastAsia="Times New Roman"/>
              </w:rPr>
              <w:t>0.8586</w:t>
            </w:r>
          </w:p>
        </w:tc>
        <w:tc>
          <w:tcPr>
            <w:tcW w:w="2409" w:type="dxa"/>
          </w:tcPr>
          <w:p w14:paraId="1905D113" w14:textId="77777777" w:rsidR="00443B40" w:rsidRPr="00043ACD" w:rsidRDefault="00443B40" w:rsidP="003E7218">
            <w:pPr>
              <w:rPr>
                <w:rFonts w:eastAsia="Times New Roman"/>
              </w:rPr>
            </w:pPr>
            <w:r>
              <w:rPr>
                <w:rFonts w:eastAsia="Times New Roman"/>
              </w:rPr>
              <w:t>0.3284</w:t>
            </w:r>
          </w:p>
        </w:tc>
        <w:tc>
          <w:tcPr>
            <w:tcW w:w="2127" w:type="dxa"/>
          </w:tcPr>
          <w:p w14:paraId="1FDCFF1A" w14:textId="77777777" w:rsidR="00443B40" w:rsidRDefault="00443B40" w:rsidP="003E7218">
            <w:pPr>
              <w:rPr>
                <w:rFonts w:eastAsia="Times New Roman"/>
              </w:rPr>
            </w:pPr>
            <w:r>
              <w:rPr>
                <w:rFonts w:eastAsia="Times New Roman"/>
              </w:rPr>
              <w:t>2.6</w:t>
            </w:r>
          </w:p>
        </w:tc>
        <w:tc>
          <w:tcPr>
            <w:tcW w:w="1984" w:type="dxa"/>
          </w:tcPr>
          <w:p w14:paraId="7C333CD1" w14:textId="77777777" w:rsidR="00443B40" w:rsidRDefault="00443B40" w:rsidP="003E7218">
            <w:pPr>
              <w:rPr>
                <w:rFonts w:eastAsia="Times New Roman"/>
                <w:b/>
                <w:bCs/>
              </w:rPr>
            </w:pPr>
            <w:r>
              <w:rPr>
                <w:rFonts w:eastAsia="Times New Roman"/>
              </w:rPr>
              <w:t>0.024</w:t>
            </w:r>
          </w:p>
        </w:tc>
      </w:tr>
      <w:tr w:rsidR="00443B40" w14:paraId="4862D9E1" w14:textId="77777777" w:rsidTr="00443B40">
        <w:tc>
          <w:tcPr>
            <w:tcW w:w="922" w:type="dxa"/>
          </w:tcPr>
          <w:p w14:paraId="29ACCC03" w14:textId="77777777" w:rsidR="00443B40" w:rsidRDefault="00443B40" w:rsidP="003E7218">
            <w:pPr>
              <w:rPr>
                <w:rFonts w:eastAsia="Times New Roman"/>
              </w:rPr>
            </w:pPr>
            <w:r>
              <w:rPr>
                <w:rFonts w:eastAsia="Times New Roman"/>
              </w:rPr>
              <w:t>35-39</w:t>
            </w:r>
          </w:p>
        </w:tc>
        <w:tc>
          <w:tcPr>
            <w:tcW w:w="1767" w:type="dxa"/>
          </w:tcPr>
          <w:p w14:paraId="651B4962" w14:textId="77777777" w:rsidR="00443B40" w:rsidRDefault="00443B40" w:rsidP="003E7218">
            <w:pPr>
              <w:rPr>
                <w:rFonts w:eastAsia="Times New Roman"/>
              </w:rPr>
            </w:pPr>
            <w:r>
              <w:rPr>
                <w:rFonts w:eastAsia="Times New Roman"/>
              </w:rPr>
              <w:t>0.8586</w:t>
            </w:r>
          </w:p>
        </w:tc>
        <w:tc>
          <w:tcPr>
            <w:tcW w:w="2409" w:type="dxa"/>
          </w:tcPr>
          <w:p w14:paraId="62DB1A94" w14:textId="77777777" w:rsidR="00443B40" w:rsidRPr="00043ACD" w:rsidRDefault="00443B40" w:rsidP="003E7218">
            <w:pPr>
              <w:rPr>
                <w:rFonts w:eastAsia="Times New Roman"/>
              </w:rPr>
            </w:pPr>
            <w:r>
              <w:rPr>
                <w:rFonts w:eastAsia="Times New Roman"/>
              </w:rPr>
              <w:t>0.3284</w:t>
            </w:r>
          </w:p>
        </w:tc>
        <w:tc>
          <w:tcPr>
            <w:tcW w:w="2127" w:type="dxa"/>
          </w:tcPr>
          <w:p w14:paraId="715A52E2" w14:textId="77777777" w:rsidR="00443B40" w:rsidRDefault="00443B40" w:rsidP="003E7218">
            <w:pPr>
              <w:rPr>
                <w:rFonts w:eastAsia="Times New Roman"/>
              </w:rPr>
            </w:pPr>
            <w:r>
              <w:rPr>
                <w:rFonts w:eastAsia="Times New Roman"/>
              </w:rPr>
              <w:t>2.6</w:t>
            </w:r>
          </w:p>
        </w:tc>
        <w:tc>
          <w:tcPr>
            <w:tcW w:w="1984" w:type="dxa"/>
          </w:tcPr>
          <w:p w14:paraId="312A8CA8" w14:textId="77777777" w:rsidR="00443B40" w:rsidRDefault="00443B40" w:rsidP="003E7218">
            <w:pPr>
              <w:rPr>
                <w:rFonts w:eastAsia="Times New Roman"/>
                <w:b/>
                <w:bCs/>
              </w:rPr>
            </w:pPr>
            <w:r>
              <w:rPr>
                <w:rFonts w:eastAsia="Times New Roman"/>
              </w:rPr>
              <w:t>0.040</w:t>
            </w:r>
          </w:p>
        </w:tc>
      </w:tr>
      <w:tr w:rsidR="00443B40" w14:paraId="45368BED" w14:textId="77777777" w:rsidTr="00443B40">
        <w:tc>
          <w:tcPr>
            <w:tcW w:w="922" w:type="dxa"/>
          </w:tcPr>
          <w:p w14:paraId="134D6635" w14:textId="77777777" w:rsidR="00443B40" w:rsidRDefault="00443B40" w:rsidP="003E7218">
            <w:pPr>
              <w:rPr>
                <w:rFonts w:eastAsia="Times New Roman"/>
              </w:rPr>
            </w:pPr>
            <w:r>
              <w:rPr>
                <w:rFonts w:eastAsia="Times New Roman"/>
              </w:rPr>
              <w:t>40-44</w:t>
            </w:r>
          </w:p>
        </w:tc>
        <w:tc>
          <w:tcPr>
            <w:tcW w:w="1767" w:type="dxa"/>
          </w:tcPr>
          <w:p w14:paraId="1B56AE16" w14:textId="77777777" w:rsidR="00443B40" w:rsidRPr="00941EBD" w:rsidRDefault="00443B40" w:rsidP="003E7218">
            <w:pPr>
              <w:rPr>
                <w:rFonts w:eastAsia="Times New Roman"/>
              </w:rPr>
            </w:pPr>
            <w:r>
              <w:rPr>
                <w:rFonts w:eastAsia="Times New Roman"/>
              </w:rPr>
              <w:t>0.7981</w:t>
            </w:r>
          </w:p>
        </w:tc>
        <w:tc>
          <w:tcPr>
            <w:tcW w:w="2409" w:type="dxa"/>
          </w:tcPr>
          <w:p w14:paraId="6761499F" w14:textId="77777777" w:rsidR="00443B40" w:rsidRPr="00043ACD" w:rsidRDefault="00443B40" w:rsidP="003E7218">
            <w:pPr>
              <w:rPr>
                <w:rFonts w:eastAsia="Times New Roman"/>
              </w:rPr>
            </w:pPr>
            <w:r w:rsidRPr="00941EBD">
              <w:rPr>
                <w:rFonts w:eastAsia="Times New Roman"/>
              </w:rPr>
              <w:t>0.3979</w:t>
            </w:r>
          </w:p>
        </w:tc>
        <w:tc>
          <w:tcPr>
            <w:tcW w:w="2127" w:type="dxa"/>
          </w:tcPr>
          <w:p w14:paraId="622664AE" w14:textId="77777777" w:rsidR="00443B40" w:rsidRDefault="00443B40" w:rsidP="003E7218">
            <w:pPr>
              <w:rPr>
                <w:rFonts w:eastAsia="Times New Roman"/>
              </w:rPr>
            </w:pPr>
            <w:r>
              <w:rPr>
                <w:rFonts w:eastAsia="Times New Roman"/>
              </w:rPr>
              <w:t>3.4</w:t>
            </w:r>
          </w:p>
        </w:tc>
        <w:tc>
          <w:tcPr>
            <w:tcW w:w="1984" w:type="dxa"/>
          </w:tcPr>
          <w:p w14:paraId="75F14D7C" w14:textId="77777777" w:rsidR="00443B40" w:rsidRDefault="00443B40" w:rsidP="003E7218">
            <w:pPr>
              <w:rPr>
                <w:rFonts w:eastAsia="Times New Roman"/>
                <w:b/>
                <w:bCs/>
              </w:rPr>
            </w:pPr>
            <w:r>
              <w:rPr>
                <w:rFonts w:eastAsia="Times New Roman"/>
              </w:rPr>
              <w:t>0.075</w:t>
            </w:r>
          </w:p>
        </w:tc>
      </w:tr>
      <w:tr w:rsidR="00443B40" w14:paraId="29B5F83E" w14:textId="77777777" w:rsidTr="00443B40">
        <w:tc>
          <w:tcPr>
            <w:tcW w:w="922" w:type="dxa"/>
          </w:tcPr>
          <w:p w14:paraId="58A2E2EE" w14:textId="77777777" w:rsidR="00443B40" w:rsidRDefault="00443B40" w:rsidP="003E7218">
            <w:pPr>
              <w:rPr>
                <w:rFonts w:eastAsia="Times New Roman"/>
              </w:rPr>
            </w:pPr>
            <w:r>
              <w:rPr>
                <w:rFonts w:eastAsia="Times New Roman"/>
              </w:rPr>
              <w:t>45-49</w:t>
            </w:r>
          </w:p>
        </w:tc>
        <w:tc>
          <w:tcPr>
            <w:tcW w:w="1767" w:type="dxa"/>
          </w:tcPr>
          <w:p w14:paraId="7BE8AA83" w14:textId="77777777" w:rsidR="00443B40" w:rsidRPr="00941EBD" w:rsidRDefault="00443B40" w:rsidP="003E7218">
            <w:pPr>
              <w:rPr>
                <w:rFonts w:eastAsia="Times New Roman"/>
              </w:rPr>
            </w:pPr>
            <w:r>
              <w:rPr>
                <w:rFonts w:eastAsia="Times New Roman"/>
              </w:rPr>
              <w:t>0.7981</w:t>
            </w:r>
          </w:p>
        </w:tc>
        <w:tc>
          <w:tcPr>
            <w:tcW w:w="2409" w:type="dxa"/>
          </w:tcPr>
          <w:p w14:paraId="27E24C91" w14:textId="77777777" w:rsidR="00443B40" w:rsidRPr="00043ACD" w:rsidRDefault="00443B40" w:rsidP="003E7218">
            <w:pPr>
              <w:rPr>
                <w:rFonts w:eastAsia="Times New Roman"/>
              </w:rPr>
            </w:pPr>
            <w:r w:rsidRPr="00941EBD">
              <w:rPr>
                <w:rFonts w:eastAsia="Times New Roman"/>
              </w:rPr>
              <w:t>0.3979</w:t>
            </w:r>
          </w:p>
        </w:tc>
        <w:tc>
          <w:tcPr>
            <w:tcW w:w="2127" w:type="dxa"/>
          </w:tcPr>
          <w:p w14:paraId="2C756C07" w14:textId="77777777" w:rsidR="00443B40" w:rsidRDefault="00443B40" w:rsidP="003E7218">
            <w:pPr>
              <w:rPr>
                <w:rFonts w:eastAsia="Times New Roman"/>
              </w:rPr>
            </w:pPr>
            <w:r>
              <w:rPr>
                <w:rFonts w:eastAsia="Times New Roman"/>
              </w:rPr>
              <w:t>3.4</w:t>
            </w:r>
          </w:p>
        </w:tc>
        <w:tc>
          <w:tcPr>
            <w:tcW w:w="1984" w:type="dxa"/>
          </w:tcPr>
          <w:p w14:paraId="2FBE1199" w14:textId="77777777" w:rsidR="00443B40" w:rsidRDefault="00443B40" w:rsidP="003E7218">
            <w:pPr>
              <w:rPr>
                <w:rFonts w:eastAsia="Times New Roman"/>
                <w:b/>
                <w:bCs/>
              </w:rPr>
            </w:pPr>
            <w:r>
              <w:rPr>
                <w:rFonts w:eastAsia="Times New Roman"/>
              </w:rPr>
              <w:t>0.121</w:t>
            </w:r>
          </w:p>
        </w:tc>
      </w:tr>
      <w:tr w:rsidR="00443B40" w14:paraId="3EF6D520" w14:textId="77777777" w:rsidTr="00443B40">
        <w:tc>
          <w:tcPr>
            <w:tcW w:w="922" w:type="dxa"/>
          </w:tcPr>
          <w:p w14:paraId="45013E50" w14:textId="77777777" w:rsidR="00443B40" w:rsidRDefault="00443B40" w:rsidP="003E7218">
            <w:pPr>
              <w:rPr>
                <w:rFonts w:eastAsia="Times New Roman"/>
              </w:rPr>
            </w:pPr>
            <w:r>
              <w:rPr>
                <w:rFonts w:eastAsia="Times New Roman"/>
              </w:rPr>
              <w:t>50-54</w:t>
            </w:r>
          </w:p>
        </w:tc>
        <w:tc>
          <w:tcPr>
            <w:tcW w:w="1767" w:type="dxa"/>
          </w:tcPr>
          <w:p w14:paraId="5BC04A18" w14:textId="77777777" w:rsidR="00443B40" w:rsidRPr="00941EBD" w:rsidRDefault="00443B40" w:rsidP="003E7218">
            <w:pPr>
              <w:rPr>
                <w:rFonts w:eastAsia="Times New Roman"/>
              </w:rPr>
            </w:pPr>
            <w:r>
              <w:rPr>
                <w:rFonts w:eastAsia="Times New Roman"/>
              </w:rPr>
              <w:t>0.8167</w:t>
            </w:r>
          </w:p>
        </w:tc>
        <w:tc>
          <w:tcPr>
            <w:tcW w:w="2409" w:type="dxa"/>
          </w:tcPr>
          <w:p w14:paraId="7AE75C0C" w14:textId="77777777" w:rsidR="00443B40" w:rsidRPr="00043ACD" w:rsidRDefault="00443B40" w:rsidP="003E7218">
            <w:pPr>
              <w:rPr>
                <w:rFonts w:eastAsia="Times New Roman"/>
              </w:rPr>
            </w:pPr>
            <w:r w:rsidRPr="00941EBD">
              <w:rPr>
                <w:rFonts w:eastAsia="Times New Roman"/>
              </w:rPr>
              <w:t>0.4863</w:t>
            </w:r>
          </w:p>
        </w:tc>
        <w:tc>
          <w:tcPr>
            <w:tcW w:w="2127" w:type="dxa"/>
          </w:tcPr>
          <w:p w14:paraId="1415E15F" w14:textId="77777777" w:rsidR="00443B40" w:rsidRDefault="00443B40" w:rsidP="003E7218">
            <w:pPr>
              <w:rPr>
                <w:rFonts w:eastAsia="Times New Roman"/>
              </w:rPr>
            </w:pPr>
            <w:r>
              <w:rPr>
                <w:rFonts w:eastAsia="Times New Roman"/>
              </w:rPr>
              <w:t>4.9</w:t>
            </w:r>
          </w:p>
        </w:tc>
        <w:tc>
          <w:tcPr>
            <w:tcW w:w="1984" w:type="dxa"/>
          </w:tcPr>
          <w:p w14:paraId="2673AE6A" w14:textId="77777777" w:rsidR="00443B40" w:rsidRDefault="00443B40" w:rsidP="003E7218">
            <w:pPr>
              <w:rPr>
                <w:rFonts w:eastAsia="Times New Roman"/>
                <w:b/>
                <w:bCs/>
              </w:rPr>
            </w:pPr>
            <w:r>
              <w:rPr>
                <w:rFonts w:eastAsia="Times New Roman"/>
              </w:rPr>
              <w:t>0.207</w:t>
            </w:r>
          </w:p>
        </w:tc>
      </w:tr>
      <w:tr w:rsidR="00443B40" w14:paraId="4C9A15B2" w14:textId="77777777" w:rsidTr="00443B40">
        <w:tc>
          <w:tcPr>
            <w:tcW w:w="922" w:type="dxa"/>
          </w:tcPr>
          <w:p w14:paraId="1E5B0471" w14:textId="77777777" w:rsidR="00443B40" w:rsidRDefault="00443B40" w:rsidP="003E7218">
            <w:pPr>
              <w:rPr>
                <w:rFonts w:eastAsia="Times New Roman"/>
              </w:rPr>
            </w:pPr>
            <w:r>
              <w:rPr>
                <w:rFonts w:eastAsia="Times New Roman"/>
              </w:rPr>
              <w:lastRenderedPageBreak/>
              <w:t>55-59</w:t>
            </w:r>
          </w:p>
        </w:tc>
        <w:tc>
          <w:tcPr>
            <w:tcW w:w="1767" w:type="dxa"/>
          </w:tcPr>
          <w:p w14:paraId="24C63865" w14:textId="77777777" w:rsidR="00443B40" w:rsidRPr="00941EBD" w:rsidRDefault="00443B40" w:rsidP="003E7218">
            <w:pPr>
              <w:rPr>
                <w:rFonts w:eastAsia="Times New Roman"/>
              </w:rPr>
            </w:pPr>
            <w:r>
              <w:rPr>
                <w:rFonts w:eastAsia="Times New Roman"/>
              </w:rPr>
              <w:t>0.8167</w:t>
            </w:r>
          </w:p>
        </w:tc>
        <w:tc>
          <w:tcPr>
            <w:tcW w:w="2409" w:type="dxa"/>
          </w:tcPr>
          <w:p w14:paraId="636E5042" w14:textId="77777777" w:rsidR="00443B40" w:rsidRPr="00043ACD" w:rsidRDefault="00443B40" w:rsidP="003E7218">
            <w:pPr>
              <w:rPr>
                <w:rFonts w:eastAsia="Times New Roman"/>
              </w:rPr>
            </w:pPr>
            <w:r w:rsidRPr="00941EBD">
              <w:rPr>
                <w:rFonts w:eastAsia="Times New Roman"/>
              </w:rPr>
              <w:t>0.4863</w:t>
            </w:r>
          </w:p>
        </w:tc>
        <w:tc>
          <w:tcPr>
            <w:tcW w:w="2127" w:type="dxa"/>
          </w:tcPr>
          <w:p w14:paraId="07A7BFE4" w14:textId="77777777" w:rsidR="00443B40" w:rsidRDefault="00443B40" w:rsidP="003E7218">
            <w:pPr>
              <w:rPr>
                <w:rFonts w:eastAsia="Times New Roman"/>
              </w:rPr>
            </w:pPr>
            <w:r>
              <w:rPr>
                <w:rFonts w:eastAsia="Times New Roman"/>
              </w:rPr>
              <w:t>4.9</w:t>
            </w:r>
          </w:p>
        </w:tc>
        <w:tc>
          <w:tcPr>
            <w:tcW w:w="1984" w:type="dxa"/>
          </w:tcPr>
          <w:p w14:paraId="497946B3" w14:textId="77777777" w:rsidR="00443B40" w:rsidRDefault="00443B40" w:rsidP="003E7218">
            <w:pPr>
              <w:rPr>
                <w:rFonts w:eastAsia="Times New Roman"/>
                <w:b/>
                <w:bCs/>
              </w:rPr>
            </w:pPr>
            <w:r>
              <w:rPr>
                <w:rFonts w:eastAsia="Times New Roman"/>
              </w:rPr>
              <w:t>0.323</w:t>
            </w:r>
          </w:p>
        </w:tc>
      </w:tr>
      <w:tr w:rsidR="00443B40" w14:paraId="72A827CA" w14:textId="77777777" w:rsidTr="00443B40">
        <w:tc>
          <w:tcPr>
            <w:tcW w:w="922" w:type="dxa"/>
          </w:tcPr>
          <w:p w14:paraId="4E3F313E" w14:textId="77777777" w:rsidR="00443B40" w:rsidRDefault="00443B40" w:rsidP="003E7218">
            <w:pPr>
              <w:rPr>
                <w:rFonts w:eastAsia="Times New Roman"/>
              </w:rPr>
            </w:pPr>
            <w:r>
              <w:rPr>
                <w:rFonts w:eastAsia="Times New Roman"/>
              </w:rPr>
              <w:t>60-64</w:t>
            </w:r>
          </w:p>
        </w:tc>
        <w:tc>
          <w:tcPr>
            <w:tcW w:w="1767" w:type="dxa"/>
          </w:tcPr>
          <w:p w14:paraId="695100B8" w14:textId="77777777" w:rsidR="00443B40" w:rsidRPr="00941EBD" w:rsidRDefault="00443B40" w:rsidP="003E7218">
            <w:pPr>
              <w:rPr>
                <w:rFonts w:eastAsia="Times New Roman"/>
              </w:rPr>
            </w:pPr>
            <w:r>
              <w:rPr>
                <w:rFonts w:eastAsia="Times New Roman"/>
              </w:rPr>
              <w:t>0.8785</w:t>
            </w:r>
          </w:p>
        </w:tc>
        <w:tc>
          <w:tcPr>
            <w:tcW w:w="2409" w:type="dxa"/>
          </w:tcPr>
          <w:p w14:paraId="639593F1" w14:textId="77777777" w:rsidR="00443B40" w:rsidRPr="00043ACD" w:rsidRDefault="00443B40" w:rsidP="003E7218">
            <w:pPr>
              <w:rPr>
                <w:rFonts w:eastAsia="Times New Roman"/>
              </w:rPr>
            </w:pPr>
            <w:r w:rsidRPr="00941EBD">
              <w:rPr>
                <w:rFonts w:eastAsia="Times New Roman"/>
              </w:rPr>
              <w:t>0.630</w:t>
            </w:r>
            <w:r>
              <w:rPr>
                <w:rFonts w:eastAsia="Times New Roman"/>
              </w:rPr>
              <w:t>7</w:t>
            </w:r>
          </w:p>
        </w:tc>
        <w:tc>
          <w:tcPr>
            <w:tcW w:w="2127" w:type="dxa"/>
          </w:tcPr>
          <w:p w14:paraId="1115D3FD" w14:textId="77777777" w:rsidR="00443B40" w:rsidRDefault="00443B40" w:rsidP="003E7218">
            <w:pPr>
              <w:rPr>
                <w:rFonts w:eastAsia="Times New Roman"/>
              </w:rPr>
            </w:pPr>
            <w:r>
              <w:rPr>
                <w:rFonts w:eastAsia="Times New Roman"/>
              </w:rPr>
              <w:t>7.1</w:t>
            </w:r>
          </w:p>
        </w:tc>
        <w:tc>
          <w:tcPr>
            <w:tcW w:w="1984" w:type="dxa"/>
          </w:tcPr>
          <w:p w14:paraId="0D723D59" w14:textId="77777777" w:rsidR="00443B40" w:rsidRDefault="00443B40" w:rsidP="003E7218">
            <w:pPr>
              <w:rPr>
                <w:rFonts w:eastAsia="Times New Roman"/>
                <w:b/>
                <w:bCs/>
              </w:rPr>
            </w:pPr>
            <w:r>
              <w:rPr>
                <w:rFonts w:eastAsia="Times New Roman"/>
              </w:rPr>
              <w:t>0.456</w:t>
            </w:r>
          </w:p>
        </w:tc>
      </w:tr>
      <w:tr w:rsidR="00443B40" w14:paraId="66503098" w14:textId="77777777" w:rsidTr="00443B40">
        <w:tc>
          <w:tcPr>
            <w:tcW w:w="922" w:type="dxa"/>
          </w:tcPr>
          <w:p w14:paraId="380B73E2" w14:textId="77777777" w:rsidR="00443B40" w:rsidRDefault="00443B40" w:rsidP="003E7218">
            <w:pPr>
              <w:rPr>
                <w:rFonts w:eastAsia="Times New Roman"/>
              </w:rPr>
            </w:pPr>
            <w:r>
              <w:rPr>
                <w:rFonts w:eastAsia="Times New Roman"/>
              </w:rPr>
              <w:t>65-69</w:t>
            </w:r>
          </w:p>
        </w:tc>
        <w:tc>
          <w:tcPr>
            <w:tcW w:w="1767" w:type="dxa"/>
          </w:tcPr>
          <w:p w14:paraId="2A69768D" w14:textId="77777777" w:rsidR="00443B40" w:rsidRPr="00941EBD" w:rsidRDefault="00443B40" w:rsidP="003E7218">
            <w:pPr>
              <w:rPr>
                <w:rFonts w:eastAsia="Times New Roman"/>
              </w:rPr>
            </w:pPr>
            <w:r>
              <w:rPr>
                <w:rFonts w:eastAsia="Times New Roman"/>
              </w:rPr>
              <w:t>0.8785</w:t>
            </w:r>
          </w:p>
        </w:tc>
        <w:tc>
          <w:tcPr>
            <w:tcW w:w="2409" w:type="dxa"/>
          </w:tcPr>
          <w:p w14:paraId="2AF5C3B5" w14:textId="77777777" w:rsidR="00443B40" w:rsidRPr="00043ACD" w:rsidRDefault="00443B40" w:rsidP="003E7218">
            <w:pPr>
              <w:rPr>
                <w:rFonts w:eastAsia="Times New Roman"/>
              </w:rPr>
            </w:pPr>
            <w:r w:rsidRPr="00941EBD">
              <w:rPr>
                <w:rFonts w:eastAsia="Times New Roman"/>
              </w:rPr>
              <w:t>0.630</w:t>
            </w:r>
            <w:r>
              <w:rPr>
                <w:rFonts w:eastAsia="Times New Roman"/>
              </w:rPr>
              <w:t>7</w:t>
            </w:r>
          </w:p>
        </w:tc>
        <w:tc>
          <w:tcPr>
            <w:tcW w:w="2127" w:type="dxa"/>
          </w:tcPr>
          <w:p w14:paraId="10A8E79A" w14:textId="77777777" w:rsidR="00443B40" w:rsidRDefault="00443B40" w:rsidP="003E7218">
            <w:pPr>
              <w:rPr>
                <w:rFonts w:eastAsia="Times New Roman"/>
              </w:rPr>
            </w:pPr>
            <w:r>
              <w:rPr>
                <w:rFonts w:eastAsia="Times New Roman"/>
              </w:rPr>
              <w:t>7.1</w:t>
            </w:r>
          </w:p>
        </w:tc>
        <w:tc>
          <w:tcPr>
            <w:tcW w:w="1984" w:type="dxa"/>
          </w:tcPr>
          <w:p w14:paraId="3AC9AF20" w14:textId="77777777" w:rsidR="00443B40" w:rsidRDefault="00443B40" w:rsidP="003E7218">
            <w:pPr>
              <w:rPr>
                <w:rFonts w:eastAsia="Times New Roman"/>
                <w:b/>
                <w:bCs/>
              </w:rPr>
            </w:pPr>
            <w:r>
              <w:rPr>
                <w:rFonts w:eastAsia="Times New Roman"/>
              </w:rPr>
              <w:t>1.075</w:t>
            </w:r>
          </w:p>
        </w:tc>
      </w:tr>
      <w:tr w:rsidR="00443B40" w14:paraId="01039B3F" w14:textId="77777777" w:rsidTr="00443B40">
        <w:tc>
          <w:tcPr>
            <w:tcW w:w="922" w:type="dxa"/>
          </w:tcPr>
          <w:p w14:paraId="2D652C7C" w14:textId="77777777" w:rsidR="00443B40" w:rsidRDefault="00443B40" w:rsidP="003E7218">
            <w:pPr>
              <w:rPr>
                <w:rFonts w:eastAsia="Times New Roman"/>
              </w:rPr>
            </w:pPr>
            <w:r>
              <w:rPr>
                <w:rFonts w:eastAsia="Times New Roman"/>
              </w:rPr>
              <w:t>70-74</w:t>
            </w:r>
          </w:p>
        </w:tc>
        <w:tc>
          <w:tcPr>
            <w:tcW w:w="1767" w:type="dxa"/>
          </w:tcPr>
          <w:p w14:paraId="1D684ECA" w14:textId="77777777" w:rsidR="00443B40" w:rsidRPr="00941EBD" w:rsidRDefault="00443B40" w:rsidP="003E7218">
            <w:pPr>
              <w:rPr>
                <w:rFonts w:eastAsia="Times New Roman"/>
              </w:rPr>
            </w:pPr>
            <w:r>
              <w:rPr>
                <w:rFonts w:eastAsia="Times New Roman"/>
              </w:rPr>
              <w:t>0.7383</w:t>
            </w:r>
          </w:p>
        </w:tc>
        <w:tc>
          <w:tcPr>
            <w:tcW w:w="2409" w:type="dxa"/>
          </w:tcPr>
          <w:p w14:paraId="45A368A2" w14:textId="77777777" w:rsidR="00443B40" w:rsidRPr="00043ACD" w:rsidRDefault="00443B40" w:rsidP="003E7218">
            <w:pPr>
              <w:rPr>
                <w:rFonts w:eastAsia="Times New Roman"/>
              </w:rPr>
            </w:pPr>
            <w:r w:rsidRPr="00941EBD">
              <w:rPr>
                <w:rFonts w:eastAsia="Times New Roman"/>
              </w:rPr>
              <w:t>0.690</w:t>
            </w:r>
            <w:r>
              <w:rPr>
                <w:rFonts w:eastAsia="Times New Roman"/>
              </w:rPr>
              <w:t>7</w:t>
            </w:r>
          </w:p>
        </w:tc>
        <w:tc>
          <w:tcPr>
            <w:tcW w:w="2127" w:type="dxa"/>
          </w:tcPr>
          <w:p w14:paraId="65082DFF" w14:textId="77777777" w:rsidR="00443B40" w:rsidRPr="005918F4" w:rsidRDefault="00443B40" w:rsidP="003E7218">
            <w:pPr>
              <w:rPr>
                <w:rFonts w:eastAsia="Times New Roman"/>
              </w:rPr>
            </w:pPr>
            <w:r>
              <w:rPr>
                <w:rFonts w:eastAsia="Times New Roman"/>
              </w:rPr>
              <w:t>12.5</w:t>
            </w:r>
          </w:p>
        </w:tc>
        <w:tc>
          <w:tcPr>
            <w:tcW w:w="1984" w:type="dxa"/>
          </w:tcPr>
          <w:p w14:paraId="05D96BA7" w14:textId="77777777" w:rsidR="00443B40" w:rsidRDefault="00443B40" w:rsidP="003E7218">
            <w:pPr>
              <w:rPr>
                <w:rFonts w:eastAsia="Times New Roman"/>
                <w:b/>
                <w:bCs/>
              </w:rPr>
            </w:pPr>
            <w:r w:rsidRPr="005918F4">
              <w:rPr>
                <w:rFonts w:eastAsia="Times New Roman"/>
              </w:rPr>
              <w:t>1.674</w:t>
            </w:r>
          </w:p>
        </w:tc>
      </w:tr>
      <w:tr w:rsidR="00443B40" w14:paraId="07482F6F" w14:textId="77777777" w:rsidTr="00443B40">
        <w:tc>
          <w:tcPr>
            <w:tcW w:w="922" w:type="dxa"/>
          </w:tcPr>
          <w:p w14:paraId="02676E7F" w14:textId="77777777" w:rsidR="00443B40" w:rsidRDefault="00443B40" w:rsidP="003E7218">
            <w:pPr>
              <w:rPr>
                <w:rFonts w:eastAsia="Times New Roman"/>
              </w:rPr>
            </w:pPr>
            <w:r>
              <w:rPr>
                <w:rFonts w:eastAsia="Times New Roman"/>
              </w:rPr>
              <w:t>75+</w:t>
            </w:r>
          </w:p>
        </w:tc>
        <w:tc>
          <w:tcPr>
            <w:tcW w:w="1767" w:type="dxa"/>
          </w:tcPr>
          <w:p w14:paraId="5506B0DD" w14:textId="77777777" w:rsidR="00443B40" w:rsidRPr="00941EBD" w:rsidRDefault="00443B40" w:rsidP="003E7218">
            <w:pPr>
              <w:rPr>
                <w:rFonts w:eastAsia="Times New Roman"/>
              </w:rPr>
            </w:pPr>
            <w:r>
              <w:rPr>
                <w:rFonts w:eastAsia="Times New Roman"/>
              </w:rPr>
              <w:t>0.7383</w:t>
            </w:r>
          </w:p>
        </w:tc>
        <w:tc>
          <w:tcPr>
            <w:tcW w:w="2409" w:type="dxa"/>
          </w:tcPr>
          <w:p w14:paraId="7CBBF27F" w14:textId="77777777" w:rsidR="00443B40" w:rsidRPr="00043ACD" w:rsidRDefault="00443B40" w:rsidP="003E7218">
            <w:pPr>
              <w:rPr>
                <w:rFonts w:eastAsia="Times New Roman"/>
              </w:rPr>
            </w:pPr>
            <w:r w:rsidRPr="00941EBD">
              <w:rPr>
                <w:rFonts w:eastAsia="Times New Roman"/>
              </w:rPr>
              <w:t>0.690</w:t>
            </w:r>
            <w:r>
              <w:rPr>
                <w:rFonts w:eastAsia="Times New Roman"/>
              </w:rPr>
              <w:t>7</w:t>
            </w:r>
          </w:p>
        </w:tc>
        <w:tc>
          <w:tcPr>
            <w:tcW w:w="2127" w:type="dxa"/>
          </w:tcPr>
          <w:p w14:paraId="7544AF7E" w14:textId="3AFB9B2A" w:rsidR="00443B40" w:rsidRDefault="00DE0D49" w:rsidP="003E7218">
            <w:pPr>
              <w:rPr>
                <w:rFonts w:eastAsia="Times New Roman"/>
              </w:rPr>
            </w:pPr>
            <w:r>
              <w:rPr>
                <w:rFonts w:eastAsia="Times New Roman"/>
              </w:rPr>
              <w:t>14.6</w:t>
            </w:r>
          </w:p>
        </w:tc>
        <w:tc>
          <w:tcPr>
            <w:tcW w:w="1984" w:type="dxa"/>
          </w:tcPr>
          <w:p w14:paraId="670D60D1" w14:textId="77777777" w:rsidR="00443B40" w:rsidRDefault="00443B40" w:rsidP="003E7218">
            <w:pPr>
              <w:rPr>
                <w:rFonts w:eastAsia="Times New Roman"/>
                <w:b/>
                <w:bCs/>
              </w:rPr>
            </w:pPr>
            <w:r>
              <w:rPr>
                <w:rFonts w:eastAsia="Times New Roman"/>
              </w:rPr>
              <w:t>11.64</w:t>
            </w:r>
          </w:p>
        </w:tc>
      </w:tr>
    </w:tbl>
    <w:p w14:paraId="738A21CE" w14:textId="77777777" w:rsidR="00ED461C" w:rsidRDefault="00ED461C">
      <w:pPr>
        <w:rPr>
          <w:noProof/>
        </w:rPr>
      </w:pPr>
    </w:p>
    <w:p w14:paraId="377BC5D7" w14:textId="215CBA10" w:rsidR="00ED461C" w:rsidRPr="00DA62BB" w:rsidRDefault="00ED461C" w:rsidP="00ED461C">
      <w:pPr>
        <w:pStyle w:val="Caption"/>
        <w:keepNext/>
        <w:rPr>
          <w:i w:val="0"/>
          <w:iCs w:val="0"/>
        </w:rPr>
      </w:pPr>
      <w:r w:rsidRPr="00DA62BB">
        <w:rPr>
          <w:i w:val="0"/>
          <w:iCs w:val="0"/>
        </w:rPr>
        <w:t xml:space="preserve">Supplementary Table </w:t>
      </w:r>
      <w:r w:rsidR="00DA62BB" w:rsidRPr="00DA62BB">
        <w:rPr>
          <w:i w:val="0"/>
          <w:iCs w:val="0"/>
        </w:rPr>
        <w:fldChar w:fldCharType="begin"/>
      </w:r>
      <w:r w:rsidR="00DA62BB" w:rsidRPr="00DA62BB">
        <w:rPr>
          <w:i w:val="0"/>
          <w:iCs w:val="0"/>
        </w:rPr>
        <w:instrText xml:space="preserve"> SEQ Table \* ARABIC </w:instrText>
      </w:r>
      <w:r w:rsidR="00DA62BB" w:rsidRPr="00DA62BB">
        <w:rPr>
          <w:i w:val="0"/>
          <w:iCs w:val="0"/>
        </w:rPr>
        <w:fldChar w:fldCharType="separate"/>
      </w:r>
      <w:r w:rsidRPr="00DA62BB">
        <w:rPr>
          <w:i w:val="0"/>
          <w:iCs w:val="0"/>
          <w:noProof/>
        </w:rPr>
        <w:t>3</w:t>
      </w:r>
      <w:r w:rsidR="00DA62BB" w:rsidRPr="00DA62BB">
        <w:rPr>
          <w:i w:val="0"/>
          <w:iCs w:val="0"/>
          <w:noProof/>
        </w:rPr>
        <w:fldChar w:fldCharType="end"/>
      </w:r>
      <w:r w:rsidRPr="00DA62BB">
        <w:rPr>
          <w:i w:val="0"/>
          <w:iCs w:val="0"/>
        </w:rPr>
        <w:t xml:space="preserve">. </w:t>
      </w:r>
      <w:r w:rsidR="00DA62BB" w:rsidRPr="00DA62BB">
        <w:rPr>
          <w:i w:val="0"/>
          <w:iCs w:val="0"/>
        </w:rPr>
        <w:t>Additional epidemiological parameters</w:t>
      </w:r>
    </w:p>
    <w:tbl>
      <w:tblPr>
        <w:tblStyle w:val="TableGrid"/>
        <w:tblW w:w="0" w:type="auto"/>
        <w:tblLook w:val="04A0" w:firstRow="1" w:lastRow="0" w:firstColumn="1" w:lastColumn="0" w:noHBand="0" w:noVBand="1"/>
      </w:tblPr>
      <w:tblGrid>
        <w:gridCol w:w="2254"/>
        <w:gridCol w:w="2254"/>
        <w:gridCol w:w="2254"/>
        <w:gridCol w:w="2254"/>
      </w:tblGrid>
      <w:tr w:rsidR="00ED461C" w14:paraId="033A3F0B" w14:textId="77777777" w:rsidTr="001E49CE">
        <w:tc>
          <w:tcPr>
            <w:tcW w:w="2254" w:type="dxa"/>
          </w:tcPr>
          <w:p w14:paraId="3F6F91E5" w14:textId="77777777" w:rsidR="00ED461C" w:rsidRPr="00D1368F" w:rsidRDefault="00ED461C" w:rsidP="001E49CE">
            <w:pPr>
              <w:rPr>
                <w:rFonts w:eastAsia="Times New Roman"/>
                <w:b/>
                <w:bCs/>
              </w:rPr>
            </w:pPr>
            <w:r>
              <w:rPr>
                <w:rFonts w:eastAsia="Times New Roman"/>
                <w:b/>
                <w:bCs/>
              </w:rPr>
              <w:t>Parameter</w:t>
            </w:r>
          </w:p>
        </w:tc>
        <w:tc>
          <w:tcPr>
            <w:tcW w:w="2254" w:type="dxa"/>
          </w:tcPr>
          <w:p w14:paraId="363CC48D" w14:textId="77777777" w:rsidR="00ED461C" w:rsidRDefault="00ED461C" w:rsidP="001E49CE">
            <w:pPr>
              <w:rPr>
                <w:rFonts w:eastAsia="Times New Roman"/>
                <w:b/>
                <w:bCs/>
              </w:rPr>
            </w:pPr>
            <w:r>
              <w:rPr>
                <w:rFonts w:eastAsia="Times New Roman"/>
                <w:b/>
                <w:bCs/>
              </w:rPr>
              <w:t>Value</w:t>
            </w:r>
          </w:p>
        </w:tc>
        <w:tc>
          <w:tcPr>
            <w:tcW w:w="2254" w:type="dxa"/>
          </w:tcPr>
          <w:p w14:paraId="544D1E34" w14:textId="77777777" w:rsidR="00ED461C" w:rsidRDefault="00ED461C" w:rsidP="001E49CE">
            <w:pPr>
              <w:rPr>
                <w:rFonts w:eastAsia="Times New Roman"/>
                <w:b/>
                <w:bCs/>
              </w:rPr>
            </w:pPr>
            <w:r>
              <w:rPr>
                <w:rFonts w:eastAsia="Times New Roman"/>
                <w:b/>
                <w:bCs/>
              </w:rPr>
              <w:t>Distribution</w:t>
            </w:r>
          </w:p>
        </w:tc>
        <w:tc>
          <w:tcPr>
            <w:tcW w:w="2254" w:type="dxa"/>
          </w:tcPr>
          <w:p w14:paraId="2D8C8796" w14:textId="77777777" w:rsidR="00ED461C" w:rsidRDefault="00ED461C" w:rsidP="001E49CE">
            <w:pPr>
              <w:rPr>
                <w:rFonts w:eastAsia="Times New Roman"/>
                <w:b/>
                <w:bCs/>
              </w:rPr>
            </w:pPr>
            <w:r>
              <w:rPr>
                <w:rFonts w:eastAsia="Times New Roman"/>
                <w:b/>
                <w:bCs/>
              </w:rPr>
              <w:t>Source</w:t>
            </w:r>
          </w:p>
        </w:tc>
      </w:tr>
      <w:tr w:rsidR="00ED461C" w14:paraId="61BB6458" w14:textId="77777777" w:rsidTr="001E49CE">
        <w:tc>
          <w:tcPr>
            <w:tcW w:w="2254" w:type="dxa"/>
          </w:tcPr>
          <w:p w14:paraId="6C91294A" w14:textId="77777777" w:rsidR="00ED461C" w:rsidRPr="00D1368F" w:rsidRDefault="00ED461C" w:rsidP="001E49CE">
            <w:pPr>
              <w:rPr>
                <w:rFonts w:eastAsia="Times New Roman"/>
              </w:rPr>
            </w:pPr>
            <w:r>
              <w:rPr>
                <w:rFonts w:eastAsia="Times New Roman"/>
              </w:rPr>
              <w:t>Latent period (E to Ip and E to Is; days)</w:t>
            </w:r>
          </w:p>
        </w:tc>
        <w:tc>
          <w:tcPr>
            <w:tcW w:w="2254" w:type="dxa"/>
          </w:tcPr>
          <w:p w14:paraId="17E9E0BE" w14:textId="77777777" w:rsidR="00ED461C" w:rsidRPr="00CF1A56" w:rsidRDefault="00ED461C" w:rsidP="001E49CE">
            <w:pPr>
              <w:rPr>
                <w:rFonts w:eastAsia="Times New Roman"/>
              </w:rPr>
            </w:pPr>
            <w:r>
              <w:rPr>
                <w:rFonts w:eastAsia="Times New Roman"/>
              </w:rPr>
              <w:t>4.0</w:t>
            </w:r>
          </w:p>
        </w:tc>
        <w:tc>
          <w:tcPr>
            <w:tcW w:w="2254" w:type="dxa"/>
          </w:tcPr>
          <w:p w14:paraId="025F8FF3" w14:textId="77777777" w:rsidR="00ED461C" w:rsidRPr="00CF1A56" w:rsidRDefault="00ED461C" w:rsidP="001E49CE">
            <w:pPr>
              <w:rPr>
                <w:rFonts w:eastAsia="Times New Roman"/>
              </w:rPr>
            </w:pPr>
            <w:r>
              <w:rPr>
                <w:rFonts w:eastAsia="Times New Roman"/>
              </w:rPr>
              <w:t>gamma</w:t>
            </w:r>
          </w:p>
        </w:tc>
        <w:tc>
          <w:tcPr>
            <w:tcW w:w="2254" w:type="dxa"/>
          </w:tcPr>
          <w:p w14:paraId="2722163A" w14:textId="77777777" w:rsidR="00ED461C" w:rsidRPr="00CF1A56" w:rsidRDefault="00ED461C" w:rsidP="001E49CE">
            <w:pPr>
              <w:rPr>
                <w:rFonts w:eastAsia="Times New Roman"/>
              </w:rPr>
            </w:pPr>
            <w:r>
              <w:rPr>
                <w:rFonts w:eastAsia="Times New Roman"/>
              </w:rPr>
              <w:t>Davies et al. 2020</w:t>
            </w:r>
          </w:p>
        </w:tc>
      </w:tr>
      <w:tr w:rsidR="00ED461C" w14:paraId="37D58CCD" w14:textId="77777777" w:rsidTr="001E49CE">
        <w:tc>
          <w:tcPr>
            <w:tcW w:w="2254" w:type="dxa"/>
          </w:tcPr>
          <w:p w14:paraId="6D057A6E" w14:textId="77777777" w:rsidR="00ED461C" w:rsidRPr="00D1368F" w:rsidRDefault="00ED461C" w:rsidP="001E49CE">
            <w:pPr>
              <w:rPr>
                <w:rFonts w:eastAsia="Times New Roman"/>
              </w:rPr>
            </w:pPr>
            <w:r>
              <w:rPr>
                <w:rFonts w:eastAsia="Times New Roman"/>
              </w:rPr>
              <w:t xml:space="preserve">Duration of preclinical infectiousness (Ip to </w:t>
            </w:r>
            <w:proofErr w:type="spellStart"/>
            <w:r>
              <w:rPr>
                <w:rFonts w:eastAsia="Times New Roman"/>
              </w:rPr>
              <w:t>Ic</w:t>
            </w:r>
            <w:proofErr w:type="spellEnd"/>
            <w:r>
              <w:rPr>
                <w:rFonts w:eastAsia="Times New Roman"/>
              </w:rPr>
              <w:t>; days)</w:t>
            </w:r>
          </w:p>
        </w:tc>
        <w:tc>
          <w:tcPr>
            <w:tcW w:w="2254" w:type="dxa"/>
          </w:tcPr>
          <w:p w14:paraId="0636AE79" w14:textId="77777777" w:rsidR="00ED461C" w:rsidRPr="00CF1A56" w:rsidRDefault="00ED461C" w:rsidP="001E49CE">
            <w:pPr>
              <w:rPr>
                <w:rFonts w:eastAsia="Times New Roman"/>
              </w:rPr>
            </w:pPr>
            <w:r>
              <w:rPr>
                <w:rFonts w:eastAsia="Times New Roman"/>
              </w:rPr>
              <w:t>1.5</w:t>
            </w:r>
          </w:p>
        </w:tc>
        <w:tc>
          <w:tcPr>
            <w:tcW w:w="2254" w:type="dxa"/>
          </w:tcPr>
          <w:p w14:paraId="7AD009A2" w14:textId="77777777" w:rsidR="00ED461C" w:rsidRPr="00CF1A56" w:rsidRDefault="00ED461C" w:rsidP="001E49CE">
            <w:pPr>
              <w:rPr>
                <w:rFonts w:eastAsia="Times New Roman"/>
              </w:rPr>
            </w:pPr>
            <w:r>
              <w:rPr>
                <w:rFonts w:eastAsia="Times New Roman"/>
              </w:rPr>
              <w:t>gamma</w:t>
            </w:r>
          </w:p>
        </w:tc>
        <w:tc>
          <w:tcPr>
            <w:tcW w:w="2254" w:type="dxa"/>
          </w:tcPr>
          <w:p w14:paraId="1A0E761A" w14:textId="77777777" w:rsidR="00ED461C" w:rsidRPr="00CF1A56" w:rsidRDefault="00ED461C" w:rsidP="001E49CE">
            <w:pPr>
              <w:rPr>
                <w:rFonts w:eastAsia="Times New Roman"/>
              </w:rPr>
            </w:pPr>
            <w:r>
              <w:rPr>
                <w:rFonts w:eastAsia="Times New Roman"/>
              </w:rPr>
              <w:t>Davies et al. 2020</w:t>
            </w:r>
          </w:p>
        </w:tc>
      </w:tr>
      <w:tr w:rsidR="00ED461C" w14:paraId="265CAE2C" w14:textId="77777777" w:rsidTr="001E49CE">
        <w:tc>
          <w:tcPr>
            <w:tcW w:w="2254" w:type="dxa"/>
          </w:tcPr>
          <w:p w14:paraId="168767A5" w14:textId="77777777" w:rsidR="00ED461C" w:rsidRPr="00D1368F" w:rsidRDefault="00ED461C" w:rsidP="001E49CE">
            <w:pPr>
              <w:rPr>
                <w:rFonts w:eastAsia="Times New Roman"/>
              </w:rPr>
            </w:pPr>
            <w:r>
              <w:rPr>
                <w:rFonts w:eastAsia="Times New Roman"/>
              </w:rPr>
              <w:t>Duration of clinical infectiousness (</w:t>
            </w:r>
            <w:proofErr w:type="spellStart"/>
            <w:r>
              <w:rPr>
                <w:rFonts w:eastAsia="Times New Roman"/>
              </w:rPr>
              <w:t>Ic</w:t>
            </w:r>
            <w:proofErr w:type="spellEnd"/>
            <w:r>
              <w:rPr>
                <w:rFonts w:eastAsia="Times New Roman"/>
              </w:rPr>
              <w:t xml:space="preserve"> to R; days)</w:t>
            </w:r>
          </w:p>
        </w:tc>
        <w:tc>
          <w:tcPr>
            <w:tcW w:w="2254" w:type="dxa"/>
          </w:tcPr>
          <w:p w14:paraId="639FF03E" w14:textId="77777777" w:rsidR="00ED461C" w:rsidRPr="00CF1A56" w:rsidRDefault="00ED461C" w:rsidP="001E49CE">
            <w:pPr>
              <w:rPr>
                <w:rFonts w:eastAsia="Times New Roman"/>
              </w:rPr>
            </w:pPr>
            <w:r>
              <w:rPr>
                <w:rFonts w:eastAsia="Times New Roman"/>
              </w:rPr>
              <w:t>3.5</w:t>
            </w:r>
          </w:p>
        </w:tc>
        <w:tc>
          <w:tcPr>
            <w:tcW w:w="2254" w:type="dxa"/>
          </w:tcPr>
          <w:p w14:paraId="09D0696C" w14:textId="77777777" w:rsidR="00ED461C" w:rsidRPr="00CF1A56" w:rsidRDefault="00ED461C" w:rsidP="001E49CE">
            <w:pPr>
              <w:rPr>
                <w:rFonts w:eastAsia="Times New Roman"/>
              </w:rPr>
            </w:pPr>
            <w:r>
              <w:rPr>
                <w:rFonts w:eastAsia="Times New Roman"/>
              </w:rPr>
              <w:t>gamma</w:t>
            </w:r>
          </w:p>
        </w:tc>
        <w:tc>
          <w:tcPr>
            <w:tcW w:w="2254" w:type="dxa"/>
          </w:tcPr>
          <w:p w14:paraId="1B69011E" w14:textId="77777777" w:rsidR="00ED461C" w:rsidRPr="00CF1A56" w:rsidRDefault="00ED461C" w:rsidP="001E49CE">
            <w:pPr>
              <w:rPr>
                <w:rFonts w:eastAsia="Times New Roman"/>
              </w:rPr>
            </w:pPr>
            <w:r>
              <w:rPr>
                <w:rFonts w:eastAsia="Times New Roman"/>
              </w:rPr>
              <w:t>Davies et al. 2020</w:t>
            </w:r>
          </w:p>
        </w:tc>
      </w:tr>
      <w:tr w:rsidR="00ED461C" w14:paraId="69C49B6D" w14:textId="77777777" w:rsidTr="001E49CE">
        <w:tc>
          <w:tcPr>
            <w:tcW w:w="2254" w:type="dxa"/>
          </w:tcPr>
          <w:p w14:paraId="4C929265" w14:textId="77777777" w:rsidR="00ED461C" w:rsidRDefault="00ED461C" w:rsidP="001E49CE">
            <w:pPr>
              <w:rPr>
                <w:rFonts w:eastAsia="Times New Roman"/>
              </w:rPr>
            </w:pPr>
            <w:r>
              <w:rPr>
                <w:rFonts w:eastAsia="Times New Roman"/>
              </w:rPr>
              <w:t>Duration of subclinical infectiousness (Is to R; days)</w:t>
            </w:r>
          </w:p>
        </w:tc>
        <w:tc>
          <w:tcPr>
            <w:tcW w:w="2254" w:type="dxa"/>
          </w:tcPr>
          <w:p w14:paraId="2E070050" w14:textId="77777777" w:rsidR="00ED461C" w:rsidRDefault="00ED461C" w:rsidP="001E49CE">
            <w:pPr>
              <w:rPr>
                <w:rFonts w:eastAsia="Times New Roman"/>
              </w:rPr>
            </w:pPr>
            <w:r>
              <w:rPr>
                <w:rFonts w:eastAsia="Times New Roman"/>
              </w:rPr>
              <w:t>5.0</w:t>
            </w:r>
          </w:p>
        </w:tc>
        <w:tc>
          <w:tcPr>
            <w:tcW w:w="2254" w:type="dxa"/>
          </w:tcPr>
          <w:p w14:paraId="5DA3CBD0" w14:textId="77777777" w:rsidR="00ED461C" w:rsidRDefault="00ED461C" w:rsidP="001E49CE">
            <w:pPr>
              <w:rPr>
                <w:rFonts w:eastAsia="Times New Roman"/>
              </w:rPr>
            </w:pPr>
            <w:r>
              <w:rPr>
                <w:rFonts w:eastAsia="Times New Roman"/>
              </w:rPr>
              <w:t>gamma</w:t>
            </w:r>
          </w:p>
        </w:tc>
        <w:tc>
          <w:tcPr>
            <w:tcW w:w="2254" w:type="dxa"/>
          </w:tcPr>
          <w:p w14:paraId="6FCEC0BA" w14:textId="77777777" w:rsidR="00ED461C" w:rsidRDefault="00ED461C" w:rsidP="001E49CE">
            <w:pPr>
              <w:rPr>
                <w:rFonts w:eastAsia="Times New Roman"/>
              </w:rPr>
            </w:pPr>
            <w:r>
              <w:rPr>
                <w:rFonts w:eastAsia="Times New Roman"/>
              </w:rPr>
              <w:t>Davies et al. 2020</w:t>
            </w:r>
          </w:p>
        </w:tc>
      </w:tr>
      <w:tr w:rsidR="00ED461C" w14:paraId="2BC2F61B" w14:textId="77777777" w:rsidTr="001E49CE">
        <w:tc>
          <w:tcPr>
            <w:tcW w:w="2254" w:type="dxa"/>
          </w:tcPr>
          <w:p w14:paraId="368B882E" w14:textId="77777777" w:rsidR="00ED461C" w:rsidRPr="00D1368F" w:rsidRDefault="00ED461C" w:rsidP="001E49CE">
            <w:pPr>
              <w:rPr>
                <w:rFonts w:eastAsia="Times New Roman"/>
              </w:rPr>
            </w:pPr>
            <w:r>
              <w:rPr>
                <w:rFonts w:eastAsia="Times New Roman"/>
              </w:rPr>
              <w:t>Delay from onset to hospitalisation (days)</w:t>
            </w:r>
          </w:p>
        </w:tc>
        <w:tc>
          <w:tcPr>
            <w:tcW w:w="2254" w:type="dxa"/>
          </w:tcPr>
          <w:p w14:paraId="21F40F8D" w14:textId="77777777" w:rsidR="00ED461C" w:rsidRPr="00D1368F" w:rsidRDefault="00ED461C" w:rsidP="001E49CE">
            <w:pPr>
              <w:rPr>
                <w:rFonts w:eastAsia="Times New Roman"/>
              </w:rPr>
            </w:pPr>
            <w:r>
              <w:rPr>
                <w:rFonts w:eastAsia="Times New Roman"/>
              </w:rPr>
              <w:t>7.0</w:t>
            </w:r>
          </w:p>
        </w:tc>
        <w:tc>
          <w:tcPr>
            <w:tcW w:w="2254" w:type="dxa"/>
          </w:tcPr>
          <w:p w14:paraId="2B054899" w14:textId="77777777" w:rsidR="00ED461C" w:rsidRPr="00CF1A56" w:rsidRDefault="00ED461C" w:rsidP="001E49CE">
            <w:pPr>
              <w:rPr>
                <w:rFonts w:eastAsia="Times New Roman"/>
              </w:rPr>
            </w:pPr>
            <w:r>
              <w:rPr>
                <w:rFonts w:eastAsia="Times New Roman"/>
              </w:rPr>
              <w:t>gamma</w:t>
            </w:r>
          </w:p>
        </w:tc>
        <w:tc>
          <w:tcPr>
            <w:tcW w:w="2254" w:type="dxa"/>
          </w:tcPr>
          <w:p w14:paraId="04BEEE27" w14:textId="77777777" w:rsidR="00ED461C" w:rsidRPr="00CF1A56" w:rsidRDefault="00ED461C" w:rsidP="001E49CE">
            <w:pPr>
              <w:rPr>
                <w:rFonts w:eastAsia="Times New Roman"/>
              </w:rPr>
            </w:pPr>
            <w:r>
              <w:rPr>
                <w:rFonts w:eastAsia="Times New Roman"/>
              </w:rPr>
              <w:t>Davies et al. 2020</w:t>
            </w:r>
          </w:p>
        </w:tc>
      </w:tr>
      <w:tr w:rsidR="00ED461C" w14:paraId="7A01D10E" w14:textId="77777777" w:rsidTr="001E49CE">
        <w:tc>
          <w:tcPr>
            <w:tcW w:w="2254" w:type="dxa"/>
          </w:tcPr>
          <w:p w14:paraId="71683C87" w14:textId="77777777" w:rsidR="00ED461C" w:rsidRPr="00D1368F" w:rsidRDefault="00ED461C" w:rsidP="001E49CE">
            <w:pPr>
              <w:rPr>
                <w:rFonts w:eastAsia="Times New Roman"/>
              </w:rPr>
            </w:pPr>
            <w:r>
              <w:rPr>
                <w:rFonts w:eastAsia="Times New Roman"/>
              </w:rPr>
              <w:t>Duration of hospitalisation in ICU bed (days)</w:t>
            </w:r>
          </w:p>
        </w:tc>
        <w:tc>
          <w:tcPr>
            <w:tcW w:w="2254" w:type="dxa"/>
          </w:tcPr>
          <w:p w14:paraId="46E6F543" w14:textId="77777777" w:rsidR="00ED461C" w:rsidRPr="00D1368F" w:rsidRDefault="00ED461C" w:rsidP="001E49CE">
            <w:pPr>
              <w:rPr>
                <w:rFonts w:eastAsia="Times New Roman"/>
              </w:rPr>
            </w:pPr>
            <w:r>
              <w:rPr>
                <w:rFonts w:eastAsia="Times New Roman"/>
              </w:rPr>
              <w:t>10.0</w:t>
            </w:r>
          </w:p>
        </w:tc>
        <w:tc>
          <w:tcPr>
            <w:tcW w:w="2254" w:type="dxa"/>
          </w:tcPr>
          <w:p w14:paraId="255BECAC" w14:textId="77777777" w:rsidR="00ED461C" w:rsidRPr="00CF1A56" w:rsidRDefault="00ED461C" w:rsidP="001E49CE">
            <w:pPr>
              <w:rPr>
                <w:rFonts w:eastAsia="Times New Roman"/>
              </w:rPr>
            </w:pPr>
            <w:r>
              <w:rPr>
                <w:rFonts w:eastAsia="Times New Roman"/>
              </w:rPr>
              <w:t>gamma</w:t>
            </w:r>
          </w:p>
        </w:tc>
        <w:tc>
          <w:tcPr>
            <w:tcW w:w="2254" w:type="dxa"/>
          </w:tcPr>
          <w:p w14:paraId="52935A73" w14:textId="77777777" w:rsidR="00ED461C" w:rsidRPr="00CF1A56" w:rsidRDefault="00ED461C" w:rsidP="001E49CE">
            <w:pPr>
              <w:rPr>
                <w:rFonts w:eastAsia="Times New Roman"/>
              </w:rPr>
            </w:pPr>
            <w:r>
              <w:rPr>
                <w:rFonts w:eastAsia="Times New Roman"/>
              </w:rPr>
              <w:t>Davies et al. 2020</w:t>
            </w:r>
          </w:p>
        </w:tc>
      </w:tr>
      <w:tr w:rsidR="00ED461C" w14:paraId="0D52B87E" w14:textId="77777777" w:rsidTr="001E49CE">
        <w:tc>
          <w:tcPr>
            <w:tcW w:w="2254" w:type="dxa"/>
          </w:tcPr>
          <w:p w14:paraId="32BDF9C7" w14:textId="77777777" w:rsidR="00ED461C" w:rsidRPr="00D1368F" w:rsidRDefault="00ED461C" w:rsidP="001E49CE">
            <w:pPr>
              <w:rPr>
                <w:rFonts w:eastAsia="Times New Roman"/>
              </w:rPr>
            </w:pPr>
            <w:r>
              <w:rPr>
                <w:rFonts w:eastAsia="Times New Roman"/>
              </w:rPr>
              <w:t>Proportion of cases that require ICU admission</w:t>
            </w:r>
          </w:p>
        </w:tc>
        <w:tc>
          <w:tcPr>
            <w:tcW w:w="2254" w:type="dxa"/>
          </w:tcPr>
          <w:p w14:paraId="3D240C27" w14:textId="77777777" w:rsidR="00ED461C" w:rsidRPr="00CF1A56" w:rsidRDefault="00ED461C" w:rsidP="001E49CE">
            <w:pPr>
              <w:rPr>
                <w:rFonts w:eastAsia="Times New Roman"/>
              </w:rPr>
            </w:pPr>
            <w:r>
              <w:rPr>
                <w:rFonts w:eastAsia="Times New Roman"/>
              </w:rPr>
              <w:t>0.17</w:t>
            </w:r>
          </w:p>
        </w:tc>
        <w:tc>
          <w:tcPr>
            <w:tcW w:w="2254" w:type="dxa"/>
          </w:tcPr>
          <w:p w14:paraId="2AF30B3C" w14:textId="77777777" w:rsidR="00ED461C" w:rsidRPr="00CF1A56" w:rsidRDefault="00ED461C" w:rsidP="001E49CE">
            <w:pPr>
              <w:rPr>
                <w:rFonts w:eastAsia="Times New Roman"/>
              </w:rPr>
            </w:pPr>
            <w:r>
              <w:rPr>
                <w:rFonts w:eastAsia="Times New Roman"/>
              </w:rPr>
              <w:t>fixed</w:t>
            </w:r>
          </w:p>
        </w:tc>
        <w:tc>
          <w:tcPr>
            <w:tcW w:w="2254" w:type="dxa"/>
          </w:tcPr>
          <w:p w14:paraId="4902D92F" w14:textId="77777777" w:rsidR="00ED461C" w:rsidRDefault="00ED461C" w:rsidP="001E49CE">
            <w:pPr>
              <w:rPr>
                <w:rFonts w:eastAsia="Times New Roman"/>
                <w:b/>
                <w:bCs/>
              </w:rPr>
            </w:pPr>
            <w:r>
              <w:rPr>
                <w:rFonts w:eastAsia="Times New Roman"/>
              </w:rPr>
              <w:t xml:space="preserve">Docherty </w:t>
            </w:r>
            <w:r>
              <w:rPr>
                <w:rFonts w:eastAsia="Times New Roman"/>
                <w:i/>
                <w:iCs/>
              </w:rPr>
              <w:t xml:space="preserve">et al. </w:t>
            </w:r>
            <w:r>
              <w:rPr>
                <w:rFonts w:eastAsia="Times New Roman"/>
              </w:rPr>
              <w:t>2020</w:t>
            </w:r>
          </w:p>
        </w:tc>
      </w:tr>
      <w:tr w:rsidR="00ED461C" w14:paraId="5AF1D349" w14:textId="77777777" w:rsidTr="001E49CE">
        <w:tc>
          <w:tcPr>
            <w:tcW w:w="2254" w:type="dxa"/>
          </w:tcPr>
          <w:p w14:paraId="397C7A23" w14:textId="77777777" w:rsidR="00ED461C" w:rsidRPr="00D1368F" w:rsidRDefault="00ED461C" w:rsidP="001E49CE">
            <w:pPr>
              <w:rPr>
                <w:rFonts w:eastAsia="Times New Roman"/>
              </w:rPr>
            </w:pPr>
            <w:r>
              <w:rPr>
                <w:rFonts w:eastAsia="Times New Roman"/>
              </w:rPr>
              <w:t>Delay from onset to death (days)</w:t>
            </w:r>
          </w:p>
        </w:tc>
        <w:tc>
          <w:tcPr>
            <w:tcW w:w="2254" w:type="dxa"/>
          </w:tcPr>
          <w:p w14:paraId="77666BAD" w14:textId="77777777" w:rsidR="00ED461C" w:rsidRPr="00CF1A56" w:rsidRDefault="00ED461C" w:rsidP="001E49CE">
            <w:pPr>
              <w:rPr>
                <w:rFonts w:eastAsia="Times New Roman"/>
              </w:rPr>
            </w:pPr>
            <w:r>
              <w:rPr>
                <w:rFonts w:eastAsia="Times New Roman"/>
              </w:rPr>
              <w:t>22.0</w:t>
            </w:r>
          </w:p>
        </w:tc>
        <w:tc>
          <w:tcPr>
            <w:tcW w:w="2254" w:type="dxa"/>
          </w:tcPr>
          <w:p w14:paraId="2F3DB952" w14:textId="77777777" w:rsidR="00ED461C" w:rsidRPr="00CF1A56" w:rsidRDefault="00ED461C" w:rsidP="001E49CE">
            <w:pPr>
              <w:rPr>
                <w:rFonts w:eastAsia="Times New Roman"/>
              </w:rPr>
            </w:pPr>
            <w:r>
              <w:rPr>
                <w:rFonts w:eastAsia="Times New Roman"/>
              </w:rPr>
              <w:t>gamma</w:t>
            </w:r>
          </w:p>
        </w:tc>
        <w:tc>
          <w:tcPr>
            <w:tcW w:w="2254" w:type="dxa"/>
          </w:tcPr>
          <w:p w14:paraId="6DFB40CC" w14:textId="77777777" w:rsidR="00ED461C" w:rsidRPr="00CF1A56" w:rsidRDefault="00ED461C" w:rsidP="001E49CE">
            <w:pPr>
              <w:rPr>
                <w:rFonts w:eastAsia="Times New Roman"/>
              </w:rPr>
            </w:pPr>
            <w:r>
              <w:rPr>
                <w:rFonts w:eastAsia="Times New Roman"/>
              </w:rPr>
              <w:t>Davies et al. 2020</w:t>
            </w:r>
          </w:p>
        </w:tc>
      </w:tr>
    </w:tbl>
    <w:p w14:paraId="1BA667D6" w14:textId="77777777" w:rsidR="00ED461C" w:rsidRDefault="00ED461C">
      <w:pPr>
        <w:rPr>
          <w:noProof/>
        </w:rPr>
      </w:pPr>
    </w:p>
    <w:p w14:paraId="4B171A1D" w14:textId="50454F79" w:rsidR="006C456D" w:rsidRDefault="006C456D">
      <w:pPr>
        <w:rPr>
          <w:b/>
          <w:bCs/>
          <w:noProof/>
        </w:rPr>
      </w:pPr>
      <w:r>
        <w:rPr>
          <w:b/>
          <w:bCs/>
          <w:noProof/>
        </w:rPr>
        <w:t>Discounting QALYs</w:t>
      </w:r>
    </w:p>
    <w:p w14:paraId="2BB4DBD5" w14:textId="62C0B627" w:rsidR="006C456D" w:rsidRDefault="006C456D" w:rsidP="006C456D">
      <w:pPr>
        <w:pStyle w:val="NormalWeb"/>
        <w:keepNext/>
        <w:spacing w:after="0" w:line="276" w:lineRule="auto"/>
        <w:rPr>
          <w:rFonts w:asciiTheme="minorHAnsi" w:hAnsiTheme="minorHAnsi" w:cstheme="minorHAnsi"/>
          <w:color w:val="000000"/>
          <w:sz w:val="22"/>
          <w:szCs w:val="22"/>
        </w:rPr>
      </w:pPr>
      <w:r w:rsidRPr="00553DBD">
        <w:rPr>
          <w:rFonts w:asciiTheme="minorHAnsi" w:hAnsiTheme="minorHAnsi" w:cstheme="minorHAnsi"/>
          <w:color w:val="000000"/>
          <w:sz w:val="22"/>
          <w:szCs w:val="22"/>
        </w:rPr>
        <w:t>Th</w:t>
      </w:r>
      <w:r w:rsidR="005974FD">
        <w:rPr>
          <w:rFonts w:asciiTheme="minorHAnsi" w:hAnsiTheme="minorHAnsi" w:cstheme="minorHAnsi"/>
          <w:color w:val="000000"/>
          <w:sz w:val="22"/>
          <w:szCs w:val="22"/>
        </w:rPr>
        <w:t xml:space="preserve">e spreadsheet tool developed by Briggs et al. </w:t>
      </w:r>
      <w:r w:rsidRPr="00553DBD">
        <w:rPr>
          <w:rFonts w:asciiTheme="minorHAnsi" w:hAnsiTheme="minorHAnsi" w:cstheme="minorHAnsi"/>
          <w:color w:val="000000"/>
          <w:sz w:val="22"/>
          <w:szCs w:val="22"/>
        </w:rPr>
        <w:t xml:space="preserve">builds on standard life table methods </w:t>
      </w:r>
      <w:r>
        <w:rPr>
          <w:rFonts w:asciiTheme="minorHAnsi" w:hAnsiTheme="minorHAnsi" w:cstheme="minorHAnsi"/>
          <w:color w:val="000000"/>
          <w:sz w:val="22"/>
          <w:szCs w:val="22"/>
        </w:rPr>
        <w:t>and adjusts</w:t>
      </w:r>
      <w:r w:rsidRPr="00553DBD">
        <w:rPr>
          <w:rFonts w:asciiTheme="minorHAnsi" w:hAnsiTheme="minorHAnsi" w:cstheme="minorHAnsi"/>
          <w:color w:val="000000"/>
          <w:sz w:val="22"/>
          <w:szCs w:val="22"/>
        </w:rPr>
        <w:t xml:space="preserve"> for the impact of comorbidities on mortality and quality of life</w:t>
      </w:r>
      <w:r w:rsidR="00AB0417">
        <w:rPr>
          <w:rFonts w:asciiTheme="minorHAnsi" w:hAnsiTheme="minorHAnsi" w:cstheme="minorHAnsi"/>
          <w:color w:val="000000"/>
          <w:sz w:val="22"/>
          <w:szCs w:val="22"/>
        </w:rPr>
        <w:t xml:space="preserve"> </w:t>
      </w:r>
      <w:r w:rsidR="00AB0417">
        <w:rPr>
          <w:rFonts w:asciiTheme="minorHAnsi" w:hAnsiTheme="minorHAnsi" w:cstheme="minorHAnsi"/>
          <w:color w:val="000000"/>
          <w:sz w:val="22"/>
          <w:szCs w:val="22"/>
        </w:rPr>
        <w:fldChar w:fldCharType="begin"/>
      </w:r>
      <w:r w:rsidR="00AB0417">
        <w:rPr>
          <w:rFonts w:asciiTheme="minorHAnsi" w:hAnsiTheme="minorHAnsi" w:cstheme="minorHAnsi"/>
          <w:color w:val="000000"/>
          <w:sz w:val="22"/>
          <w:szCs w:val="22"/>
        </w:rPr>
        <w:instrText xml:space="preserve"> ADDIN ZOTERO_ITEM CSL_CITATION {"citationID":"2WY9kPVj","properties":{"formattedCitation":"(5)","plainCitation":"(5)","noteIndex":0},"citationItems":[{"id":85,"uris":["http://zotero.org/users/8857588/items/AUSJTZI8"],"uri":["http://zotero.org/users/8857588/items/AUSJTZI8"],"itemData":{"id":85,"type":"article-journal","abstract":"Many epidemiological models of the COVID-19 pandemic have focused on preventing deaths. Questions have been raised as to the frailty of those succumbing to the COVID-19 infection. In this paper we employ standard life table methods to illustrate how the potential quality-adjusted life-year (QALY) losses associated with COVID-19 fatalities could be estimated, while adjusting for comorbidities in terms of impact on both mortality and quality of life. Contrary to some suggestions in the media, we find that even relatively elderly patients with high levels of comorbidity can still lose substantial life years and QALYs. The simplicity of the method facilitates straightforward international comparisons as the pandemic evolves. In particular, we compare five different countries and show that differences in the average QALY losses for each COVID-19 fatality is driven mainly by differing age distributions for those dying of the disease.","container-title":"Health Economics","DOI":"10.1002/hec.4208","ISSN":"1099-1050","issue":"3","language":"en","note":"_eprint: https://onlinelibrary.wiley.com/doi/pdf/10.1002/hec.4208","page":"699-707","source":"Wiley Online Library","title":"Estimating (quality-adjusted) life-year losses associated with deaths: With application to COVID-19","title-short":"Estimating (quality-adjusted) life-year losses associated with deaths","volume":"30","author":[{"family":"Briggs","given":"Andrew H."},{"family":"Goldstein","given":"Daniel A."},{"family":"Kirwin","given":"Erin"},{"family":"Meacock","given":"Rachel"},{"family":"Pandya","given":"Ankur"},{"family":"Vanness","given":"David J."},{"family":"Wisløff","given":"Torbjørn"}],"issued":{"date-parts":[["2021"]]}}}],"schema":"https://github.com/citation-style-language/schema/raw/master/csl-citation.json"} </w:instrText>
      </w:r>
      <w:r w:rsidR="00AB0417">
        <w:rPr>
          <w:rFonts w:asciiTheme="minorHAnsi" w:hAnsiTheme="minorHAnsi" w:cstheme="minorHAnsi"/>
          <w:color w:val="000000"/>
          <w:sz w:val="22"/>
          <w:szCs w:val="22"/>
        </w:rPr>
        <w:fldChar w:fldCharType="separate"/>
      </w:r>
      <w:r w:rsidR="00AB0417" w:rsidRPr="00AB0417">
        <w:rPr>
          <w:rFonts w:ascii="Calibri" w:hAnsi="Calibri" w:cs="Calibri"/>
          <w:sz w:val="22"/>
        </w:rPr>
        <w:t>(5)</w:t>
      </w:r>
      <w:r w:rsidR="00AB0417">
        <w:rPr>
          <w:rFonts w:asciiTheme="minorHAnsi" w:hAnsiTheme="minorHAnsi" w:cstheme="minorHAnsi"/>
          <w:color w:val="000000"/>
          <w:sz w:val="22"/>
          <w:szCs w:val="22"/>
        </w:rPr>
        <w:fldChar w:fldCharType="end"/>
      </w:r>
      <w:r w:rsidRPr="00553DBD">
        <w:rPr>
          <w:rFonts w:asciiTheme="minorHAnsi" w:hAnsiTheme="minorHAnsi" w:cstheme="minorHAnsi"/>
          <w:color w:val="000000"/>
          <w:sz w:val="22"/>
          <w:szCs w:val="22"/>
        </w:rPr>
        <w:t xml:space="preserve">. A standardised mortality ratio (SMR) term is applied to the underlying death rate: here assumed to be 2.3 for </w:t>
      </w:r>
      <w:r>
        <w:rPr>
          <w:rFonts w:asciiTheme="minorHAnsi" w:hAnsiTheme="minorHAnsi" w:cstheme="minorHAnsi"/>
          <w:color w:val="000000"/>
          <w:sz w:val="22"/>
          <w:szCs w:val="22"/>
        </w:rPr>
        <w:t>those who are incarcerated</w:t>
      </w:r>
      <w:r w:rsidRPr="00553DBD">
        <w:rPr>
          <w:rFonts w:asciiTheme="minorHAnsi" w:hAnsiTheme="minorHAnsi" w:cstheme="minorHAnsi"/>
          <w:color w:val="000000"/>
          <w:sz w:val="22"/>
          <w:szCs w:val="22"/>
        </w:rPr>
        <w:t xml:space="preserve"> based on the SMR reported for male prisons in Scotland </w:t>
      </w:r>
      <w:r>
        <w:rPr>
          <w:rFonts w:asciiTheme="minorHAnsi" w:hAnsiTheme="minorHAnsi" w:cstheme="minorHAnsi"/>
          <w:color w:val="000000"/>
          <w:sz w:val="22"/>
          <w:szCs w:val="22"/>
        </w:rPr>
        <w:fldChar w:fldCharType="begin"/>
      </w:r>
      <w:r w:rsidR="00AB0417">
        <w:rPr>
          <w:rFonts w:asciiTheme="minorHAnsi" w:hAnsiTheme="minorHAnsi" w:cstheme="minorHAnsi"/>
          <w:color w:val="000000"/>
          <w:sz w:val="22"/>
          <w:szCs w:val="22"/>
        </w:rPr>
        <w:instrText xml:space="preserve"> ADDIN ZOTERO_ITEM CSL_CITATION {"citationID":"2eUsofoq","properties":{"formattedCitation":"(6)","plainCitation":"(6)","noteIndex":0},"citationItems":[{"id":88,"uris":["http://zotero.org/users/8857588/items/BMGE93HT"],"uri":["http://zotero.org/users/8857588/items/BMGE93HT"],"itemData":{"id":88,"type":"article-journal","abstract":"Background: Mortality is known to be extremely high among people who have been imprisoned, but there is limited information about the factors that explain this increased risk. Methods: Standard record linkage methods were used to link Scottish prison records and mortality data for all individuals imprisoned in Scotland for the first time between 1 January 1996 and 31 December 2007. Results: Among 76 627 individuals there were 4414 deaths (3982 in men). When compared with the general population, the age-standardized mortality rate ratio for those imprisoned was 3.3 (95% CI: 3.2, 3.4) for men and 7.6 (6.9, 8.3) for women. Further adjustment for an area measure of deprivation accounted for part but not all of this excess risk [adjusted rate ratio 2.3 (2.2, 2.4) and 5.7 (5.1, 6.2) for men and women, respectively]. Relative risks were highest for drug and alcohol related causes, suicide and homicide and were markedly higher among women than men. Out of prison deaths were most frequent in the first 2 weeks after release from prison. Mortality rates were lower in those with longer total duration in prison and higher in those with multiple short episodes in prison. Conclusion: People who have been imprisoned in Scotland experience substantial excess mortality from a range of causes that is only partly explained by deprivation. The association of increased mortality with multiple periods in prison and the concentration of deaths in the early period after prison release both have implications for policy and practice.","container-title":"European Journal of Public Health","DOI":"10.1093/eurpub/cku252","ISSN":"1101-1262","issue":"5","journalAbbreviation":"European Journal of Public Health","page":"879-885","source":"Silverchair","title":"Understanding extreme mortality among prisoners: a national cohort study in Scotland using data linkage","title-short":"Understanding extreme mortality among prisoners","volume":"25","author":[{"family":"Graham","given":"Lesley"},{"family":"Fischbacher","given":"Colin M."},{"family":"Stockton","given":"Diane"},{"family":"Fraser","given":"Andrew"},{"family":"Fleming","given":"Michael"},{"family":"Greig","given":"Kevin"}],"issued":{"date-parts":[["2015",10,1]]}}}],"schema":"https://github.com/citation-style-language/schema/raw/master/csl-citation.json"} </w:instrText>
      </w:r>
      <w:r>
        <w:rPr>
          <w:rFonts w:asciiTheme="minorHAnsi" w:hAnsiTheme="minorHAnsi" w:cstheme="minorHAnsi"/>
          <w:color w:val="000000"/>
          <w:sz w:val="22"/>
          <w:szCs w:val="22"/>
        </w:rPr>
        <w:fldChar w:fldCharType="separate"/>
      </w:r>
      <w:r w:rsidR="00AB0417" w:rsidRPr="00AB0417">
        <w:rPr>
          <w:rFonts w:ascii="Calibri" w:hAnsi="Calibri" w:cs="Calibri"/>
          <w:sz w:val="22"/>
        </w:rPr>
        <w:t>(6)</w:t>
      </w:r>
      <w:r>
        <w:rPr>
          <w:rFonts w:asciiTheme="minorHAnsi" w:hAnsiTheme="minorHAnsi" w:cstheme="minorHAnsi"/>
          <w:color w:val="000000"/>
          <w:sz w:val="22"/>
          <w:szCs w:val="22"/>
        </w:rPr>
        <w:fldChar w:fldCharType="end"/>
      </w:r>
      <w:r>
        <w:rPr>
          <w:rFonts w:asciiTheme="minorHAnsi" w:hAnsiTheme="minorHAnsi" w:cstheme="minorHAnsi"/>
          <w:color w:val="000000"/>
          <w:sz w:val="22"/>
          <w:szCs w:val="22"/>
        </w:rPr>
        <w:t xml:space="preserve">. </w:t>
      </w:r>
      <w:r w:rsidRPr="00553DBD">
        <w:rPr>
          <w:rFonts w:asciiTheme="minorHAnsi" w:hAnsiTheme="minorHAnsi" w:cstheme="minorHAnsi"/>
          <w:color w:val="000000"/>
          <w:sz w:val="22"/>
          <w:szCs w:val="22"/>
        </w:rPr>
        <w:t>An SMR of 2 was assumed for the staff population</w:t>
      </w:r>
      <w:r>
        <w:rPr>
          <w:rFonts w:asciiTheme="minorHAnsi" w:hAnsiTheme="minorHAnsi" w:cstheme="minorHAnsi"/>
          <w:color w:val="000000"/>
          <w:sz w:val="22"/>
          <w:szCs w:val="22"/>
        </w:rPr>
        <w:t>.</w:t>
      </w:r>
    </w:p>
    <w:p w14:paraId="3266C589" w14:textId="4FF2BF45" w:rsidR="006C456D" w:rsidRPr="006C456D" w:rsidRDefault="006C456D" w:rsidP="006C456D">
      <w:pPr>
        <w:pStyle w:val="NormalWeb"/>
        <w:keepNext/>
        <w:spacing w:after="0" w:line="276" w:lineRule="auto"/>
        <w:rPr>
          <w:rFonts w:asciiTheme="minorHAnsi" w:hAnsiTheme="minorHAnsi" w:cstheme="minorHAnsi"/>
          <w:color w:val="000000"/>
          <w:sz w:val="22"/>
          <w:szCs w:val="22"/>
        </w:rPr>
      </w:pPr>
      <w:r w:rsidRPr="00AA0903">
        <w:rPr>
          <w:rFonts w:asciiTheme="minorHAnsi" w:hAnsiTheme="minorHAnsi" w:cstheme="minorHAnsi"/>
          <w:color w:val="000000"/>
          <w:sz w:val="22"/>
          <w:szCs w:val="22"/>
        </w:rPr>
        <w:t>Quality-adjusted life expectancy was ad</w:t>
      </w:r>
      <w:r>
        <w:rPr>
          <w:rFonts w:asciiTheme="minorHAnsi" w:hAnsiTheme="minorHAnsi" w:cstheme="minorHAnsi"/>
          <w:color w:val="000000"/>
          <w:sz w:val="22"/>
          <w:szCs w:val="22"/>
        </w:rPr>
        <w:t>apted</w:t>
      </w:r>
      <w:r w:rsidRPr="00AA0903">
        <w:rPr>
          <w:rFonts w:asciiTheme="minorHAnsi" w:hAnsiTheme="minorHAnsi" w:cstheme="minorHAnsi"/>
          <w:color w:val="000000"/>
          <w:sz w:val="22"/>
          <w:szCs w:val="22"/>
        </w:rPr>
        <w:t xml:space="preserve"> to account for assumed higher prevalence of comorbidities among those who have died from COVID-19, using a parameter </w:t>
      </w:r>
      <w:proofErr w:type="spellStart"/>
      <w:r w:rsidRPr="00AA0903">
        <w:rPr>
          <w:rFonts w:asciiTheme="minorHAnsi" w:hAnsiTheme="minorHAnsi" w:cstheme="minorHAnsi"/>
          <w:color w:val="000000"/>
          <w:sz w:val="22"/>
          <w:szCs w:val="22"/>
        </w:rPr>
        <w:t>qCM</w:t>
      </w:r>
      <w:proofErr w:type="spellEnd"/>
      <w:r w:rsidRPr="00AA0903">
        <w:rPr>
          <w:rFonts w:asciiTheme="minorHAnsi" w:hAnsiTheme="minorHAnsi" w:cstheme="minorHAnsi"/>
          <w:color w:val="000000"/>
          <w:sz w:val="22"/>
          <w:szCs w:val="22"/>
        </w:rPr>
        <w:t xml:space="preserve">, which refers to the health-related quality of life for a person with a comorbidity associated with increased risk of COVID-19 compared to a person without </w:t>
      </w:r>
      <w:r>
        <w:rPr>
          <w:rFonts w:cstheme="minorHAnsi"/>
          <w:color w:val="000000"/>
        </w:rPr>
        <w:fldChar w:fldCharType="begin"/>
      </w:r>
      <w:r w:rsidR="00AB0417">
        <w:rPr>
          <w:rFonts w:asciiTheme="minorHAnsi" w:hAnsiTheme="minorHAnsi" w:cstheme="minorHAnsi"/>
          <w:color w:val="000000"/>
          <w:sz w:val="22"/>
          <w:szCs w:val="22"/>
        </w:rPr>
        <w:instrText xml:space="preserve"> ADDIN ZOTERO_ITEM CSL_CITATION {"citationID":"6b2PqGto","properties":{"formattedCitation":"(5)","plainCitation":"(5)","noteIndex":0},"citationItems":[{"id":85,"uris":["http://zotero.org/users/8857588/items/AUSJTZI8"],"uri":["http://zotero.org/users/8857588/items/AUSJTZI8"],"itemData":{"id":85,"type":"article-journal","abstract":"Many epidemiological models of the COVID-19 pandemic have focused on preventing deaths. Questions have been raised as to the frailty of those succumbing to the COVID-19 infection. In this paper we employ standard life table methods to illustrate how the potential quality-adjusted life-year (QALY) losses associated with COVID-19 fatalities could be estimated, while adjusting for comorbidities in terms of impact on both mortality and quality of life. Contrary to some suggestions in the media, we find that even relatively elderly patients with high levels of comorbidity can still lose substantial life years and QALYs. The simplicity of the method facilitates straightforward international comparisons as the pandemic evolves. In particular, we compare five different countries and show that differences in the average QALY losses for each COVID-19 fatality is driven mainly by differing age distributions for those dying of the disease.","container-title":"Health Economics","DOI":"10.1002/hec.4208","ISSN":"1099-1050","issue":"3","language":"en","note":"_eprint: https://onlinelibrary.wiley.com/doi/pdf/10.1002/hec.4208","page":"699-707","source":"Wiley Online Library","title":"Estimating (quality-adjusted) life-year losses associated with deaths: With application to COVID-19","title-short":"Estimating (quality-adjusted) life-year losses associated with deaths","volume":"30","author":[{"family":"Briggs","given":"Andrew H."},{"family":"Goldstein","given":"Daniel A."},{"family":"Kirwin","given":"Erin"},{"family":"Meacock","given":"Rachel"},{"family":"Pandya","given":"Ankur"},{"family":"Vanness","given":"David J."},{"family":"Wisløff","given":"Torbjørn"}],"issued":{"date-parts":[["2021"]]}}}],"schema":"https://github.com/citation-style-language/schema/raw/master/csl-citation.json"} </w:instrText>
      </w:r>
      <w:r>
        <w:rPr>
          <w:rFonts w:cstheme="minorHAnsi"/>
          <w:color w:val="000000"/>
        </w:rPr>
        <w:fldChar w:fldCharType="separate"/>
      </w:r>
      <w:r w:rsidR="00AB0417" w:rsidRPr="00AB0417">
        <w:rPr>
          <w:rFonts w:ascii="Calibri" w:hAnsi="Calibri" w:cs="Calibri"/>
          <w:sz w:val="22"/>
        </w:rPr>
        <w:t>(5)</w:t>
      </w:r>
      <w:r>
        <w:rPr>
          <w:rFonts w:cstheme="minorHAnsi"/>
          <w:color w:val="000000"/>
        </w:rPr>
        <w:fldChar w:fldCharType="end"/>
      </w:r>
      <w:r w:rsidRPr="00AA0903">
        <w:rPr>
          <w:rFonts w:asciiTheme="minorHAnsi" w:hAnsiTheme="minorHAnsi" w:cstheme="minorHAnsi"/>
          <w:color w:val="000000"/>
          <w:sz w:val="22"/>
          <w:szCs w:val="22"/>
        </w:rPr>
        <w:t>.</w:t>
      </w:r>
      <w:r>
        <w:rPr>
          <w:rFonts w:asciiTheme="minorHAnsi" w:hAnsiTheme="minorHAnsi" w:cstheme="minorHAnsi"/>
          <w:color w:val="000000"/>
          <w:sz w:val="22"/>
          <w:szCs w:val="22"/>
        </w:rPr>
        <w:t xml:space="preserve"> For example, it has been estimated that those with asthma, heart disease and hypertension have 88%, 82% and 93% of the quality of life of those </w:t>
      </w:r>
      <w:r>
        <w:rPr>
          <w:rFonts w:asciiTheme="minorHAnsi" w:hAnsiTheme="minorHAnsi" w:cstheme="minorHAnsi"/>
          <w:color w:val="000000"/>
          <w:sz w:val="22"/>
          <w:szCs w:val="22"/>
        </w:rPr>
        <w:lastRenderedPageBreak/>
        <w:t xml:space="preserve">without these conditions </w:t>
      </w:r>
      <w:r>
        <w:rPr>
          <w:rFonts w:cstheme="minorHAnsi"/>
          <w:color w:val="000000"/>
        </w:rPr>
        <w:fldChar w:fldCharType="begin"/>
      </w:r>
      <w:r w:rsidR="00AB0417">
        <w:rPr>
          <w:rFonts w:asciiTheme="minorHAnsi" w:hAnsiTheme="minorHAnsi" w:cstheme="minorHAnsi"/>
          <w:color w:val="000000"/>
          <w:sz w:val="22"/>
          <w:szCs w:val="22"/>
        </w:rPr>
        <w:instrText xml:space="preserve"> ADDIN ZOTERO_ITEM CSL_CITATION {"citationID":"OzR4AU4X","properties":{"formattedCitation":"(7)","plainCitation":"(7)","noteIndex":0},"citationItems":[{"id":238,"uris":["http://zotero.org/users/8857588/items/ZM5W39TB"],"uri":["http://zotero.org/users/8857588/items/ZM5W39TB"],"itemData":{"id":238,"type":"article-journal","abstract":"Objective\nQuality-adjusted life expectancy (QALE) is a summary measure that combines mortality and health-related quality of life across different stages of life. The objective of this study was to estimate QALE loss due to five chronic diseases—diabetes mellitus, hypertension, asthma, heart disease, and stroke.\n\nMethods\nHealth-related quality of life scores were from the 1993–2009 Behavioral Risk Factor Surveillance System. Using age-specific deaths from the Compressed Mortality File, this study constructed life tables to calculate losses in life expectancy and QALE due to each of the five diseases from 1993 through 2009 and for 50 US states and the District of Columbia.\n\nResults\nIn 2009, the individual-level QALE loss for diabetic people, compared with nondiabetic people, was 11.1 years; for those with hypertension, 6.3 years; for those with asthma, 7.0 years; for those with heart disease, 10.3 years; and for those with stroke, 12.4 years. At the population level, diabetes, hypertension, asthma, heart disease, and stroke contributed 1.9, 2.2, 0.8, 1.2, and 0.8 years of population QALE loss at age 18 years, respectively.\n\nConclusions\nPersons with each of the five diseases had significantly lower life expectancy and QALE. Because the prevalence of diabetes and hypertension has increased significantly in the United States in the last two decades, the burdens of these two conditions, measured by population QALE losses, had increased 83% and 29% from 1993 to 2009, respectively. Also, by examining changes in population QALE loss at different ages, policymakers can identify age groups most affected by particular diseases and develop the most cost-effective interventions by focusing on these groups.","container-title":"Value in health : the journal of the International Society for Pharmacoeconomics and Outcomes Research","DOI":"10.1016/j.jval.2012.08.2208","ISSN":"1098-3015","issue":"1","journalAbbreviation":"Value Health","note":"PMID: 23337225\nPMCID: PMC4590983","page":"140-147","source":"PubMed Central","title":"The Effects of Diabetes, Hypertension, Asthma, Heart Disease, and Stroke on Quality-Adjusted Life Expectancy","volume":"16","author":[{"family":"Jia","given":"Haomiao"},{"family":"Zack","given":"Matthew M."},{"family":"Thompson","given":"William W."}],"issued":{"date-parts":[["2013"]]}}}],"schema":"https://github.com/citation-style-language/schema/raw/master/csl-citation.json"} </w:instrText>
      </w:r>
      <w:r>
        <w:rPr>
          <w:rFonts w:cstheme="minorHAnsi"/>
          <w:color w:val="000000"/>
        </w:rPr>
        <w:fldChar w:fldCharType="separate"/>
      </w:r>
      <w:r w:rsidR="00AB0417" w:rsidRPr="00AB0417">
        <w:rPr>
          <w:rFonts w:ascii="Calibri" w:hAnsi="Calibri" w:cs="Calibri"/>
          <w:sz w:val="22"/>
        </w:rPr>
        <w:t>(7)</w:t>
      </w:r>
      <w:r>
        <w:rPr>
          <w:rFonts w:cstheme="minorHAnsi"/>
          <w:color w:val="000000"/>
        </w:rPr>
        <w:fldChar w:fldCharType="end"/>
      </w:r>
      <w:r>
        <w:rPr>
          <w:rFonts w:asciiTheme="minorHAnsi" w:hAnsiTheme="minorHAnsi" w:cstheme="minorHAnsi"/>
          <w:color w:val="000000"/>
          <w:sz w:val="22"/>
          <w:szCs w:val="22"/>
        </w:rPr>
        <w:t xml:space="preserve">. </w:t>
      </w:r>
      <w:proofErr w:type="spellStart"/>
      <w:r>
        <w:rPr>
          <w:rFonts w:asciiTheme="minorHAnsi" w:hAnsiTheme="minorHAnsi" w:cstheme="minorHAnsi"/>
          <w:color w:val="000000"/>
          <w:sz w:val="22"/>
          <w:szCs w:val="22"/>
        </w:rPr>
        <w:t>qCM</w:t>
      </w:r>
      <w:proofErr w:type="spellEnd"/>
      <w:r>
        <w:rPr>
          <w:rFonts w:asciiTheme="minorHAnsi" w:hAnsiTheme="minorHAnsi" w:cstheme="minorHAnsi"/>
          <w:color w:val="000000"/>
          <w:sz w:val="22"/>
          <w:szCs w:val="22"/>
        </w:rPr>
        <w:t xml:space="preserve"> was assumed to be 90%, as a conservative estimate for the reduced quality of life of people at increased risk of COVID-19. </w:t>
      </w:r>
    </w:p>
    <w:p w14:paraId="6058F2A4" w14:textId="58983164" w:rsidR="00990100" w:rsidRDefault="00990100" w:rsidP="00DA5DE7">
      <w:pPr>
        <w:shd w:val="clear" w:color="auto" w:fill="FFFFFF"/>
        <w:spacing w:after="0" w:line="480" w:lineRule="auto"/>
        <w:rPr>
          <w:rFonts w:eastAsia="Times New Roman" w:cstheme="minorHAnsi"/>
          <w:i/>
          <w:iCs/>
          <w:color w:val="44546A"/>
          <w:sz w:val="18"/>
          <w:szCs w:val="18"/>
          <w:lang w:eastAsia="en-GB"/>
        </w:rPr>
      </w:pPr>
      <w:r>
        <w:rPr>
          <w:noProof/>
        </w:rPr>
        <w:drawing>
          <wp:inline distT="0" distB="0" distL="0" distR="0" wp14:anchorId="735F47E0" wp14:editId="1DFCA77B">
            <wp:extent cx="5731510" cy="505333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5053330"/>
                    </a:xfrm>
                    <a:prstGeom prst="rect">
                      <a:avLst/>
                    </a:prstGeom>
                    <a:noFill/>
                    <a:ln>
                      <a:noFill/>
                    </a:ln>
                  </pic:spPr>
                </pic:pic>
              </a:graphicData>
            </a:graphic>
          </wp:inline>
        </w:drawing>
      </w:r>
    </w:p>
    <w:p w14:paraId="50547893" w14:textId="329D8736" w:rsidR="00DA5DE7" w:rsidRPr="00406900" w:rsidRDefault="00DA5DE7" w:rsidP="00DA62BB">
      <w:pPr>
        <w:shd w:val="clear" w:color="auto" w:fill="FFFFFF"/>
        <w:spacing w:after="0" w:line="276" w:lineRule="auto"/>
        <w:rPr>
          <w:rFonts w:eastAsia="Times New Roman" w:cstheme="minorHAnsi"/>
          <w:color w:val="44546A"/>
          <w:sz w:val="18"/>
          <w:szCs w:val="18"/>
          <w:lang w:eastAsia="en-GB"/>
        </w:rPr>
      </w:pPr>
      <w:r w:rsidRPr="00406900">
        <w:rPr>
          <w:rFonts w:eastAsia="Times New Roman" w:cstheme="minorHAnsi"/>
          <w:color w:val="44546A"/>
          <w:sz w:val="18"/>
          <w:szCs w:val="18"/>
          <w:lang w:eastAsia="en-GB"/>
        </w:rPr>
        <w:t xml:space="preserve">Supplementary Figure </w:t>
      </w:r>
      <w:r w:rsidRPr="00406900">
        <w:rPr>
          <w:rFonts w:eastAsia="Times New Roman" w:cstheme="minorHAnsi"/>
          <w:color w:val="000000"/>
          <w:sz w:val="18"/>
          <w:szCs w:val="18"/>
          <w:shd w:val="clear" w:color="auto" w:fill="E1E3E6"/>
          <w:lang w:eastAsia="en-GB"/>
        </w:rPr>
        <w:t>1</w:t>
      </w:r>
      <w:r w:rsidRPr="00406900">
        <w:rPr>
          <w:rFonts w:eastAsia="Times New Roman" w:cstheme="minorHAnsi"/>
          <w:color w:val="44546A"/>
          <w:sz w:val="18"/>
          <w:szCs w:val="18"/>
          <w:lang w:eastAsia="en-GB"/>
        </w:rPr>
        <w:t>. Incidence of new clinical cases over time under each vaccination scenario, if vaccination is introduced at the start of an outbreak. </w:t>
      </w:r>
    </w:p>
    <w:p w14:paraId="24090B11" w14:textId="77777777" w:rsidR="00361829" w:rsidRDefault="000D1638" w:rsidP="00361829">
      <w:pPr>
        <w:keepNext/>
        <w:shd w:val="clear" w:color="auto" w:fill="FFFFFF"/>
        <w:spacing w:after="0" w:line="480" w:lineRule="auto"/>
      </w:pPr>
      <w:r>
        <w:rPr>
          <w:noProof/>
        </w:rPr>
        <w:lastRenderedPageBreak/>
        <w:drawing>
          <wp:inline distT="0" distB="0" distL="0" distR="0" wp14:anchorId="0A34EF42" wp14:editId="1EC26FAB">
            <wp:extent cx="5731510" cy="5053330"/>
            <wp:effectExtent l="0" t="0" r="2540" b="0"/>
            <wp:docPr id="3" name="Picture 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diagram&#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5053330"/>
                    </a:xfrm>
                    <a:prstGeom prst="rect">
                      <a:avLst/>
                    </a:prstGeom>
                    <a:noFill/>
                    <a:ln>
                      <a:noFill/>
                    </a:ln>
                  </pic:spPr>
                </pic:pic>
              </a:graphicData>
            </a:graphic>
          </wp:inline>
        </w:drawing>
      </w:r>
    </w:p>
    <w:p w14:paraId="68437C5D" w14:textId="737F9DA2" w:rsidR="0068344E" w:rsidRPr="00361829" w:rsidRDefault="00361829" w:rsidP="00361829">
      <w:pPr>
        <w:pStyle w:val="Caption"/>
        <w:rPr>
          <w:rFonts w:eastAsia="Times New Roman" w:cstheme="minorHAnsi"/>
          <w:i w:val="0"/>
          <w:iCs w:val="0"/>
          <w:color w:val="44546A"/>
          <w:lang w:eastAsia="en-GB"/>
        </w:rPr>
      </w:pPr>
      <w:r>
        <w:rPr>
          <w:i w:val="0"/>
          <w:iCs w:val="0"/>
        </w:rPr>
        <w:t>Supplementary Figure 2</w:t>
      </w:r>
      <w:r w:rsidRPr="00361829">
        <w:rPr>
          <w:i w:val="0"/>
          <w:iCs w:val="0"/>
        </w:rPr>
        <w:t>. Incidence of new clinical cases over time under each vaccination scenario, if vaccination is introduced at the start of an outbreak and administered at a rate of 50 doses per day.</w:t>
      </w:r>
    </w:p>
    <w:p w14:paraId="45201310" w14:textId="650D6CEE" w:rsidR="00B431B7" w:rsidRDefault="00CB1144" w:rsidP="00DA5DE7">
      <w:pPr>
        <w:shd w:val="clear" w:color="auto" w:fill="FFFFFF"/>
        <w:spacing w:after="0" w:line="480" w:lineRule="auto"/>
        <w:rPr>
          <w:rFonts w:eastAsia="Times New Roman" w:cstheme="minorHAnsi"/>
          <w:color w:val="44546A"/>
          <w:sz w:val="18"/>
          <w:szCs w:val="18"/>
          <w:lang w:eastAsia="en-GB"/>
        </w:rPr>
      </w:pPr>
      <w:r>
        <w:rPr>
          <w:noProof/>
        </w:rPr>
        <w:lastRenderedPageBreak/>
        <w:drawing>
          <wp:inline distT="0" distB="0" distL="0" distR="0" wp14:anchorId="06B95104" wp14:editId="2878408B">
            <wp:extent cx="5731510" cy="4629785"/>
            <wp:effectExtent l="0" t="0" r="2540" b="0"/>
            <wp:docPr id="6" name="Picture 6"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shot of a computer&#10;&#10;Description automatically generated with low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4629785"/>
                    </a:xfrm>
                    <a:prstGeom prst="rect">
                      <a:avLst/>
                    </a:prstGeom>
                    <a:noFill/>
                    <a:ln>
                      <a:noFill/>
                    </a:ln>
                  </pic:spPr>
                </pic:pic>
              </a:graphicData>
            </a:graphic>
          </wp:inline>
        </w:drawing>
      </w:r>
    </w:p>
    <w:p w14:paraId="6B431183" w14:textId="4BE69CC1" w:rsidR="00B80B06" w:rsidRPr="00406900" w:rsidRDefault="00B80B06" w:rsidP="00DA62BB">
      <w:pPr>
        <w:shd w:val="clear" w:color="auto" w:fill="FFFFFF"/>
        <w:spacing w:after="0" w:line="276" w:lineRule="auto"/>
        <w:rPr>
          <w:rFonts w:eastAsia="Times New Roman" w:cstheme="minorHAnsi"/>
          <w:color w:val="44546A"/>
          <w:sz w:val="18"/>
          <w:szCs w:val="18"/>
          <w:lang w:eastAsia="en-GB"/>
        </w:rPr>
      </w:pPr>
      <w:r w:rsidRPr="00406900">
        <w:rPr>
          <w:rFonts w:eastAsia="Times New Roman" w:cstheme="minorHAnsi"/>
          <w:color w:val="44546A"/>
          <w:sz w:val="18"/>
          <w:szCs w:val="18"/>
          <w:lang w:eastAsia="en-GB"/>
        </w:rPr>
        <w:t xml:space="preserve">Supplementary Figure </w:t>
      </w:r>
      <w:r w:rsidR="001C4C7D" w:rsidRPr="00406900">
        <w:rPr>
          <w:rFonts w:eastAsia="Times New Roman" w:cstheme="minorHAnsi"/>
          <w:color w:val="44546A"/>
          <w:sz w:val="18"/>
          <w:szCs w:val="18"/>
          <w:lang w:eastAsia="en-GB"/>
        </w:rPr>
        <w:t>3</w:t>
      </w:r>
      <w:r w:rsidR="00406900" w:rsidRPr="00406900">
        <w:rPr>
          <w:rFonts w:eastAsia="Times New Roman" w:cstheme="minorHAnsi"/>
          <w:color w:val="44546A"/>
          <w:sz w:val="18"/>
          <w:szCs w:val="18"/>
          <w:lang w:eastAsia="en-GB"/>
        </w:rPr>
        <w:t xml:space="preserve">. </w:t>
      </w:r>
      <w:r w:rsidR="00133297" w:rsidRPr="00406900">
        <w:rPr>
          <w:rFonts w:eastAsia="Times New Roman" w:cstheme="minorHAnsi"/>
          <w:color w:val="44546A"/>
          <w:sz w:val="18"/>
          <w:szCs w:val="18"/>
          <w:lang w:eastAsia="en-GB"/>
        </w:rPr>
        <w:t xml:space="preserve">Independently varying </w:t>
      </w:r>
      <w:r w:rsidR="008E3FB0" w:rsidRPr="00406900">
        <w:rPr>
          <w:rFonts w:eastAsia="Times New Roman" w:cstheme="minorHAnsi"/>
          <w:color w:val="44546A"/>
          <w:sz w:val="18"/>
          <w:szCs w:val="18"/>
          <w:lang w:eastAsia="en-GB"/>
        </w:rPr>
        <w:t>vaccin</w:t>
      </w:r>
      <w:r w:rsidR="004D65D9" w:rsidRPr="00406900">
        <w:rPr>
          <w:rFonts w:eastAsia="Times New Roman" w:cstheme="minorHAnsi"/>
          <w:color w:val="44546A"/>
          <w:sz w:val="18"/>
          <w:szCs w:val="18"/>
          <w:lang w:eastAsia="en-GB"/>
        </w:rPr>
        <w:t>e uptake between 30% and 90% among staff and individua</w:t>
      </w:r>
      <w:r w:rsidR="00133297" w:rsidRPr="00406900">
        <w:rPr>
          <w:rFonts w:eastAsia="Times New Roman" w:cstheme="minorHAnsi"/>
          <w:color w:val="44546A"/>
          <w:sz w:val="18"/>
          <w:szCs w:val="18"/>
          <w:lang w:eastAsia="en-GB"/>
        </w:rPr>
        <w:t xml:space="preserve">ls who are incarcerated. </w:t>
      </w:r>
    </w:p>
    <w:p w14:paraId="4CC8D9B3" w14:textId="7AC03426" w:rsidR="00DA5DE7" w:rsidRDefault="00CB4E63">
      <w:r>
        <w:rPr>
          <w:noProof/>
        </w:rPr>
        <w:lastRenderedPageBreak/>
        <w:drawing>
          <wp:inline distT="0" distB="0" distL="0" distR="0" wp14:anchorId="366A893F" wp14:editId="3CCD7FCF">
            <wp:extent cx="5731510" cy="3905885"/>
            <wp:effectExtent l="0" t="0" r="2540" b="0"/>
            <wp:docPr id="11" name="Picture 11"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alendar&#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3905885"/>
                    </a:xfrm>
                    <a:prstGeom prst="rect">
                      <a:avLst/>
                    </a:prstGeom>
                    <a:noFill/>
                    <a:ln>
                      <a:noFill/>
                    </a:ln>
                  </pic:spPr>
                </pic:pic>
              </a:graphicData>
            </a:graphic>
          </wp:inline>
        </w:drawing>
      </w:r>
    </w:p>
    <w:p w14:paraId="58A36866" w14:textId="77777777" w:rsidR="00BA674F" w:rsidRPr="00406900" w:rsidRDefault="00766055" w:rsidP="00DA62BB">
      <w:pPr>
        <w:pStyle w:val="Caption"/>
        <w:spacing w:line="276" w:lineRule="auto"/>
        <w:rPr>
          <w:i w:val="0"/>
          <w:iCs w:val="0"/>
        </w:rPr>
      </w:pPr>
      <w:r w:rsidRPr="00406900">
        <w:rPr>
          <w:i w:val="0"/>
          <w:iCs w:val="0"/>
        </w:rPr>
        <w:t xml:space="preserve">Supplementary Figure </w:t>
      </w:r>
      <w:r w:rsidR="001C4C7D" w:rsidRPr="00406900">
        <w:rPr>
          <w:i w:val="0"/>
          <w:iCs w:val="0"/>
        </w:rPr>
        <w:t>4</w:t>
      </w:r>
      <w:r w:rsidRPr="00406900">
        <w:rPr>
          <w:i w:val="0"/>
          <w:iCs w:val="0"/>
        </w:rPr>
        <w:t>. Sensitivity of estimated total QALY loss averted under each vaccination scenario to variation in parameters.</w:t>
      </w:r>
    </w:p>
    <w:p w14:paraId="7556300C" w14:textId="44394062" w:rsidR="00591463" w:rsidRDefault="00B03F4F" w:rsidP="00591463">
      <w:pPr>
        <w:keepNext/>
      </w:pPr>
      <w:r>
        <w:rPr>
          <w:noProof/>
        </w:rPr>
        <w:drawing>
          <wp:inline distT="0" distB="0" distL="0" distR="0" wp14:anchorId="36EBC08E" wp14:editId="74AB8FD3">
            <wp:extent cx="5731510" cy="3712845"/>
            <wp:effectExtent l="0" t="0" r="2540" b="1905"/>
            <wp:docPr id="8" name="Picture 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3712845"/>
                    </a:xfrm>
                    <a:prstGeom prst="rect">
                      <a:avLst/>
                    </a:prstGeom>
                    <a:noFill/>
                    <a:ln>
                      <a:noFill/>
                    </a:ln>
                  </pic:spPr>
                </pic:pic>
              </a:graphicData>
            </a:graphic>
          </wp:inline>
        </w:drawing>
      </w:r>
    </w:p>
    <w:p w14:paraId="76E6D515" w14:textId="72FE10A8" w:rsidR="00BA674F" w:rsidRDefault="00591463" w:rsidP="00591463">
      <w:pPr>
        <w:pStyle w:val="Caption"/>
        <w:rPr>
          <w:i w:val="0"/>
          <w:iCs w:val="0"/>
        </w:rPr>
      </w:pPr>
      <w:r w:rsidRPr="00406900">
        <w:rPr>
          <w:i w:val="0"/>
          <w:iCs w:val="0"/>
        </w:rPr>
        <w:t xml:space="preserve">Supplementary Figure </w:t>
      </w:r>
      <w:r w:rsidR="004C309D">
        <w:rPr>
          <w:i w:val="0"/>
          <w:iCs w:val="0"/>
        </w:rPr>
        <w:t>5</w:t>
      </w:r>
      <w:r w:rsidRPr="00406900">
        <w:rPr>
          <w:i w:val="0"/>
          <w:iCs w:val="0"/>
        </w:rPr>
        <w:t>. Change in cases averted over one year with change in resident turnover, efficacy against disease (2nd dose), duration of vaccine immunity and duration of natural immunity.</w:t>
      </w:r>
    </w:p>
    <w:p w14:paraId="77B95701" w14:textId="2B48D4F7" w:rsidR="00406900" w:rsidRPr="00406900" w:rsidRDefault="00C815C0" w:rsidP="00406900">
      <w:r>
        <w:rPr>
          <w:noProof/>
        </w:rPr>
        <w:lastRenderedPageBreak/>
        <w:drawing>
          <wp:inline distT="0" distB="0" distL="0" distR="0" wp14:anchorId="7C630138" wp14:editId="793D7BD1">
            <wp:extent cx="5731510" cy="1687195"/>
            <wp:effectExtent l="0" t="0" r="2540" b="8255"/>
            <wp:docPr id="7" name="Picture 7"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box and whisker char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1687195"/>
                    </a:xfrm>
                    <a:prstGeom prst="rect">
                      <a:avLst/>
                    </a:prstGeom>
                    <a:noFill/>
                    <a:ln>
                      <a:noFill/>
                    </a:ln>
                  </pic:spPr>
                </pic:pic>
              </a:graphicData>
            </a:graphic>
          </wp:inline>
        </w:drawing>
      </w:r>
    </w:p>
    <w:p w14:paraId="72A2D017" w14:textId="201FA0FE" w:rsidR="00591463" w:rsidRPr="00A165AF" w:rsidRDefault="00591463" w:rsidP="00DA62BB">
      <w:pPr>
        <w:pStyle w:val="Caption"/>
        <w:spacing w:line="276" w:lineRule="auto"/>
      </w:pPr>
      <w:r w:rsidRPr="00406900">
        <w:rPr>
          <w:i w:val="0"/>
          <w:iCs w:val="0"/>
        </w:rPr>
        <w:t xml:space="preserve">Supplementary Figure </w:t>
      </w:r>
      <w:r w:rsidR="004C309D">
        <w:rPr>
          <w:i w:val="0"/>
          <w:iCs w:val="0"/>
        </w:rPr>
        <w:t>6</w:t>
      </w:r>
      <w:r w:rsidRPr="00406900">
        <w:rPr>
          <w:i w:val="0"/>
          <w:iCs w:val="0"/>
        </w:rPr>
        <w:t xml:space="preserve">. Sum of clinical cases over five years when vaccine and natural immunity are assumed not to wane vs. </w:t>
      </w:r>
      <w:r w:rsidR="00DA1433">
        <w:rPr>
          <w:i w:val="0"/>
          <w:iCs w:val="0"/>
        </w:rPr>
        <w:t>waning of natural immunity of 16% over one year and waning of vaccine immunity of 19% over six months.</w:t>
      </w:r>
    </w:p>
    <w:p w14:paraId="6AC715F9" w14:textId="77777777" w:rsidR="00591463" w:rsidRPr="00591463" w:rsidRDefault="00591463" w:rsidP="00591463"/>
    <w:p w14:paraId="6F079064" w14:textId="1FD6E6BC" w:rsidR="00766055" w:rsidRDefault="00E4786D">
      <w:r>
        <w:rPr>
          <w:noProof/>
        </w:rPr>
        <w:drawing>
          <wp:inline distT="0" distB="0" distL="0" distR="0" wp14:anchorId="0F3C0213" wp14:editId="64C0A577">
            <wp:extent cx="5731510" cy="5053330"/>
            <wp:effectExtent l="0" t="0" r="2540" b="0"/>
            <wp:docPr id="4" name="Picture 4"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alendar&#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5053330"/>
                    </a:xfrm>
                    <a:prstGeom prst="rect">
                      <a:avLst/>
                    </a:prstGeom>
                    <a:noFill/>
                    <a:ln>
                      <a:noFill/>
                    </a:ln>
                  </pic:spPr>
                </pic:pic>
              </a:graphicData>
            </a:graphic>
          </wp:inline>
        </w:drawing>
      </w:r>
    </w:p>
    <w:p w14:paraId="3E6B6F41" w14:textId="5CA5DC09" w:rsidR="00517432" w:rsidRDefault="00517432" w:rsidP="00DA62BB">
      <w:pPr>
        <w:pStyle w:val="Caption"/>
        <w:spacing w:line="276" w:lineRule="auto"/>
        <w:rPr>
          <w:i w:val="0"/>
          <w:iCs w:val="0"/>
        </w:rPr>
      </w:pPr>
      <w:r w:rsidRPr="00DA62BB">
        <w:rPr>
          <w:i w:val="0"/>
          <w:iCs w:val="0"/>
        </w:rPr>
        <w:t xml:space="preserve">Supplementary Figure </w:t>
      </w:r>
      <w:r w:rsidR="004C309D">
        <w:rPr>
          <w:i w:val="0"/>
          <w:iCs w:val="0"/>
        </w:rPr>
        <w:t>7</w:t>
      </w:r>
      <w:r w:rsidRPr="00DA62BB">
        <w:rPr>
          <w:i w:val="0"/>
          <w:iCs w:val="0"/>
        </w:rPr>
        <w:t>. Incidence of new clinical cases over five years under each vaccination scenario, including uncertainty captured using probabilistic sensitivity analysis.</w:t>
      </w:r>
    </w:p>
    <w:p w14:paraId="077A3CE7" w14:textId="77777777" w:rsidR="000C5B07" w:rsidRDefault="000C5B07" w:rsidP="000C5B07">
      <w:pPr>
        <w:keepNext/>
      </w:pPr>
      <w:r>
        <w:rPr>
          <w:noProof/>
        </w:rPr>
        <w:lastRenderedPageBreak/>
        <w:drawing>
          <wp:inline distT="0" distB="0" distL="0" distR="0" wp14:anchorId="327C0159" wp14:editId="64F4475D">
            <wp:extent cx="5065597" cy="3724275"/>
            <wp:effectExtent l="0" t="0" r="1905" b="0"/>
            <wp:docPr id="5" name="Picture 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ar char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71363" cy="3728514"/>
                    </a:xfrm>
                    <a:prstGeom prst="rect">
                      <a:avLst/>
                    </a:prstGeom>
                    <a:noFill/>
                    <a:ln>
                      <a:noFill/>
                    </a:ln>
                  </pic:spPr>
                </pic:pic>
              </a:graphicData>
            </a:graphic>
          </wp:inline>
        </w:drawing>
      </w:r>
    </w:p>
    <w:p w14:paraId="1EFB03DE" w14:textId="229564FD" w:rsidR="000C5B07" w:rsidRDefault="000C5B07" w:rsidP="000C5B07">
      <w:pPr>
        <w:pStyle w:val="Caption"/>
        <w:rPr>
          <w:i w:val="0"/>
          <w:iCs w:val="0"/>
        </w:rPr>
      </w:pPr>
      <w:r w:rsidRPr="000C5B07">
        <w:rPr>
          <w:i w:val="0"/>
          <w:iCs w:val="0"/>
        </w:rPr>
        <w:t xml:space="preserve">Supplementary Figure </w:t>
      </w:r>
      <w:r w:rsidR="004C309D">
        <w:rPr>
          <w:i w:val="0"/>
          <w:iCs w:val="0"/>
        </w:rPr>
        <w:t>8</w:t>
      </w:r>
      <w:r w:rsidRPr="000C5B07">
        <w:rPr>
          <w:i w:val="0"/>
          <w:iCs w:val="0"/>
        </w:rPr>
        <w:t>. Cases over one year in an average local male prison, by sub-population, under each of</w:t>
      </w:r>
      <w:r w:rsidR="003B57C0">
        <w:rPr>
          <w:i w:val="0"/>
          <w:iCs w:val="0"/>
        </w:rPr>
        <w:t xml:space="preserve"> </w:t>
      </w:r>
      <w:r w:rsidRPr="000C5B07">
        <w:rPr>
          <w:i w:val="0"/>
          <w:iCs w:val="0"/>
        </w:rPr>
        <w:t>seven vaccination scenarios.</w:t>
      </w:r>
    </w:p>
    <w:p w14:paraId="26D6AEBD" w14:textId="77777777" w:rsidR="005863EC" w:rsidRDefault="005863EC" w:rsidP="005863EC">
      <w:pPr>
        <w:keepNext/>
      </w:pPr>
      <w:r>
        <w:rPr>
          <w:noProof/>
        </w:rPr>
        <w:drawing>
          <wp:inline distT="0" distB="0" distL="0" distR="0" wp14:anchorId="138F2FA3" wp14:editId="418CDDC6">
            <wp:extent cx="5067300" cy="3725527"/>
            <wp:effectExtent l="0" t="0" r="0" b="8890"/>
            <wp:docPr id="9" name="Picture 9"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bar char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76555" cy="3732331"/>
                    </a:xfrm>
                    <a:prstGeom prst="rect">
                      <a:avLst/>
                    </a:prstGeom>
                    <a:noFill/>
                    <a:ln>
                      <a:noFill/>
                    </a:ln>
                  </pic:spPr>
                </pic:pic>
              </a:graphicData>
            </a:graphic>
          </wp:inline>
        </w:drawing>
      </w:r>
    </w:p>
    <w:p w14:paraId="22EBF815" w14:textId="68A1CF2A" w:rsidR="000C5B07" w:rsidRPr="005863EC" w:rsidRDefault="005863EC" w:rsidP="005863EC">
      <w:pPr>
        <w:pStyle w:val="Caption"/>
        <w:rPr>
          <w:i w:val="0"/>
          <w:iCs w:val="0"/>
        </w:rPr>
      </w:pPr>
      <w:r>
        <w:rPr>
          <w:i w:val="0"/>
          <w:iCs w:val="0"/>
        </w:rPr>
        <w:t xml:space="preserve">Supplementary Figure </w:t>
      </w:r>
      <w:r w:rsidR="004C309D">
        <w:rPr>
          <w:i w:val="0"/>
          <w:iCs w:val="0"/>
        </w:rPr>
        <w:t>9</w:t>
      </w:r>
      <w:r w:rsidRPr="005863EC">
        <w:rPr>
          <w:i w:val="0"/>
          <w:iCs w:val="0"/>
        </w:rPr>
        <w:t>. QALY loss over one year in an average local male prison, by sub-population, under each of seven vaccination scenarios.</w:t>
      </w:r>
    </w:p>
    <w:p w14:paraId="378B3C95" w14:textId="77777777" w:rsidR="0056275A" w:rsidRDefault="0056275A" w:rsidP="0056275A">
      <w:pPr>
        <w:keepNext/>
      </w:pPr>
      <w:r>
        <w:rPr>
          <w:noProof/>
        </w:rPr>
        <w:lastRenderedPageBreak/>
        <w:drawing>
          <wp:inline distT="0" distB="0" distL="0" distR="0" wp14:anchorId="4461225E" wp14:editId="1816ECFC">
            <wp:extent cx="5350618" cy="3933825"/>
            <wp:effectExtent l="0" t="0" r="2540" b="0"/>
            <wp:docPr id="10" name="Picture 10"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bar char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55082" cy="3937107"/>
                    </a:xfrm>
                    <a:prstGeom prst="rect">
                      <a:avLst/>
                    </a:prstGeom>
                    <a:noFill/>
                    <a:ln>
                      <a:noFill/>
                    </a:ln>
                  </pic:spPr>
                </pic:pic>
              </a:graphicData>
            </a:graphic>
          </wp:inline>
        </w:drawing>
      </w:r>
    </w:p>
    <w:p w14:paraId="4B94BEF0" w14:textId="19FCCD73" w:rsidR="000C5B07" w:rsidRDefault="0056275A" w:rsidP="0056275A">
      <w:pPr>
        <w:pStyle w:val="Caption"/>
        <w:rPr>
          <w:i w:val="0"/>
          <w:iCs w:val="0"/>
        </w:rPr>
      </w:pPr>
      <w:r w:rsidRPr="0056275A">
        <w:rPr>
          <w:i w:val="0"/>
          <w:iCs w:val="0"/>
        </w:rPr>
        <w:t>Supplementary Figure 1</w:t>
      </w:r>
      <w:r w:rsidR="004C309D">
        <w:rPr>
          <w:i w:val="0"/>
          <w:iCs w:val="0"/>
        </w:rPr>
        <w:t>0</w:t>
      </w:r>
      <w:r w:rsidRPr="0056275A">
        <w:rPr>
          <w:i w:val="0"/>
          <w:iCs w:val="0"/>
        </w:rPr>
        <w:t>. Deaths over one year in an average male prison, by sub-population, under each of seven vaccination scenarios.</w:t>
      </w:r>
    </w:p>
    <w:p w14:paraId="618B1C25" w14:textId="50349386" w:rsidR="0056275A" w:rsidRPr="0056275A" w:rsidRDefault="0056275A" w:rsidP="0056275A">
      <w:r>
        <w:t>When cases</w:t>
      </w:r>
      <w:r w:rsidR="00B04576">
        <w:t xml:space="preserve">, QALY loss and deaths are broken down by sub-population, </w:t>
      </w:r>
      <w:r w:rsidR="00377FFA">
        <w:t xml:space="preserve">some strategies result in increased health burden in the </w:t>
      </w:r>
      <w:r w:rsidR="00375310">
        <w:t>sub-</w:t>
      </w:r>
      <w:r w:rsidR="00377FFA">
        <w:t xml:space="preserve">populations that are unvaccinated. This </w:t>
      </w:r>
      <w:r w:rsidR="00375310">
        <w:t xml:space="preserve">likely </w:t>
      </w:r>
      <w:r w:rsidR="00377FFA">
        <w:t xml:space="preserve">results from the </w:t>
      </w:r>
      <w:r w:rsidR="00855094">
        <w:t>high population turnover: if the force of infection is decreased in the vaccinated population</w:t>
      </w:r>
      <w:r w:rsidR="002E1C46">
        <w:t xml:space="preserve"> leading a lower but broader peak, </w:t>
      </w:r>
      <w:r w:rsidR="0054464C">
        <w:t xml:space="preserve">this leads to a longer time period over which infected individuals </w:t>
      </w:r>
      <w:r w:rsidR="00A40E85">
        <w:t xml:space="preserve">from the vaccinated sub-population(s) </w:t>
      </w:r>
      <w:r w:rsidR="0054464C">
        <w:t xml:space="preserve">are interacting with the </w:t>
      </w:r>
      <w:r w:rsidR="00A40E85">
        <w:t xml:space="preserve">unvaccinated sub-population(s). As these unvaccinated sub-populations are constantly </w:t>
      </w:r>
      <w:r w:rsidR="00AB2468">
        <w:t>replenished with new susceptible individuals, this leads to a higher number of cases overall. Th</w:t>
      </w:r>
      <w:r w:rsidR="001F57AA">
        <w:t>is</w:t>
      </w:r>
      <w:r w:rsidR="00AB2468">
        <w:t xml:space="preserve"> </w:t>
      </w:r>
      <w:r w:rsidR="001F57AA">
        <w:t xml:space="preserve">phenomenon is not observed </w:t>
      </w:r>
      <w:r w:rsidR="00AB2468">
        <w:t xml:space="preserve">if population turnover is </w:t>
      </w:r>
      <w:r w:rsidR="007B757B">
        <w:t xml:space="preserve">assumed to be zero in all sub-populations. </w:t>
      </w:r>
      <w:r w:rsidR="001C6ACD">
        <w:t>This is driven in part by the way the model is set up</w:t>
      </w:r>
      <w:r w:rsidR="007B757B">
        <w:t xml:space="preserve">, given that it is assumed that </w:t>
      </w:r>
      <w:r w:rsidR="00E820A4">
        <w:t xml:space="preserve">all new </w:t>
      </w:r>
      <w:r w:rsidR="00054EFF">
        <w:t xml:space="preserve">residents </w:t>
      </w:r>
      <w:r w:rsidR="00E820A4">
        <w:t xml:space="preserve">and staff are either susceptible or vaccinated, but not recovered. However, </w:t>
      </w:r>
      <w:r w:rsidR="00123DA5">
        <w:t>it remained the case if population turnover was lower, but not zero</w:t>
      </w:r>
      <w:r w:rsidR="00054EFF">
        <w:t xml:space="preserve"> – which could be a proxy for assuming that only a certain proportion of new residents or staff are susceptible</w:t>
      </w:r>
      <w:r w:rsidR="00123DA5">
        <w:t xml:space="preserve">. </w:t>
      </w:r>
    </w:p>
    <w:p w14:paraId="41755327" w14:textId="77777777" w:rsidR="00AB0417" w:rsidRPr="00AB0417" w:rsidRDefault="00DA62BB" w:rsidP="00AB0417">
      <w:pPr>
        <w:pStyle w:val="Bibliography"/>
        <w:rPr>
          <w:rFonts w:ascii="Calibri" w:hAnsi="Calibri" w:cs="Calibri"/>
        </w:rPr>
      </w:pPr>
      <w:r>
        <w:fldChar w:fldCharType="begin"/>
      </w:r>
      <w:r>
        <w:instrText xml:space="preserve"> ADDIN ZOTERO_BIBL {"uncited":[],"omitted":[],"custom":[]} CSL_BIBLIOGRAPHY </w:instrText>
      </w:r>
      <w:r>
        <w:fldChar w:fldCharType="separate"/>
      </w:r>
      <w:r w:rsidR="00AB0417" w:rsidRPr="00AB0417">
        <w:rPr>
          <w:rFonts w:ascii="Calibri" w:hAnsi="Calibri" w:cs="Calibri"/>
        </w:rPr>
        <w:t xml:space="preserve">1. </w:t>
      </w:r>
      <w:r w:rsidR="00AB0417" w:rsidRPr="00AB0417">
        <w:rPr>
          <w:rFonts w:ascii="Calibri" w:hAnsi="Calibri" w:cs="Calibri"/>
        </w:rPr>
        <w:tab/>
        <w:t xml:space="preserve">Davies NG, Klepac P, Liu Y, Prem K, Jit M, Eggo RM. Age-dependent effects in the transmission and control of COVID-19 epidemics. Nat Med. 2020 Aug;26(8):1205–11. </w:t>
      </w:r>
    </w:p>
    <w:p w14:paraId="4D03CA9F" w14:textId="77777777" w:rsidR="00AB0417" w:rsidRPr="00AB0417" w:rsidRDefault="00AB0417" w:rsidP="00AB0417">
      <w:pPr>
        <w:pStyle w:val="Bibliography"/>
        <w:rPr>
          <w:rFonts w:ascii="Calibri" w:hAnsi="Calibri" w:cs="Calibri"/>
        </w:rPr>
      </w:pPr>
      <w:r w:rsidRPr="00AB0417">
        <w:rPr>
          <w:rFonts w:ascii="Calibri" w:hAnsi="Calibri" w:cs="Calibri"/>
        </w:rPr>
        <w:t xml:space="preserve">2. </w:t>
      </w:r>
      <w:r w:rsidRPr="00AB0417">
        <w:rPr>
          <w:rFonts w:ascii="Calibri" w:hAnsi="Calibri" w:cs="Calibri"/>
        </w:rPr>
        <w:tab/>
        <w:t>Comparative Analysis of the Risks of Hospitalisation and Death Associated with SARS-CoV-2 Omicron (B.1.1.529) and Delta (B.1.617.2) Variants in England by Tommy Nyberg, Neil M. Ferguson, Sophie G. Nash, Harriet H. Webster, Seth Flaxman, Nick Andrews, Wes Hinsley, Jamie Lopez Bernal, Meaghan Kall, Samir Bhatt, Paula Bianca Blomquist, Asad Zaidi, Erik Volz, Nurin Abdul Aziz, Katie Harman, Russell Hope, Andre Charlett, Meera A. Chand, Azra Ghani, Shaun Seaman, Gavin Dabrera, Daniela DeAngelis, Anne M. Presanis, Simon Thelwall :: SSRN [Internet]. [cited 2022 Mar 14]. Available from: https://papers.ssrn.com/sol3/papers.cfm?abstract_id=4025932</w:t>
      </w:r>
    </w:p>
    <w:p w14:paraId="25810C3B" w14:textId="77777777" w:rsidR="00AB0417" w:rsidRPr="00AB0417" w:rsidRDefault="00AB0417" w:rsidP="00AB0417">
      <w:pPr>
        <w:pStyle w:val="Bibliography"/>
        <w:rPr>
          <w:rFonts w:ascii="Calibri" w:hAnsi="Calibri" w:cs="Calibri"/>
        </w:rPr>
      </w:pPr>
      <w:r w:rsidRPr="00AB0417">
        <w:rPr>
          <w:rFonts w:ascii="Calibri" w:hAnsi="Calibri" w:cs="Calibri"/>
        </w:rPr>
        <w:lastRenderedPageBreak/>
        <w:t xml:space="preserve">3. </w:t>
      </w:r>
      <w:r w:rsidRPr="00AB0417">
        <w:rPr>
          <w:rFonts w:ascii="Calibri" w:hAnsi="Calibri" w:cs="Calibri"/>
        </w:rPr>
        <w:tab/>
        <w:t>Office for National Statistics. Principal projection - England and Wales population in age groups [Internet]. 2022 [cited 2022 Mar 1]. Available from: https://www.ons.gov.uk/peoplepopulationandcommunity/populationandmigration/populationprojections/datasets/tablea23principalprojectionenglandandwalespopulationinagegroups</w:t>
      </w:r>
    </w:p>
    <w:p w14:paraId="62BEFE6F" w14:textId="77777777" w:rsidR="00AB0417" w:rsidRPr="00AB0417" w:rsidRDefault="00AB0417" w:rsidP="00AB0417">
      <w:pPr>
        <w:pStyle w:val="Bibliography"/>
        <w:rPr>
          <w:rFonts w:ascii="Calibri" w:hAnsi="Calibri" w:cs="Calibri"/>
        </w:rPr>
      </w:pPr>
      <w:r w:rsidRPr="00AB0417">
        <w:rPr>
          <w:rFonts w:ascii="Calibri" w:hAnsi="Calibri" w:cs="Calibri"/>
        </w:rPr>
        <w:t xml:space="preserve">4. </w:t>
      </w:r>
      <w:r w:rsidRPr="00AB0417">
        <w:rPr>
          <w:rFonts w:ascii="Calibri" w:hAnsi="Calibri" w:cs="Calibri"/>
        </w:rPr>
        <w:tab/>
        <w:t>Docherty AB, Harrison EM, Green CA, Hardwick HE, Pius R, Norman L, et al. Features of 20 133 UK patients in hospital with covid-19 using the ISARIC WHO Clinical Characterisation Protocol: prospective observational cohort study. BMJ [Internet]. 2020;369. Available from: https://www.bmj.com/content/369/bmj.m1985</w:t>
      </w:r>
    </w:p>
    <w:p w14:paraId="5433E1B5" w14:textId="77777777" w:rsidR="00AB0417" w:rsidRPr="00AB0417" w:rsidRDefault="00AB0417" w:rsidP="00AB0417">
      <w:pPr>
        <w:pStyle w:val="Bibliography"/>
        <w:rPr>
          <w:rFonts w:ascii="Calibri" w:hAnsi="Calibri" w:cs="Calibri"/>
        </w:rPr>
      </w:pPr>
      <w:r w:rsidRPr="00AB0417">
        <w:rPr>
          <w:rFonts w:ascii="Calibri" w:hAnsi="Calibri" w:cs="Calibri"/>
        </w:rPr>
        <w:t xml:space="preserve">5. </w:t>
      </w:r>
      <w:r w:rsidRPr="00AB0417">
        <w:rPr>
          <w:rFonts w:ascii="Calibri" w:hAnsi="Calibri" w:cs="Calibri"/>
        </w:rPr>
        <w:tab/>
        <w:t xml:space="preserve">Briggs AH, Goldstein DA, Kirwin E, Meacock R, Pandya A, Vanness DJ, et al. Estimating (quality-adjusted) life-year losses associated with deaths: With application to COVID-19. Health Econ. 2021;30(3):699–707. </w:t>
      </w:r>
    </w:p>
    <w:p w14:paraId="6566C07B" w14:textId="77777777" w:rsidR="00AB0417" w:rsidRPr="00AB0417" w:rsidRDefault="00AB0417" w:rsidP="00AB0417">
      <w:pPr>
        <w:pStyle w:val="Bibliography"/>
        <w:rPr>
          <w:rFonts w:ascii="Calibri" w:hAnsi="Calibri" w:cs="Calibri"/>
        </w:rPr>
      </w:pPr>
      <w:r w:rsidRPr="00AB0417">
        <w:rPr>
          <w:rFonts w:ascii="Calibri" w:hAnsi="Calibri" w:cs="Calibri"/>
        </w:rPr>
        <w:t xml:space="preserve">6. </w:t>
      </w:r>
      <w:r w:rsidRPr="00AB0417">
        <w:rPr>
          <w:rFonts w:ascii="Calibri" w:hAnsi="Calibri" w:cs="Calibri"/>
        </w:rPr>
        <w:tab/>
        <w:t xml:space="preserve">Graham L, Fischbacher CM, Stockton D, Fraser A, Fleming M, Greig K. Understanding extreme mortality among prisoners: a national cohort study in Scotland using data linkage. Eur J Public Health. 2015 Oct 1;25(5):879–85. </w:t>
      </w:r>
    </w:p>
    <w:p w14:paraId="31F325D2" w14:textId="77777777" w:rsidR="00AB0417" w:rsidRPr="00AB0417" w:rsidRDefault="00AB0417" w:rsidP="00AB0417">
      <w:pPr>
        <w:pStyle w:val="Bibliography"/>
        <w:rPr>
          <w:rFonts w:ascii="Calibri" w:hAnsi="Calibri" w:cs="Calibri"/>
        </w:rPr>
      </w:pPr>
      <w:r w:rsidRPr="00AB0417">
        <w:rPr>
          <w:rFonts w:ascii="Calibri" w:hAnsi="Calibri" w:cs="Calibri"/>
        </w:rPr>
        <w:t xml:space="preserve">7. </w:t>
      </w:r>
      <w:r w:rsidRPr="00AB0417">
        <w:rPr>
          <w:rFonts w:ascii="Calibri" w:hAnsi="Calibri" w:cs="Calibri"/>
        </w:rPr>
        <w:tab/>
        <w:t xml:space="preserve">Jia H, Zack MM, Thompson WW. The Effects of Diabetes, Hypertension, Asthma, Heart Disease, and Stroke on Quality-Adjusted Life Expectancy. Value Health J Int Soc Pharmacoeconomics Outcomes Res. 2013;16(1):140–7. </w:t>
      </w:r>
    </w:p>
    <w:p w14:paraId="2C8A2B50" w14:textId="6276E755" w:rsidR="00DA62BB" w:rsidRPr="00DA62BB" w:rsidRDefault="00DA62BB" w:rsidP="00DA62BB">
      <w:r>
        <w:fldChar w:fldCharType="end"/>
      </w:r>
    </w:p>
    <w:p w14:paraId="0EDC8F20" w14:textId="6465E598" w:rsidR="00517432" w:rsidRDefault="00517432"/>
    <w:sectPr w:rsidR="005174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395"/>
    <w:rsid w:val="000016AD"/>
    <w:rsid w:val="00022567"/>
    <w:rsid w:val="00054EFF"/>
    <w:rsid w:val="00090DFE"/>
    <w:rsid w:val="0009742C"/>
    <w:rsid w:val="000C5B07"/>
    <w:rsid w:val="000D1638"/>
    <w:rsid w:val="00123DA5"/>
    <w:rsid w:val="00132D5B"/>
    <w:rsid w:val="00133297"/>
    <w:rsid w:val="001772D2"/>
    <w:rsid w:val="001A1D68"/>
    <w:rsid w:val="001B5BC8"/>
    <w:rsid w:val="001C4C7D"/>
    <w:rsid w:val="001C6ACD"/>
    <w:rsid w:val="001F57AA"/>
    <w:rsid w:val="00227B17"/>
    <w:rsid w:val="00227FE7"/>
    <w:rsid w:val="002B24DC"/>
    <w:rsid w:val="002E1C46"/>
    <w:rsid w:val="002E59A5"/>
    <w:rsid w:val="002E62EC"/>
    <w:rsid w:val="00312FD2"/>
    <w:rsid w:val="00325C04"/>
    <w:rsid w:val="0035543E"/>
    <w:rsid w:val="00361829"/>
    <w:rsid w:val="003642BD"/>
    <w:rsid w:val="00375310"/>
    <w:rsid w:val="00377FFA"/>
    <w:rsid w:val="003B3419"/>
    <w:rsid w:val="003B57C0"/>
    <w:rsid w:val="00406900"/>
    <w:rsid w:val="00420633"/>
    <w:rsid w:val="004232A6"/>
    <w:rsid w:val="0042411F"/>
    <w:rsid w:val="00443B40"/>
    <w:rsid w:val="00444696"/>
    <w:rsid w:val="00445CB6"/>
    <w:rsid w:val="004966DA"/>
    <w:rsid w:val="004C309D"/>
    <w:rsid w:val="004C7C90"/>
    <w:rsid w:val="004D65D9"/>
    <w:rsid w:val="004F3662"/>
    <w:rsid w:val="00517432"/>
    <w:rsid w:val="0054464C"/>
    <w:rsid w:val="00547722"/>
    <w:rsid w:val="0056275A"/>
    <w:rsid w:val="005863EC"/>
    <w:rsid w:val="00591463"/>
    <w:rsid w:val="005974FD"/>
    <w:rsid w:val="006330CE"/>
    <w:rsid w:val="0068344E"/>
    <w:rsid w:val="006A6B2E"/>
    <w:rsid w:val="006B7705"/>
    <w:rsid w:val="006C456D"/>
    <w:rsid w:val="00713577"/>
    <w:rsid w:val="007561F7"/>
    <w:rsid w:val="00766055"/>
    <w:rsid w:val="007B757B"/>
    <w:rsid w:val="007C63EC"/>
    <w:rsid w:val="00805CD5"/>
    <w:rsid w:val="00855094"/>
    <w:rsid w:val="008716EE"/>
    <w:rsid w:val="00891E43"/>
    <w:rsid w:val="008E3FB0"/>
    <w:rsid w:val="00961E86"/>
    <w:rsid w:val="00990100"/>
    <w:rsid w:val="009C6C31"/>
    <w:rsid w:val="00A165AF"/>
    <w:rsid w:val="00A40E85"/>
    <w:rsid w:val="00A458ED"/>
    <w:rsid w:val="00A9119A"/>
    <w:rsid w:val="00AB0417"/>
    <w:rsid w:val="00AB2468"/>
    <w:rsid w:val="00AD0171"/>
    <w:rsid w:val="00AF2091"/>
    <w:rsid w:val="00B03F4F"/>
    <w:rsid w:val="00B04576"/>
    <w:rsid w:val="00B431B7"/>
    <w:rsid w:val="00B67021"/>
    <w:rsid w:val="00B80B06"/>
    <w:rsid w:val="00B84926"/>
    <w:rsid w:val="00BA206F"/>
    <w:rsid w:val="00BA674F"/>
    <w:rsid w:val="00BC57FE"/>
    <w:rsid w:val="00C04EC5"/>
    <w:rsid w:val="00C56A43"/>
    <w:rsid w:val="00C70C67"/>
    <w:rsid w:val="00C815C0"/>
    <w:rsid w:val="00CB1144"/>
    <w:rsid w:val="00CB4E63"/>
    <w:rsid w:val="00CD055C"/>
    <w:rsid w:val="00CD0A34"/>
    <w:rsid w:val="00CF7DA9"/>
    <w:rsid w:val="00D07873"/>
    <w:rsid w:val="00D22D5F"/>
    <w:rsid w:val="00D82ADB"/>
    <w:rsid w:val="00DA1433"/>
    <w:rsid w:val="00DA5DE7"/>
    <w:rsid w:val="00DA62BB"/>
    <w:rsid w:val="00DD5CB6"/>
    <w:rsid w:val="00DE0D49"/>
    <w:rsid w:val="00DE730C"/>
    <w:rsid w:val="00E02616"/>
    <w:rsid w:val="00E4786D"/>
    <w:rsid w:val="00E54D88"/>
    <w:rsid w:val="00E820A4"/>
    <w:rsid w:val="00E93867"/>
    <w:rsid w:val="00ED461C"/>
    <w:rsid w:val="00F268CB"/>
    <w:rsid w:val="00F332CC"/>
    <w:rsid w:val="00F36C9C"/>
    <w:rsid w:val="00F50CCF"/>
    <w:rsid w:val="00F518A4"/>
    <w:rsid w:val="00F92593"/>
    <w:rsid w:val="00FF4395"/>
    <w:rsid w:val="00FF56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FD592"/>
  <w15:chartTrackingRefBased/>
  <w15:docId w15:val="{377E91EC-DA9D-4824-8531-AA5885EF6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766055"/>
    <w:pPr>
      <w:spacing w:after="200" w:line="240" w:lineRule="auto"/>
    </w:pPr>
    <w:rPr>
      <w:i/>
      <w:iCs/>
      <w:color w:val="44546A" w:themeColor="text2"/>
      <w:sz w:val="18"/>
      <w:szCs w:val="18"/>
    </w:rPr>
  </w:style>
  <w:style w:type="table" w:styleId="TableGrid">
    <w:name w:val="Table Grid"/>
    <w:basedOn w:val="TableNormal"/>
    <w:uiPriority w:val="39"/>
    <w:rsid w:val="001A1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27FE7"/>
    <w:rPr>
      <w:sz w:val="16"/>
      <w:szCs w:val="16"/>
    </w:rPr>
  </w:style>
  <w:style w:type="paragraph" w:styleId="CommentText">
    <w:name w:val="annotation text"/>
    <w:basedOn w:val="Normal"/>
    <w:link w:val="CommentTextChar"/>
    <w:uiPriority w:val="99"/>
    <w:semiHidden/>
    <w:unhideWhenUsed/>
    <w:rsid w:val="00227FE7"/>
    <w:pPr>
      <w:spacing w:line="240" w:lineRule="auto"/>
    </w:pPr>
    <w:rPr>
      <w:sz w:val="20"/>
      <w:szCs w:val="20"/>
    </w:rPr>
  </w:style>
  <w:style w:type="character" w:customStyle="1" w:styleId="CommentTextChar">
    <w:name w:val="Comment Text Char"/>
    <w:basedOn w:val="DefaultParagraphFont"/>
    <w:link w:val="CommentText"/>
    <w:uiPriority w:val="99"/>
    <w:semiHidden/>
    <w:rsid w:val="00227FE7"/>
    <w:rPr>
      <w:sz w:val="20"/>
      <w:szCs w:val="20"/>
    </w:rPr>
  </w:style>
  <w:style w:type="paragraph" w:styleId="Bibliography">
    <w:name w:val="Bibliography"/>
    <w:basedOn w:val="Normal"/>
    <w:next w:val="Normal"/>
    <w:uiPriority w:val="37"/>
    <w:unhideWhenUsed/>
    <w:rsid w:val="00DA62BB"/>
    <w:pPr>
      <w:tabs>
        <w:tab w:val="left" w:pos="384"/>
      </w:tabs>
      <w:spacing w:after="240" w:line="240" w:lineRule="auto"/>
      <w:ind w:left="384" w:hanging="384"/>
    </w:pPr>
  </w:style>
  <w:style w:type="paragraph" w:styleId="NormalWeb">
    <w:name w:val="Normal (Web)"/>
    <w:basedOn w:val="Normal"/>
    <w:uiPriority w:val="99"/>
    <w:unhideWhenUsed/>
    <w:rsid w:val="006C456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ECCC5-85DB-4659-88FC-45F344807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4124</Words>
  <Characters>23511</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Ciara McCarthy</dc:creator>
  <cp:keywords/>
  <dc:description/>
  <cp:lastModifiedBy>Ciara McCarthy</cp:lastModifiedBy>
  <cp:revision>2</cp:revision>
  <dcterms:created xsi:type="dcterms:W3CDTF">2022-04-19T22:26:00Z</dcterms:created>
  <dcterms:modified xsi:type="dcterms:W3CDTF">2022-04-19T22:26:00Z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id="Q8QinJTb"/&gt;&lt;style id="http://www.zotero.org/styles/vancouver" locale="en-US" hasBibliography="1" bibliographyStyleHasBeenSet="1"/&gt;&lt;prefs&gt;&lt;pref name="fieldType" value="Field"/&gt;&lt;pref name="automa</vt:lpwstr>
  </property>
  <property fmtid="{D5CDD505-2E9C-101B-9397-08002B2CF9AE}" pid="3" name="ZOTERO_PREF_2">
    <vt:lpwstr>ticJournalAbbreviations" value="true"/&gt;&lt;/prefs&gt;&lt;/data&gt;</vt:lpwstr>
  </property>
</Properties>
</file>