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A1256" w14:textId="55882EC7" w:rsidR="00475F8F" w:rsidRPr="00C60940" w:rsidRDefault="009A6FCB">
      <w:pPr>
        <w:rPr>
          <w:b/>
          <w:bCs/>
          <w:lang w:val="en-US"/>
        </w:rPr>
      </w:pPr>
      <w:r>
        <w:rPr>
          <w:b/>
          <w:bCs/>
          <w:lang w:val="en-US"/>
        </w:rPr>
        <w:t xml:space="preserve">Additional file </w:t>
      </w:r>
      <w:r w:rsidR="00E668D7">
        <w:rPr>
          <w:b/>
          <w:bCs/>
          <w:lang w:val="en-US"/>
        </w:rPr>
        <w:t>6</w:t>
      </w:r>
      <w:r w:rsidR="0023088B" w:rsidRPr="00C60940">
        <w:rPr>
          <w:b/>
          <w:bCs/>
          <w:lang w:val="en-US"/>
        </w:rPr>
        <w:t xml:space="preserve">. </w:t>
      </w:r>
      <w:r w:rsidR="007B2641">
        <w:rPr>
          <w:b/>
          <w:bCs/>
          <w:lang w:val="en-US"/>
        </w:rPr>
        <w:t>Extended narrative results.</w:t>
      </w:r>
    </w:p>
    <w:p w14:paraId="61B36367" w14:textId="56E1DF38" w:rsidR="00A47369" w:rsidRDefault="00A47369">
      <w:pPr>
        <w:rPr>
          <w:sz w:val="16"/>
          <w:szCs w:val="16"/>
          <w:lang w:val="en-US"/>
        </w:rPr>
      </w:pPr>
    </w:p>
    <w:tbl>
      <w:tblPr>
        <w:tblStyle w:val="Lichtearcering"/>
        <w:tblpPr w:leftFromText="141" w:rightFromText="141" w:horzAnchor="margin" w:tblpY="525"/>
        <w:tblW w:w="4654" w:type="pct"/>
        <w:tblLook w:val="04A0" w:firstRow="1" w:lastRow="0" w:firstColumn="1" w:lastColumn="0" w:noHBand="0" w:noVBand="1"/>
      </w:tblPr>
      <w:tblGrid>
        <w:gridCol w:w="1077"/>
        <w:gridCol w:w="1207"/>
        <w:gridCol w:w="1019"/>
        <w:gridCol w:w="8397"/>
        <w:gridCol w:w="1335"/>
      </w:tblGrid>
      <w:tr w:rsidR="007B2641" w:rsidRPr="0016084F" w14:paraId="0B007105" w14:textId="77777777" w:rsidTr="007A78C6">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bottom w:val="single" w:sz="4" w:space="0" w:color="auto"/>
            </w:tcBorders>
          </w:tcPr>
          <w:p w14:paraId="7655F313" w14:textId="77777777" w:rsidR="007B2641" w:rsidRPr="00B0015C" w:rsidRDefault="007B2641" w:rsidP="007A78C6">
            <w:pPr>
              <w:rPr>
                <w:rFonts w:cstheme="minorHAnsi"/>
                <w:sz w:val="16"/>
                <w:lang w:val="en-US"/>
              </w:rPr>
            </w:pPr>
            <w:r w:rsidRPr="00B0015C">
              <w:rPr>
                <w:rFonts w:cstheme="minorHAnsi"/>
                <w:sz w:val="16"/>
                <w:lang w:val="en-US"/>
              </w:rPr>
              <w:t>Study</w:t>
            </w:r>
          </w:p>
          <w:p w14:paraId="5A5B1B15" w14:textId="77777777" w:rsidR="007B2641" w:rsidRPr="00B0015C" w:rsidRDefault="007B2641" w:rsidP="007A78C6">
            <w:pPr>
              <w:rPr>
                <w:rFonts w:cstheme="minorHAnsi"/>
                <w:sz w:val="16"/>
                <w:lang w:val="en-US"/>
              </w:rPr>
            </w:pPr>
            <w:r w:rsidRPr="00B0015C">
              <w:rPr>
                <w:rFonts w:cstheme="minorHAnsi"/>
                <w:sz w:val="16"/>
                <w:lang w:val="en-US"/>
              </w:rPr>
              <w:t>(year of publication)</w:t>
            </w:r>
          </w:p>
        </w:tc>
        <w:tc>
          <w:tcPr>
            <w:tcW w:w="463" w:type="pct"/>
            <w:tcBorders>
              <w:bottom w:val="single" w:sz="4" w:space="0" w:color="auto"/>
            </w:tcBorders>
          </w:tcPr>
          <w:p w14:paraId="742AE624" w14:textId="77777777" w:rsidR="007B2641" w:rsidRPr="007E5DD2" w:rsidRDefault="007B2641" w:rsidP="007A78C6">
            <w:pPr>
              <w:cnfStyle w:val="100000000000" w:firstRow="1" w:lastRow="0" w:firstColumn="0" w:lastColumn="0" w:oddVBand="0" w:evenVBand="0" w:oddHBand="0" w:evenHBand="0" w:firstRowFirstColumn="0" w:firstRowLastColumn="0" w:lastRowFirstColumn="0" w:lastRowLastColumn="0"/>
              <w:rPr>
                <w:rFonts w:cstheme="minorHAnsi"/>
                <w:sz w:val="16"/>
                <w:lang w:val="en-US"/>
              </w:rPr>
            </w:pPr>
            <w:r w:rsidRPr="007E5DD2">
              <w:rPr>
                <w:rFonts w:cstheme="minorHAnsi"/>
                <w:sz w:val="16"/>
                <w:lang w:val="en-US"/>
              </w:rPr>
              <w:t>Determinant</w:t>
            </w:r>
          </w:p>
        </w:tc>
        <w:tc>
          <w:tcPr>
            <w:tcW w:w="391" w:type="pct"/>
            <w:tcBorders>
              <w:bottom w:val="single" w:sz="4" w:space="0" w:color="auto"/>
            </w:tcBorders>
          </w:tcPr>
          <w:p w14:paraId="2CCBFA66" w14:textId="77777777" w:rsidR="007B2641" w:rsidRPr="007E5DD2" w:rsidRDefault="007B2641" w:rsidP="007A78C6">
            <w:pPr>
              <w:cnfStyle w:val="100000000000" w:firstRow="1" w:lastRow="0" w:firstColumn="0" w:lastColumn="0" w:oddVBand="0" w:evenVBand="0" w:oddHBand="0" w:evenHBand="0" w:firstRowFirstColumn="0" w:firstRowLastColumn="0" w:lastRowFirstColumn="0" w:lastRowLastColumn="0"/>
              <w:rPr>
                <w:rFonts w:cstheme="minorHAnsi"/>
                <w:sz w:val="16"/>
                <w:lang w:val="en-US"/>
              </w:rPr>
            </w:pPr>
            <w:r w:rsidRPr="007E5DD2">
              <w:rPr>
                <w:rFonts w:cstheme="minorHAnsi"/>
                <w:sz w:val="16"/>
                <w:lang w:val="en-US"/>
              </w:rPr>
              <w:t>Outcome</w:t>
            </w:r>
          </w:p>
          <w:p w14:paraId="2851F6B2" w14:textId="77777777" w:rsidR="007B2641" w:rsidRPr="007E5DD2" w:rsidRDefault="007B2641" w:rsidP="007A78C6">
            <w:pPr>
              <w:cnfStyle w:val="100000000000" w:firstRow="1" w:lastRow="0" w:firstColumn="0" w:lastColumn="0" w:oddVBand="0" w:evenVBand="0" w:oddHBand="0" w:evenHBand="0" w:firstRowFirstColumn="0" w:firstRowLastColumn="0" w:lastRowFirstColumn="0" w:lastRowLastColumn="0"/>
              <w:rPr>
                <w:rFonts w:cstheme="minorHAnsi"/>
                <w:sz w:val="16"/>
                <w:lang w:val="en-US"/>
              </w:rPr>
            </w:pPr>
            <w:r w:rsidRPr="007E5DD2">
              <w:rPr>
                <w:rFonts w:cstheme="minorHAnsi"/>
                <w:sz w:val="16"/>
                <w:lang w:val="en-US"/>
              </w:rPr>
              <w:t>(scale)</w:t>
            </w:r>
          </w:p>
        </w:tc>
        <w:tc>
          <w:tcPr>
            <w:tcW w:w="3221" w:type="pct"/>
            <w:tcBorders>
              <w:bottom w:val="single" w:sz="4" w:space="0" w:color="auto"/>
            </w:tcBorders>
          </w:tcPr>
          <w:p w14:paraId="6B71C3C2" w14:textId="77777777" w:rsidR="007B2641" w:rsidRPr="007E5DD2" w:rsidRDefault="007B2641" w:rsidP="007A78C6">
            <w:pPr>
              <w:cnfStyle w:val="100000000000" w:firstRow="1" w:lastRow="0" w:firstColumn="0" w:lastColumn="0" w:oddVBand="0" w:evenVBand="0" w:oddHBand="0" w:evenHBand="0" w:firstRowFirstColumn="0" w:firstRowLastColumn="0" w:lastRowFirstColumn="0" w:lastRowLastColumn="0"/>
              <w:rPr>
                <w:rFonts w:cstheme="minorHAnsi"/>
                <w:sz w:val="16"/>
                <w:lang w:val="en-US"/>
              </w:rPr>
            </w:pPr>
            <w:r w:rsidRPr="007E5DD2">
              <w:rPr>
                <w:rFonts w:cstheme="minorHAnsi"/>
                <w:sz w:val="16"/>
                <w:lang w:val="en-US"/>
              </w:rPr>
              <w:t>Summary of findings</w:t>
            </w:r>
          </w:p>
        </w:tc>
        <w:tc>
          <w:tcPr>
            <w:tcW w:w="512" w:type="pct"/>
            <w:tcBorders>
              <w:bottom w:val="single" w:sz="4" w:space="0" w:color="auto"/>
            </w:tcBorders>
          </w:tcPr>
          <w:p w14:paraId="066FD30E" w14:textId="77777777" w:rsidR="007B2641" w:rsidRPr="007E5DD2" w:rsidRDefault="007B2641" w:rsidP="007A78C6">
            <w:pPr>
              <w:cnfStyle w:val="100000000000" w:firstRow="1" w:lastRow="0" w:firstColumn="0" w:lastColumn="0" w:oddVBand="0" w:evenVBand="0" w:oddHBand="0" w:evenHBand="0" w:firstRowFirstColumn="0" w:firstRowLastColumn="0" w:lastRowFirstColumn="0" w:lastRowLastColumn="0"/>
              <w:rPr>
                <w:rFonts w:cstheme="minorHAnsi"/>
                <w:sz w:val="16"/>
                <w:lang w:val="en-US"/>
              </w:rPr>
            </w:pPr>
            <w:r w:rsidRPr="007E5DD2">
              <w:rPr>
                <w:rFonts w:cstheme="minorHAnsi"/>
                <w:sz w:val="16"/>
                <w:lang w:val="en-US"/>
              </w:rPr>
              <w:t>Controlled for/stratified by</w:t>
            </w:r>
          </w:p>
        </w:tc>
      </w:tr>
      <w:tr w:rsidR="007B2641" w:rsidRPr="00A5223E" w14:paraId="319688A8" w14:textId="77777777" w:rsidTr="007A78C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D9D9D9" w:themeFill="background1" w:themeFillShade="D9"/>
            <w:vAlign w:val="center"/>
          </w:tcPr>
          <w:p w14:paraId="2AFC7162" w14:textId="77777777" w:rsidR="007B2641" w:rsidRPr="00B0015C" w:rsidRDefault="007B2641" w:rsidP="007A78C6">
            <w:pPr>
              <w:rPr>
                <w:b w:val="0"/>
                <w:sz w:val="20"/>
                <w:lang w:val="en-US"/>
              </w:rPr>
            </w:pPr>
            <w:r w:rsidRPr="00B0015C">
              <w:rPr>
                <w:b w:val="0"/>
                <w:sz w:val="18"/>
                <w:lang w:val="en-US"/>
              </w:rPr>
              <w:t>Demographics</w:t>
            </w:r>
          </w:p>
        </w:tc>
      </w:tr>
      <w:tr w:rsidR="007B2641" w:rsidRPr="00816C23" w14:paraId="6E98D198"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77055684" w14:textId="77777777" w:rsidR="007B2641" w:rsidRPr="00B0015C" w:rsidRDefault="007B2641" w:rsidP="007A78C6">
            <w:pPr>
              <w:rPr>
                <w:sz w:val="14"/>
                <w:lang w:val="en-US"/>
              </w:rPr>
            </w:pPr>
            <w:r w:rsidRPr="00B0015C">
              <w:rPr>
                <w:sz w:val="14"/>
                <w:lang w:val="en-US"/>
              </w:rPr>
              <w:t>Friborg</w:t>
            </w:r>
          </w:p>
          <w:p w14:paraId="22D4FCB7" w14:textId="77777777" w:rsidR="007B2641" w:rsidRPr="00B0015C" w:rsidRDefault="007B2641" w:rsidP="007A78C6">
            <w:pPr>
              <w:rPr>
                <w:sz w:val="14"/>
                <w:lang w:val="en-US"/>
              </w:rPr>
            </w:pPr>
            <w:r w:rsidRPr="00B0015C">
              <w:rPr>
                <w:sz w:val="14"/>
                <w:lang w:val="en-US"/>
              </w:rPr>
              <w:t>(2003)</w:t>
            </w:r>
          </w:p>
        </w:tc>
        <w:tc>
          <w:tcPr>
            <w:tcW w:w="463" w:type="pct"/>
            <w:shd w:val="clear" w:color="auto" w:fill="FFFFFF" w:themeFill="background1"/>
          </w:tcPr>
          <w:p w14:paraId="5FEFCE92"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7373E7">
              <w:rPr>
                <w:sz w:val="14"/>
                <w:lang w:val="en-US"/>
              </w:rPr>
              <w:t>Age</w:t>
            </w:r>
          </w:p>
        </w:tc>
        <w:tc>
          <w:tcPr>
            <w:tcW w:w="391" w:type="pct"/>
            <w:shd w:val="clear" w:color="auto" w:fill="FFFFFF" w:themeFill="background1"/>
          </w:tcPr>
          <w:p w14:paraId="0DD4ABEE"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7373E7">
              <w:rPr>
                <w:sz w:val="14"/>
                <w:lang w:val="en-US"/>
              </w:rPr>
              <w:t xml:space="preserve">Resilience </w:t>
            </w:r>
          </w:p>
          <w:p w14:paraId="32D48ABA"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7373E7">
              <w:rPr>
                <w:sz w:val="14"/>
                <w:lang w:val="en-US"/>
              </w:rPr>
              <w:t>(RSA)</w:t>
            </w:r>
          </w:p>
        </w:tc>
        <w:tc>
          <w:tcPr>
            <w:tcW w:w="3221" w:type="pct"/>
            <w:shd w:val="clear" w:color="auto" w:fill="FFFFFF" w:themeFill="background1"/>
          </w:tcPr>
          <w:p w14:paraId="1EDABD11"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Aging was positively associated with resilience (subscale of personal structure, r = 0.17).</w:t>
            </w:r>
          </w:p>
        </w:tc>
        <w:tc>
          <w:tcPr>
            <w:tcW w:w="512" w:type="pct"/>
            <w:shd w:val="clear" w:color="auto" w:fill="FFFFFF" w:themeFill="background1"/>
          </w:tcPr>
          <w:p w14:paraId="4893F131"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816C23" w14:paraId="5743278D"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77ADAA87" w14:textId="77777777" w:rsidR="007B2641" w:rsidRPr="00B0015C" w:rsidRDefault="007B2641" w:rsidP="007A78C6">
            <w:pPr>
              <w:rPr>
                <w:sz w:val="14"/>
                <w:lang w:val="en-US"/>
              </w:rPr>
            </w:pPr>
            <w:r w:rsidRPr="00B0015C">
              <w:rPr>
                <w:sz w:val="14"/>
                <w:lang w:val="en-US"/>
              </w:rPr>
              <w:t>Matud</w:t>
            </w:r>
          </w:p>
          <w:p w14:paraId="5C73F60D" w14:textId="77777777" w:rsidR="007B2641" w:rsidRPr="00B0015C" w:rsidRDefault="007B2641" w:rsidP="007A78C6">
            <w:pPr>
              <w:rPr>
                <w:sz w:val="14"/>
                <w:lang w:val="en-US"/>
              </w:rPr>
            </w:pPr>
            <w:r w:rsidRPr="00B0015C">
              <w:rPr>
                <w:sz w:val="14"/>
                <w:lang w:val="en-US"/>
              </w:rPr>
              <w:t>(2004)</w:t>
            </w:r>
          </w:p>
        </w:tc>
        <w:tc>
          <w:tcPr>
            <w:tcW w:w="463" w:type="pct"/>
            <w:shd w:val="clear" w:color="auto" w:fill="F2F2F2" w:themeFill="background1" w:themeFillShade="F2"/>
          </w:tcPr>
          <w:p w14:paraId="67B3380C"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7373E7">
              <w:rPr>
                <w:sz w:val="14"/>
                <w:lang w:val="en-US"/>
              </w:rPr>
              <w:t>Age</w:t>
            </w:r>
          </w:p>
        </w:tc>
        <w:tc>
          <w:tcPr>
            <w:tcW w:w="391" w:type="pct"/>
            <w:shd w:val="clear" w:color="auto" w:fill="F2F2F2" w:themeFill="background1" w:themeFillShade="F2"/>
          </w:tcPr>
          <w:p w14:paraId="617A10B4"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7373E7">
              <w:rPr>
                <w:sz w:val="14"/>
                <w:lang w:val="en-US"/>
              </w:rPr>
              <w:t>Coping</w:t>
            </w:r>
          </w:p>
          <w:p w14:paraId="22DFBC42"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7373E7">
              <w:rPr>
                <w:sz w:val="14"/>
                <w:lang w:val="en-US"/>
              </w:rPr>
              <w:t>(CSQ)</w:t>
            </w:r>
          </w:p>
        </w:tc>
        <w:tc>
          <w:tcPr>
            <w:tcW w:w="3221" w:type="pct"/>
            <w:shd w:val="clear" w:color="auto" w:fill="F2F2F2" w:themeFill="background1" w:themeFillShade="F2"/>
          </w:tcPr>
          <w:p w14:paraId="7C45F4E8"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Both men and women made more use of adequate </w:t>
            </w:r>
            <w:r w:rsidRPr="007373E7">
              <w:rPr>
                <w:sz w:val="14"/>
                <w:lang w:val="en-US"/>
              </w:rPr>
              <w:t>coping</w:t>
            </w:r>
            <w:r>
              <w:rPr>
                <w:sz w:val="14"/>
                <w:lang w:val="en-US"/>
              </w:rPr>
              <w:t xml:space="preserve"> </w:t>
            </w:r>
            <w:r w:rsidRPr="007373E7">
              <w:rPr>
                <w:sz w:val="14"/>
                <w:lang w:val="en-US"/>
              </w:rPr>
              <w:t>when they age</w:t>
            </w:r>
            <w:r>
              <w:rPr>
                <w:sz w:val="14"/>
                <w:lang w:val="en-US"/>
              </w:rPr>
              <w:t>d (subscale of rational coping, r = 0.18 and 0.11)</w:t>
            </w:r>
            <w:r w:rsidRPr="007373E7">
              <w:rPr>
                <w:sz w:val="14"/>
                <w:lang w:val="en-US"/>
              </w:rPr>
              <w:t xml:space="preserve">. Women tend to use </w:t>
            </w:r>
            <w:r>
              <w:rPr>
                <w:sz w:val="14"/>
                <w:lang w:val="en-US"/>
              </w:rPr>
              <w:t xml:space="preserve">also more inadequate coping </w:t>
            </w:r>
            <w:r w:rsidRPr="007373E7">
              <w:rPr>
                <w:sz w:val="14"/>
                <w:lang w:val="en-US"/>
              </w:rPr>
              <w:t>when they age</w:t>
            </w:r>
            <w:r>
              <w:rPr>
                <w:sz w:val="14"/>
                <w:lang w:val="en-US"/>
              </w:rPr>
              <w:t xml:space="preserve"> (subscales of detached coping, r = 0.08 and avoidance coping, r = 0.14)</w:t>
            </w:r>
            <w:r w:rsidRPr="007373E7">
              <w:rPr>
                <w:sz w:val="14"/>
                <w:lang w:val="en-US"/>
              </w:rPr>
              <w:t>.</w:t>
            </w:r>
          </w:p>
        </w:tc>
        <w:tc>
          <w:tcPr>
            <w:tcW w:w="512" w:type="pct"/>
            <w:shd w:val="clear" w:color="auto" w:fill="F2F2F2" w:themeFill="background1" w:themeFillShade="F2"/>
          </w:tcPr>
          <w:p w14:paraId="22D16CAF"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Stratified by gender</w:t>
            </w:r>
          </w:p>
        </w:tc>
      </w:tr>
      <w:tr w:rsidR="007B2641" w:rsidRPr="006B0FC2" w14:paraId="6B2D99A4"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6512BFB" w14:textId="77777777" w:rsidR="007B2641" w:rsidRPr="00B0015C" w:rsidRDefault="007B2641" w:rsidP="007A78C6">
            <w:pPr>
              <w:rPr>
                <w:sz w:val="14"/>
                <w:lang w:val="en-US"/>
              </w:rPr>
            </w:pPr>
            <w:r w:rsidRPr="00B0015C">
              <w:rPr>
                <w:sz w:val="14"/>
                <w:lang w:val="en-US"/>
              </w:rPr>
              <w:t>Simeon</w:t>
            </w:r>
          </w:p>
          <w:p w14:paraId="33111B45" w14:textId="77777777" w:rsidR="007B2641" w:rsidRPr="00B0015C" w:rsidRDefault="007B2641" w:rsidP="007A78C6">
            <w:pPr>
              <w:rPr>
                <w:sz w:val="14"/>
                <w:lang w:val="en-US"/>
              </w:rPr>
            </w:pPr>
            <w:r w:rsidRPr="00B0015C">
              <w:rPr>
                <w:sz w:val="14"/>
                <w:lang w:val="en-US"/>
              </w:rPr>
              <w:t>(2007)</w:t>
            </w:r>
          </w:p>
        </w:tc>
        <w:tc>
          <w:tcPr>
            <w:tcW w:w="463" w:type="pct"/>
            <w:shd w:val="clear" w:color="auto" w:fill="FFFFFF" w:themeFill="background1"/>
          </w:tcPr>
          <w:p w14:paraId="324FECCD"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7373E7">
              <w:rPr>
                <w:sz w:val="14"/>
                <w:lang w:val="en-US"/>
              </w:rPr>
              <w:t>Age</w:t>
            </w:r>
          </w:p>
        </w:tc>
        <w:tc>
          <w:tcPr>
            <w:tcW w:w="391" w:type="pct"/>
            <w:shd w:val="clear" w:color="auto" w:fill="FFFFFF" w:themeFill="background1"/>
          </w:tcPr>
          <w:p w14:paraId="3F3C39E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048747EA"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(DSQ)</w:t>
            </w:r>
          </w:p>
        </w:tc>
        <w:tc>
          <w:tcPr>
            <w:tcW w:w="3221" w:type="pct"/>
            <w:shd w:val="clear" w:color="auto" w:fill="FFFFFF" w:themeFill="background1"/>
          </w:tcPr>
          <w:p w14:paraId="54DE976D"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No significant association was discovered between age and resilience.</w:t>
            </w:r>
          </w:p>
        </w:tc>
        <w:tc>
          <w:tcPr>
            <w:tcW w:w="512" w:type="pct"/>
            <w:shd w:val="clear" w:color="auto" w:fill="FFFFFF" w:themeFill="background1"/>
          </w:tcPr>
          <w:p w14:paraId="7A640C02"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CC6A2A" w14:paraId="39AA4EAD"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F6C1E97" w14:textId="77777777" w:rsidR="007B2641" w:rsidRPr="00B0015C" w:rsidRDefault="007B2641" w:rsidP="007A78C6">
            <w:pPr>
              <w:rPr>
                <w:sz w:val="14"/>
                <w:lang w:val="en-US"/>
              </w:rPr>
            </w:pPr>
            <w:r w:rsidRPr="00B0015C">
              <w:rPr>
                <w:sz w:val="14"/>
                <w:lang w:val="en-US"/>
              </w:rPr>
              <w:t>Campbell-Sills</w:t>
            </w:r>
          </w:p>
          <w:p w14:paraId="01DE63FF" w14:textId="77777777" w:rsidR="007B2641" w:rsidRPr="00B0015C" w:rsidRDefault="007B2641" w:rsidP="007A78C6">
            <w:pPr>
              <w:rPr>
                <w:sz w:val="14"/>
                <w:lang w:val="en-US"/>
              </w:rPr>
            </w:pPr>
            <w:r w:rsidRPr="00B0015C">
              <w:rPr>
                <w:sz w:val="14"/>
                <w:lang w:val="en-US"/>
              </w:rPr>
              <w:t>(2009)</w:t>
            </w:r>
          </w:p>
        </w:tc>
        <w:tc>
          <w:tcPr>
            <w:tcW w:w="463" w:type="pct"/>
            <w:shd w:val="clear" w:color="auto" w:fill="F2F2F2" w:themeFill="background1" w:themeFillShade="F2"/>
          </w:tcPr>
          <w:p w14:paraId="4BAED8A5"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7373E7">
              <w:rPr>
                <w:sz w:val="14"/>
                <w:lang w:val="en-US"/>
              </w:rPr>
              <w:t>Age</w:t>
            </w:r>
          </w:p>
        </w:tc>
        <w:tc>
          <w:tcPr>
            <w:tcW w:w="391" w:type="pct"/>
            <w:shd w:val="clear" w:color="auto" w:fill="F2F2F2" w:themeFill="background1" w:themeFillShade="F2"/>
          </w:tcPr>
          <w:p w14:paraId="0DBA15D4"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7373E7">
              <w:rPr>
                <w:sz w:val="14"/>
                <w:lang w:val="en-US"/>
              </w:rPr>
              <w:t xml:space="preserve">Resilience </w:t>
            </w:r>
          </w:p>
          <w:p w14:paraId="36E40F01"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7373E7">
              <w:rPr>
                <w:sz w:val="14"/>
                <w:lang w:val="en-US"/>
              </w:rPr>
              <w:t>(CD-RISC)</w:t>
            </w:r>
          </w:p>
        </w:tc>
        <w:tc>
          <w:tcPr>
            <w:tcW w:w="3221" w:type="pct"/>
            <w:shd w:val="clear" w:color="auto" w:fill="F2F2F2" w:themeFill="background1" w:themeFillShade="F2"/>
          </w:tcPr>
          <w:p w14:paraId="66205A8D" w14:textId="77777777" w:rsidR="007B2641" w:rsidRPr="00CC6A2A"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CC6A2A">
              <w:rPr>
                <w:sz w:val="14"/>
                <w:lang w:val="en-US"/>
              </w:rPr>
              <w:t>Younger participants of the age group 18 to 24 had lower resilience scores compared to older participants of the age group 25 to 34 (mean score of 29.48 versus</w:t>
            </w:r>
            <w:r>
              <w:rPr>
                <w:sz w:val="14"/>
                <w:lang w:val="en-US"/>
              </w:rPr>
              <w:t xml:space="preserve"> 32.33, respectively, range </w:t>
            </w:r>
            <w:r w:rsidRPr="00CC6A2A">
              <w:rPr>
                <w:sz w:val="14"/>
                <w:lang w:val="en-US"/>
              </w:rPr>
              <w:t>of 9-40).</w:t>
            </w:r>
          </w:p>
        </w:tc>
        <w:tc>
          <w:tcPr>
            <w:tcW w:w="512" w:type="pct"/>
            <w:shd w:val="clear" w:color="auto" w:fill="F2F2F2" w:themeFill="background1" w:themeFillShade="F2"/>
          </w:tcPr>
          <w:p w14:paraId="023EAE1D"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A5223E" w14:paraId="5911F390"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559908E8" w14:textId="77777777" w:rsidR="007B2641" w:rsidRPr="00B0015C" w:rsidRDefault="007B2641" w:rsidP="007A78C6">
            <w:pPr>
              <w:rPr>
                <w:sz w:val="14"/>
                <w:lang w:val="en-US"/>
              </w:rPr>
            </w:pPr>
            <w:r w:rsidRPr="00B0015C">
              <w:rPr>
                <w:sz w:val="14"/>
                <w:lang w:val="en-US"/>
              </w:rPr>
              <w:t>Amirkhan</w:t>
            </w:r>
          </w:p>
          <w:p w14:paraId="6AF796C1" w14:textId="77777777" w:rsidR="007B2641" w:rsidRPr="00B0015C" w:rsidRDefault="007B2641" w:rsidP="007A78C6">
            <w:pPr>
              <w:rPr>
                <w:sz w:val="14"/>
                <w:lang w:val="en-US"/>
              </w:rPr>
            </w:pPr>
            <w:r w:rsidRPr="00B0015C">
              <w:rPr>
                <w:sz w:val="14"/>
                <w:lang w:val="en-US"/>
              </w:rPr>
              <w:t>(2017)</w:t>
            </w:r>
          </w:p>
        </w:tc>
        <w:tc>
          <w:tcPr>
            <w:tcW w:w="463" w:type="pct"/>
            <w:shd w:val="clear" w:color="auto" w:fill="FFFFFF" w:themeFill="background1"/>
          </w:tcPr>
          <w:p w14:paraId="375F4839"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Age</w:t>
            </w:r>
          </w:p>
        </w:tc>
        <w:tc>
          <w:tcPr>
            <w:tcW w:w="391" w:type="pct"/>
            <w:shd w:val="clear" w:color="auto" w:fill="FFFFFF" w:themeFill="background1"/>
          </w:tcPr>
          <w:p w14:paraId="5D6291F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29859F39"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(CSI)</w:t>
            </w:r>
          </w:p>
        </w:tc>
        <w:tc>
          <w:tcPr>
            <w:tcW w:w="3221" w:type="pct"/>
            <w:shd w:val="clear" w:color="auto" w:fill="FFFFFF" w:themeFill="background1"/>
          </w:tcPr>
          <w:p w14:paraId="063A0AED"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Aging was negatively associated with inadequate coping (subscale of avoidance strategies, r = -0.20).</w:t>
            </w:r>
          </w:p>
        </w:tc>
        <w:tc>
          <w:tcPr>
            <w:tcW w:w="512" w:type="pct"/>
            <w:shd w:val="clear" w:color="auto" w:fill="FFFFFF" w:themeFill="background1"/>
          </w:tcPr>
          <w:p w14:paraId="7BC1E8EE"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342EA0" w14:paraId="67DEADB9"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20B9B3F4" w14:textId="77777777" w:rsidR="007B2641" w:rsidRPr="00B0015C" w:rsidRDefault="007B2641" w:rsidP="007A78C6">
            <w:pPr>
              <w:rPr>
                <w:sz w:val="14"/>
                <w:lang w:val="en-US"/>
              </w:rPr>
            </w:pPr>
            <w:r w:rsidRPr="00B0015C">
              <w:rPr>
                <w:sz w:val="14"/>
                <w:lang w:val="en-US"/>
              </w:rPr>
              <w:t>Tomyn</w:t>
            </w:r>
          </w:p>
          <w:p w14:paraId="0F396CEA" w14:textId="77777777" w:rsidR="007B2641" w:rsidRPr="00B0015C" w:rsidRDefault="007B2641" w:rsidP="007A78C6">
            <w:pPr>
              <w:rPr>
                <w:sz w:val="14"/>
                <w:lang w:val="en-US"/>
              </w:rPr>
            </w:pPr>
            <w:r w:rsidRPr="00B0015C">
              <w:rPr>
                <w:sz w:val="14"/>
                <w:lang w:val="en-US"/>
              </w:rPr>
              <w:t>(2018)</w:t>
            </w:r>
          </w:p>
        </w:tc>
        <w:tc>
          <w:tcPr>
            <w:tcW w:w="463" w:type="pct"/>
            <w:shd w:val="clear" w:color="auto" w:fill="F2F2F2" w:themeFill="background1" w:themeFillShade="F2"/>
          </w:tcPr>
          <w:p w14:paraId="2913F53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Age</w:t>
            </w:r>
          </w:p>
        </w:tc>
        <w:tc>
          <w:tcPr>
            <w:tcW w:w="391" w:type="pct"/>
            <w:shd w:val="clear" w:color="auto" w:fill="F2F2F2" w:themeFill="background1" w:themeFillShade="F2"/>
          </w:tcPr>
          <w:p w14:paraId="7DB43A1D"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06266EA3"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(CD-RISC)</w:t>
            </w:r>
          </w:p>
        </w:tc>
        <w:tc>
          <w:tcPr>
            <w:tcW w:w="3221" w:type="pct"/>
            <w:shd w:val="clear" w:color="auto" w:fill="F2F2F2" w:themeFill="background1" w:themeFillShade="F2"/>
          </w:tcPr>
          <w:p w14:paraId="0B6F1FA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Participants aged 18-21 years and 22-25 years reported higher resilience scores than those aged 16-17 years (mean scores of 75.87, 76.38, and 71.51, respectively, on a scale of 0-100%).</w:t>
            </w:r>
          </w:p>
        </w:tc>
        <w:tc>
          <w:tcPr>
            <w:tcW w:w="512" w:type="pct"/>
            <w:shd w:val="clear" w:color="auto" w:fill="F2F2F2" w:themeFill="background1" w:themeFillShade="F2"/>
          </w:tcPr>
          <w:p w14:paraId="411F467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8808E5" w14:paraId="5FEA350A"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tcPr>
          <w:p w14:paraId="64BB8D63" w14:textId="77777777" w:rsidR="007B2641" w:rsidRPr="00B0015C" w:rsidRDefault="007B2641" w:rsidP="007A78C6">
            <w:pPr>
              <w:rPr>
                <w:sz w:val="14"/>
                <w:lang w:val="en-US"/>
              </w:rPr>
            </w:pPr>
            <w:r w:rsidRPr="00B0015C">
              <w:rPr>
                <w:sz w:val="14"/>
                <w:lang w:val="en-US"/>
              </w:rPr>
              <w:t>Montoya-Williams</w:t>
            </w:r>
          </w:p>
          <w:p w14:paraId="0A2C007C" w14:textId="77777777" w:rsidR="007B2641" w:rsidRPr="00B0015C" w:rsidRDefault="007B2641" w:rsidP="007A78C6">
            <w:pPr>
              <w:rPr>
                <w:sz w:val="14"/>
                <w:lang w:val="en-US"/>
              </w:rPr>
            </w:pPr>
            <w:r w:rsidRPr="00B0015C">
              <w:rPr>
                <w:sz w:val="14"/>
                <w:lang w:val="en-US"/>
              </w:rPr>
              <w:t>(2020)</w:t>
            </w:r>
          </w:p>
        </w:tc>
        <w:tc>
          <w:tcPr>
            <w:tcW w:w="463" w:type="pct"/>
          </w:tcPr>
          <w:p w14:paraId="551B4FA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Age</w:t>
            </w:r>
          </w:p>
        </w:tc>
        <w:tc>
          <w:tcPr>
            <w:tcW w:w="391" w:type="pct"/>
          </w:tcPr>
          <w:p w14:paraId="13CB2212"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72E6B7B2"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(AHRI)</w:t>
            </w:r>
          </w:p>
        </w:tc>
        <w:tc>
          <w:tcPr>
            <w:tcW w:w="3221" w:type="pct"/>
          </w:tcPr>
          <w:p w14:paraId="1822197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No significant differences were found in mean resilience scores for participants under 30 of age versus participants over 30 years of age.</w:t>
            </w:r>
          </w:p>
        </w:tc>
        <w:tc>
          <w:tcPr>
            <w:tcW w:w="512" w:type="pct"/>
          </w:tcPr>
          <w:p w14:paraId="6F385A39"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E668D7" w14:paraId="5FC5C408"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3701B60C" w14:textId="77777777" w:rsidR="007B2641" w:rsidRPr="00B0015C" w:rsidRDefault="007B2641" w:rsidP="007A78C6">
            <w:pPr>
              <w:rPr>
                <w:sz w:val="14"/>
                <w:lang w:val="en-US"/>
              </w:rPr>
            </w:pPr>
            <w:r w:rsidRPr="00B0015C">
              <w:rPr>
                <w:sz w:val="14"/>
                <w:lang w:val="en-US"/>
              </w:rPr>
              <w:t>Batsikoura</w:t>
            </w:r>
          </w:p>
          <w:p w14:paraId="57B1B609" w14:textId="77777777" w:rsidR="007B2641" w:rsidRPr="00B0015C" w:rsidRDefault="007B2641" w:rsidP="007A78C6">
            <w:pPr>
              <w:rPr>
                <w:sz w:val="14"/>
                <w:lang w:val="en-US"/>
              </w:rPr>
            </w:pPr>
            <w:r w:rsidRPr="00B0015C">
              <w:rPr>
                <w:sz w:val="14"/>
                <w:lang w:val="en-US"/>
              </w:rPr>
              <w:t>(2021)</w:t>
            </w:r>
          </w:p>
        </w:tc>
        <w:tc>
          <w:tcPr>
            <w:tcW w:w="463" w:type="pct"/>
            <w:shd w:val="clear" w:color="auto" w:fill="F2F2F2" w:themeFill="background1" w:themeFillShade="F2"/>
          </w:tcPr>
          <w:p w14:paraId="57A162A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Age</w:t>
            </w:r>
          </w:p>
        </w:tc>
        <w:tc>
          <w:tcPr>
            <w:tcW w:w="391" w:type="pct"/>
            <w:shd w:val="clear" w:color="auto" w:fill="F2F2F2" w:themeFill="background1" w:themeFillShade="F2"/>
          </w:tcPr>
          <w:p w14:paraId="6552129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189FB24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(brief-COPE)</w:t>
            </w:r>
          </w:p>
        </w:tc>
        <w:tc>
          <w:tcPr>
            <w:tcW w:w="3221" w:type="pct"/>
            <w:shd w:val="clear" w:color="auto" w:fill="F2F2F2" w:themeFill="background1" w:themeFillShade="F2"/>
          </w:tcPr>
          <w:p w14:paraId="41870098" w14:textId="77777777" w:rsidR="007B2641" w:rsidRPr="00922044" w:rsidRDefault="007B2641" w:rsidP="007A78C6">
            <w:pPr>
              <w:cnfStyle w:val="000000100000" w:firstRow="0" w:lastRow="0" w:firstColumn="0" w:lastColumn="0" w:oddVBand="0" w:evenVBand="0" w:oddHBand="1" w:evenHBand="0" w:firstRowFirstColumn="0" w:firstRowLastColumn="0" w:lastRowFirstColumn="0" w:lastRowLastColumn="0"/>
              <w:rPr>
                <w:sz w:val="14"/>
                <w:highlight w:val="darkYellow"/>
                <w:lang w:val="en-US"/>
              </w:rPr>
            </w:pPr>
            <w:r w:rsidRPr="004976FA">
              <w:rPr>
                <w:sz w:val="14"/>
                <w:lang w:val="en-US"/>
              </w:rPr>
              <w:t>Aging was negatively associated with inadequate coping (subscale of substance use, r = -0.01) and positively associated with using adequate coping (subscale of acceptance/planning, r = 0.02).</w:t>
            </w:r>
          </w:p>
        </w:tc>
        <w:tc>
          <w:tcPr>
            <w:tcW w:w="512" w:type="pct"/>
            <w:shd w:val="clear" w:color="auto" w:fill="F2F2F2" w:themeFill="background1" w:themeFillShade="F2"/>
          </w:tcPr>
          <w:p w14:paraId="732EA6E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 educational level, urbanization, lifestyle, anxiety</w:t>
            </w:r>
          </w:p>
        </w:tc>
      </w:tr>
      <w:tr w:rsidR="007B2641" w:rsidRPr="00A5223E" w14:paraId="5B78C1B3"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tcPr>
          <w:p w14:paraId="40FE5820" w14:textId="77777777" w:rsidR="007B2641" w:rsidRPr="00B0015C" w:rsidRDefault="007B2641" w:rsidP="007A78C6">
            <w:pPr>
              <w:rPr>
                <w:sz w:val="14"/>
                <w:lang w:val="en-US"/>
              </w:rPr>
            </w:pPr>
            <w:r w:rsidRPr="00B0015C">
              <w:rPr>
                <w:sz w:val="14"/>
                <w:lang w:val="en-US"/>
              </w:rPr>
              <w:t>Vingerhoets</w:t>
            </w:r>
          </w:p>
          <w:p w14:paraId="788788B5" w14:textId="77777777" w:rsidR="007B2641" w:rsidRPr="00B0015C" w:rsidRDefault="007B2641" w:rsidP="007A78C6">
            <w:pPr>
              <w:rPr>
                <w:sz w:val="14"/>
                <w:lang w:val="en-US"/>
              </w:rPr>
            </w:pPr>
            <w:r w:rsidRPr="00B0015C">
              <w:rPr>
                <w:sz w:val="14"/>
                <w:lang w:val="en-US"/>
              </w:rPr>
              <w:t>(1990)</w:t>
            </w:r>
          </w:p>
        </w:tc>
        <w:tc>
          <w:tcPr>
            <w:tcW w:w="463" w:type="pct"/>
          </w:tcPr>
          <w:p w14:paraId="029473BB"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tcPr>
          <w:p w14:paraId="142876A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6F5D5EA1"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(WCC)</w:t>
            </w:r>
          </w:p>
        </w:tc>
        <w:tc>
          <w:tcPr>
            <w:tcW w:w="3221" w:type="pct"/>
          </w:tcPr>
          <w:p w14:paraId="6C043588" w14:textId="77777777" w:rsidR="007B2641" w:rsidRPr="00E77732" w:rsidRDefault="007B2641" w:rsidP="007A78C6">
            <w:pPr>
              <w:cnfStyle w:val="000000000000" w:firstRow="0" w:lastRow="0" w:firstColumn="0" w:lastColumn="0" w:oddVBand="0" w:evenVBand="0" w:oddHBand="0" w:evenHBand="0" w:firstRowFirstColumn="0" w:firstRowLastColumn="0" w:lastRowFirstColumn="0" w:lastRowLastColumn="0"/>
              <w:rPr>
                <w:sz w:val="14"/>
                <w:highlight w:val="darkYellow"/>
                <w:lang w:val="en-US"/>
              </w:rPr>
            </w:pPr>
            <w:r w:rsidRPr="00627197">
              <w:rPr>
                <w:sz w:val="14"/>
                <w:lang w:val="en-US"/>
              </w:rPr>
              <w:t>Men made more use of adequate coping compared to women (</w:t>
            </w:r>
            <w:r>
              <w:rPr>
                <w:sz w:val="14"/>
                <w:lang w:val="en-US"/>
              </w:rPr>
              <w:t xml:space="preserve">subscale of </w:t>
            </w:r>
            <w:r w:rsidRPr="00627197">
              <w:rPr>
                <w:sz w:val="14"/>
                <w:lang w:val="en-US"/>
              </w:rPr>
              <w:t>problem-focused coping, mean score of 90.96 versus 88.82, range of 24-144). Women made more use of inadequate coping compared to men (</w:t>
            </w:r>
            <w:r>
              <w:rPr>
                <w:sz w:val="14"/>
                <w:lang w:val="en-US"/>
              </w:rPr>
              <w:t xml:space="preserve">subscale of </w:t>
            </w:r>
            <w:r w:rsidRPr="00627197">
              <w:rPr>
                <w:sz w:val="14"/>
                <w:lang w:val="en-US"/>
              </w:rPr>
              <w:t>emotion-focused coping, mean score of 131.63 versus 125.97, range of 60-240).</w:t>
            </w:r>
          </w:p>
        </w:tc>
        <w:tc>
          <w:tcPr>
            <w:tcW w:w="512" w:type="pct"/>
          </w:tcPr>
          <w:p w14:paraId="788683B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B71055" w14:paraId="42124397"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2ABDA5A" w14:textId="77777777" w:rsidR="007B2641" w:rsidRPr="00B0015C" w:rsidRDefault="007B2641" w:rsidP="007A78C6">
            <w:pPr>
              <w:rPr>
                <w:sz w:val="14"/>
                <w:lang w:val="en-US"/>
              </w:rPr>
            </w:pPr>
            <w:r w:rsidRPr="00B0015C">
              <w:rPr>
                <w:sz w:val="14"/>
                <w:lang w:val="en-US"/>
              </w:rPr>
              <w:t>De Ridder</w:t>
            </w:r>
          </w:p>
          <w:p w14:paraId="55E47EDE" w14:textId="77777777" w:rsidR="007B2641" w:rsidRPr="00B0015C" w:rsidRDefault="007B2641" w:rsidP="007A78C6">
            <w:pPr>
              <w:rPr>
                <w:sz w:val="14"/>
                <w:lang w:val="en-US"/>
              </w:rPr>
            </w:pPr>
            <w:r w:rsidRPr="00B0015C">
              <w:rPr>
                <w:sz w:val="14"/>
                <w:lang w:val="en-US"/>
              </w:rPr>
              <w:t>(1995)</w:t>
            </w:r>
          </w:p>
        </w:tc>
        <w:tc>
          <w:tcPr>
            <w:tcW w:w="463" w:type="pct"/>
            <w:shd w:val="clear" w:color="auto" w:fill="F2F2F2" w:themeFill="background1" w:themeFillShade="F2"/>
          </w:tcPr>
          <w:p w14:paraId="39E3F22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78CC898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59C5841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w:t>
            </w:r>
          </w:p>
        </w:tc>
        <w:tc>
          <w:tcPr>
            <w:tcW w:w="3221" w:type="pct"/>
            <w:shd w:val="clear" w:color="auto" w:fill="F2F2F2" w:themeFill="background1" w:themeFillShade="F2"/>
          </w:tcPr>
          <w:p w14:paraId="096A5F0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 was positively associated with adequate coping (subscales of seeking social support, r = 0.27 and accepting responsibility coping, r = 0.21). Women made more use of these strategies.</w:t>
            </w:r>
          </w:p>
        </w:tc>
        <w:tc>
          <w:tcPr>
            <w:tcW w:w="512" w:type="pct"/>
            <w:shd w:val="clear" w:color="auto" w:fill="F2F2F2" w:themeFill="background1" w:themeFillShade="F2"/>
          </w:tcPr>
          <w:p w14:paraId="50CC20C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BA4C08" w14:paraId="283D00DB"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51B7D4C4" w14:textId="77777777" w:rsidR="007B2641" w:rsidRPr="00B0015C" w:rsidRDefault="007B2641" w:rsidP="007A78C6">
            <w:pPr>
              <w:rPr>
                <w:sz w:val="14"/>
                <w:lang w:val="en-US"/>
              </w:rPr>
            </w:pPr>
            <w:r w:rsidRPr="00B0015C">
              <w:rPr>
                <w:sz w:val="14"/>
                <w:lang w:val="en-US"/>
              </w:rPr>
              <w:t>Cronqvist</w:t>
            </w:r>
          </w:p>
          <w:p w14:paraId="146A4609" w14:textId="77777777" w:rsidR="007B2641" w:rsidRPr="00B0015C" w:rsidRDefault="007B2641" w:rsidP="007A78C6">
            <w:pPr>
              <w:rPr>
                <w:sz w:val="14"/>
                <w:lang w:val="en-US"/>
              </w:rPr>
            </w:pPr>
            <w:r w:rsidRPr="00B0015C">
              <w:rPr>
                <w:sz w:val="14"/>
                <w:lang w:val="en-US"/>
              </w:rPr>
              <w:t>(1997)</w:t>
            </w:r>
          </w:p>
        </w:tc>
        <w:tc>
          <w:tcPr>
            <w:tcW w:w="463" w:type="pct"/>
            <w:shd w:val="clear" w:color="auto" w:fill="FFFFFF" w:themeFill="background1"/>
          </w:tcPr>
          <w:p w14:paraId="4C0D9126"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3F863C6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1BC79D26"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(JCS)</w:t>
            </w:r>
          </w:p>
        </w:tc>
        <w:tc>
          <w:tcPr>
            <w:tcW w:w="3221" w:type="pct"/>
            <w:shd w:val="clear" w:color="auto" w:fill="FFFFFF" w:themeFill="background1"/>
          </w:tcPr>
          <w:p w14:paraId="53E485F5"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AA20FB">
              <w:rPr>
                <w:sz w:val="14"/>
                <w:lang w:val="en-US"/>
              </w:rPr>
              <w:t xml:space="preserve">Men made more use of adequate coping </w:t>
            </w:r>
            <w:r>
              <w:rPr>
                <w:sz w:val="14"/>
                <w:lang w:val="en-US"/>
              </w:rPr>
              <w:t xml:space="preserve">compared </w:t>
            </w:r>
            <w:r w:rsidRPr="00AA20FB">
              <w:rPr>
                <w:sz w:val="14"/>
                <w:lang w:val="en-US"/>
              </w:rPr>
              <w:t xml:space="preserve">to women </w:t>
            </w:r>
            <w:r>
              <w:rPr>
                <w:sz w:val="14"/>
                <w:lang w:val="en-US"/>
              </w:rPr>
              <w:t>(</w:t>
            </w:r>
            <w:r w:rsidRPr="00AA20FB">
              <w:rPr>
                <w:sz w:val="14"/>
                <w:lang w:val="en-US"/>
              </w:rPr>
              <w:t xml:space="preserve">subscales of confrontative </w:t>
            </w:r>
            <w:r>
              <w:rPr>
                <w:sz w:val="14"/>
                <w:lang w:val="en-US"/>
              </w:rPr>
              <w:t xml:space="preserve">coping, mean score of 2.29 versus 2.20, range of 0-3, </w:t>
            </w:r>
            <w:r w:rsidRPr="00AA20FB">
              <w:rPr>
                <w:sz w:val="14"/>
                <w:lang w:val="en-US"/>
              </w:rPr>
              <w:t>and self-reliant</w:t>
            </w:r>
            <w:r>
              <w:rPr>
                <w:sz w:val="14"/>
                <w:lang w:val="en-US"/>
              </w:rPr>
              <w:t xml:space="preserve"> coping, </w:t>
            </w:r>
            <w:r w:rsidRPr="00AA20FB">
              <w:rPr>
                <w:sz w:val="14"/>
                <w:lang w:val="en-US"/>
              </w:rPr>
              <w:t>mean score of 1.91 versus 1.69</w:t>
            </w:r>
            <w:r>
              <w:rPr>
                <w:sz w:val="14"/>
                <w:lang w:val="en-US"/>
              </w:rPr>
              <w:t>, range</w:t>
            </w:r>
            <w:r w:rsidRPr="00AA20FB">
              <w:rPr>
                <w:sz w:val="14"/>
                <w:lang w:val="en-US"/>
              </w:rPr>
              <w:t xml:space="preserve"> of 0-3). </w:t>
            </w:r>
            <w:r>
              <w:rPr>
                <w:sz w:val="14"/>
                <w:lang w:val="en-US"/>
              </w:rPr>
              <w:t>Contrarily, w</w:t>
            </w:r>
            <w:r w:rsidRPr="00AA20FB">
              <w:rPr>
                <w:sz w:val="14"/>
                <w:lang w:val="en-US"/>
              </w:rPr>
              <w:t xml:space="preserve">omen made more use of </w:t>
            </w:r>
            <w:r>
              <w:rPr>
                <w:sz w:val="14"/>
                <w:lang w:val="en-US"/>
              </w:rPr>
              <w:t xml:space="preserve">other </w:t>
            </w:r>
            <w:r w:rsidRPr="00AA20FB">
              <w:rPr>
                <w:sz w:val="14"/>
                <w:lang w:val="en-US"/>
              </w:rPr>
              <w:t xml:space="preserve">adequate </w:t>
            </w:r>
            <w:r>
              <w:rPr>
                <w:sz w:val="14"/>
                <w:lang w:val="en-US"/>
              </w:rPr>
              <w:t xml:space="preserve">strategies compared to men </w:t>
            </w:r>
            <w:r w:rsidRPr="00AA20FB">
              <w:rPr>
                <w:sz w:val="14"/>
                <w:lang w:val="en-US"/>
              </w:rPr>
              <w:t>(subscale of supportant</w:t>
            </w:r>
            <w:r>
              <w:rPr>
                <w:sz w:val="14"/>
                <w:lang w:val="en-US"/>
              </w:rPr>
              <w:t xml:space="preserve"> coping, </w:t>
            </w:r>
            <w:r w:rsidRPr="00AA20FB">
              <w:rPr>
                <w:sz w:val="14"/>
                <w:lang w:val="en-US"/>
              </w:rPr>
              <w:t>mean score of 1.51 versus 1.07, range of 0-3).</w:t>
            </w:r>
          </w:p>
        </w:tc>
        <w:tc>
          <w:tcPr>
            <w:tcW w:w="512" w:type="pct"/>
            <w:shd w:val="clear" w:color="auto" w:fill="FFFFFF" w:themeFill="background1"/>
          </w:tcPr>
          <w:p w14:paraId="00F3E8F7"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BA4C08" w14:paraId="614BF557" w14:textId="77777777" w:rsidTr="007A78C6">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756A315" w14:textId="77777777" w:rsidR="007B2641" w:rsidRPr="00B0015C" w:rsidRDefault="007B2641" w:rsidP="007A78C6">
            <w:pPr>
              <w:rPr>
                <w:sz w:val="14"/>
                <w:lang w:val="en-US"/>
              </w:rPr>
            </w:pPr>
            <w:r w:rsidRPr="00B0015C">
              <w:rPr>
                <w:sz w:val="14"/>
                <w:lang w:val="en-US"/>
              </w:rPr>
              <w:t>Lindqvist</w:t>
            </w:r>
          </w:p>
          <w:p w14:paraId="61BB3395" w14:textId="77777777" w:rsidR="007B2641" w:rsidRPr="00B0015C" w:rsidRDefault="007B2641" w:rsidP="007A78C6">
            <w:pPr>
              <w:rPr>
                <w:sz w:val="14"/>
                <w:lang w:val="en-US"/>
              </w:rPr>
            </w:pPr>
            <w:r w:rsidRPr="00B0015C">
              <w:rPr>
                <w:sz w:val="14"/>
                <w:lang w:val="en-US"/>
              </w:rPr>
              <w:t>(2000)</w:t>
            </w:r>
          </w:p>
        </w:tc>
        <w:tc>
          <w:tcPr>
            <w:tcW w:w="463" w:type="pct"/>
            <w:shd w:val="clear" w:color="auto" w:fill="F2F2F2" w:themeFill="background1" w:themeFillShade="F2"/>
          </w:tcPr>
          <w:p w14:paraId="65B6C048"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2EFB6C3D"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7E743114"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(JCS)</w:t>
            </w:r>
          </w:p>
        </w:tc>
        <w:tc>
          <w:tcPr>
            <w:tcW w:w="3221" w:type="pct"/>
            <w:shd w:val="clear" w:color="auto" w:fill="F2F2F2" w:themeFill="background1" w:themeFillShade="F2"/>
          </w:tcPr>
          <w:p w14:paraId="4A8BD310"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AA20FB">
              <w:rPr>
                <w:sz w:val="14"/>
                <w:lang w:val="en-US"/>
              </w:rPr>
              <w:t>Women made more use of adequate coping as well as inadequate coping compared to men (</w:t>
            </w:r>
            <w:r>
              <w:rPr>
                <w:sz w:val="14"/>
                <w:lang w:val="en-US"/>
              </w:rPr>
              <w:t>a</w:t>
            </w:r>
            <w:r w:rsidRPr="00AA20FB">
              <w:rPr>
                <w:sz w:val="14"/>
                <w:lang w:val="en-US"/>
              </w:rPr>
              <w:t>dequate</w:t>
            </w:r>
            <w:r>
              <w:rPr>
                <w:sz w:val="14"/>
                <w:lang w:val="en-US"/>
              </w:rPr>
              <w:t xml:space="preserve"> coping</w:t>
            </w:r>
            <w:r w:rsidRPr="00AA20FB">
              <w:rPr>
                <w:sz w:val="14"/>
                <w:lang w:val="en-US"/>
              </w:rPr>
              <w:t xml:space="preserve">: subscales of confrontative </w:t>
            </w:r>
            <w:r>
              <w:rPr>
                <w:sz w:val="14"/>
                <w:lang w:val="en-US"/>
              </w:rPr>
              <w:t xml:space="preserve">coping, mean score of </w:t>
            </w:r>
            <w:r w:rsidRPr="00AA20FB">
              <w:rPr>
                <w:sz w:val="14"/>
                <w:lang w:val="en-US"/>
              </w:rPr>
              <w:t>1.73 versus 1.46, range of 0-3, supportant</w:t>
            </w:r>
            <w:r>
              <w:rPr>
                <w:sz w:val="14"/>
                <w:lang w:val="en-US"/>
              </w:rPr>
              <w:t xml:space="preserve"> coping, mean score of</w:t>
            </w:r>
            <w:r w:rsidRPr="00AA20FB">
              <w:rPr>
                <w:sz w:val="14"/>
                <w:lang w:val="en-US"/>
              </w:rPr>
              <w:t xml:space="preserve"> 1.43 versus 0.90, range of 0-3</w:t>
            </w:r>
            <w:r>
              <w:rPr>
                <w:sz w:val="14"/>
                <w:lang w:val="en-US"/>
              </w:rPr>
              <w:t xml:space="preserve">, </w:t>
            </w:r>
            <w:r w:rsidRPr="00AA20FB">
              <w:rPr>
                <w:sz w:val="14"/>
                <w:lang w:val="en-US"/>
              </w:rPr>
              <w:t xml:space="preserve">optimistic </w:t>
            </w:r>
            <w:r>
              <w:rPr>
                <w:sz w:val="14"/>
                <w:lang w:val="en-US"/>
              </w:rPr>
              <w:t xml:space="preserve">coping, mean score of </w:t>
            </w:r>
            <w:r w:rsidRPr="00AA20FB">
              <w:rPr>
                <w:sz w:val="14"/>
                <w:lang w:val="en-US"/>
              </w:rPr>
              <w:t>1.82 versus 1.45, range of 0-3</w:t>
            </w:r>
            <w:r>
              <w:rPr>
                <w:sz w:val="14"/>
                <w:lang w:val="en-US"/>
              </w:rPr>
              <w:t>, and</w:t>
            </w:r>
            <w:r w:rsidRPr="00AA20FB">
              <w:rPr>
                <w:sz w:val="14"/>
                <w:lang w:val="en-US"/>
              </w:rPr>
              <w:t xml:space="preserve"> evasive</w:t>
            </w:r>
            <w:r>
              <w:rPr>
                <w:sz w:val="14"/>
                <w:lang w:val="en-US"/>
              </w:rPr>
              <w:t xml:space="preserve"> coping, mean score of </w:t>
            </w:r>
            <w:r w:rsidRPr="00AA20FB">
              <w:rPr>
                <w:sz w:val="14"/>
                <w:lang w:val="en-US"/>
              </w:rPr>
              <w:t>1.28 versus 1.01, range of 0-3</w:t>
            </w:r>
            <w:r>
              <w:rPr>
                <w:sz w:val="14"/>
                <w:lang w:val="en-US"/>
              </w:rPr>
              <w:t>). Less or I</w:t>
            </w:r>
            <w:r w:rsidRPr="00AA20FB">
              <w:rPr>
                <w:sz w:val="14"/>
                <w:lang w:val="en-US"/>
              </w:rPr>
              <w:t>nadequate</w:t>
            </w:r>
            <w:r>
              <w:rPr>
                <w:sz w:val="14"/>
                <w:lang w:val="en-US"/>
              </w:rPr>
              <w:t xml:space="preserve"> coping</w:t>
            </w:r>
            <w:r w:rsidRPr="00AA20FB">
              <w:rPr>
                <w:sz w:val="14"/>
                <w:lang w:val="en-US"/>
              </w:rPr>
              <w:t xml:space="preserve">: subscales of fatalistic </w:t>
            </w:r>
            <w:r>
              <w:rPr>
                <w:sz w:val="14"/>
                <w:lang w:val="en-US"/>
              </w:rPr>
              <w:t xml:space="preserve">coping, mean score of </w:t>
            </w:r>
            <w:r w:rsidRPr="00AA20FB">
              <w:rPr>
                <w:sz w:val="14"/>
                <w:lang w:val="en-US"/>
              </w:rPr>
              <w:t>1.34 versus 1.09, range of 0-3</w:t>
            </w:r>
            <w:r>
              <w:rPr>
                <w:sz w:val="14"/>
                <w:lang w:val="en-US"/>
              </w:rPr>
              <w:t xml:space="preserve"> </w:t>
            </w:r>
            <w:r w:rsidRPr="00AA20FB">
              <w:rPr>
                <w:sz w:val="14"/>
                <w:lang w:val="en-US"/>
              </w:rPr>
              <w:t xml:space="preserve">and palliative </w:t>
            </w:r>
            <w:r>
              <w:rPr>
                <w:sz w:val="14"/>
                <w:lang w:val="en-US"/>
              </w:rPr>
              <w:t xml:space="preserve">coping, mean score of </w:t>
            </w:r>
            <w:r w:rsidRPr="00AA20FB">
              <w:rPr>
                <w:sz w:val="14"/>
                <w:lang w:val="en-US"/>
              </w:rPr>
              <w:t>1.04 versus 0.79, range of 0-3).</w:t>
            </w:r>
          </w:p>
        </w:tc>
        <w:tc>
          <w:tcPr>
            <w:tcW w:w="512" w:type="pct"/>
            <w:shd w:val="clear" w:color="auto" w:fill="F2F2F2" w:themeFill="background1" w:themeFillShade="F2"/>
          </w:tcPr>
          <w:p w14:paraId="712CDDF5"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AC33F5" w14:paraId="09644738"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3A0FF5D4" w14:textId="77777777" w:rsidR="007B2641" w:rsidRPr="00B0015C" w:rsidRDefault="007B2641" w:rsidP="007A78C6">
            <w:pPr>
              <w:rPr>
                <w:sz w:val="14"/>
                <w:lang w:val="en-US"/>
              </w:rPr>
            </w:pPr>
            <w:r w:rsidRPr="00B0015C">
              <w:rPr>
                <w:sz w:val="14"/>
                <w:lang w:val="en-US"/>
              </w:rPr>
              <w:t>Alexander</w:t>
            </w:r>
          </w:p>
          <w:p w14:paraId="11569D16" w14:textId="77777777" w:rsidR="007B2641" w:rsidRPr="00B0015C" w:rsidRDefault="007B2641" w:rsidP="007A78C6">
            <w:pPr>
              <w:rPr>
                <w:sz w:val="14"/>
                <w:lang w:val="en-US"/>
              </w:rPr>
            </w:pPr>
            <w:r w:rsidRPr="00B0015C">
              <w:rPr>
                <w:sz w:val="14"/>
                <w:lang w:val="en-US"/>
              </w:rPr>
              <w:t>(2001)</w:t>
            </w:r>
          </w:p>
        </w:tc>
        <w:tc>
          <w:tcPr>
            <w:tcW w:w="463" w:type="pct"/>
            <w:shd w:val="clear" w:color="auto" w:fill="FFFFFF" w:themeFill="background1"/>
          </w:tcPr>
          <w:p w14:paraId="42D50B0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021470D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653ADB6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(WCC-R)</w:t>
            </w:r>
          </w:p>
        </w:tc>
        <w:tc>
          <w:tcPr>
            <w:tcW w:w="3221" w:type="pct"/>
            <w:shd w:val="clear" w:color="auto" w:fill="FFFFFF" w:themeFill="background1"/>
          </w:tcPr>
          <w:p w14:paraId="1DFECCD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AA20FB">
              <w:rPr>
                <w:sz w:val="14"/>
                <w:lang w:val="en-US"/>
              </w:rPr>
              <w:t>Women reported more use of adequate coping compared to men (subscale</w:t>
            </w:r>
            <w:r>
              <w:rPr>
                <w:sz w:val="14"/>
                <w:lang w:val="en-US"/>
              </w:rPr>
              <w:t>s</w:t>
            </w:r>
            <w:r w:rsidRPr="00AA20FB">
              <w:rPr>
                <w:sz w:val="14"/>
                <w:lang w:val="en-US"/>
              </w:rPr>
              <w:t xml:space="preserve"> of problem-focused coping</w:t>
            </w:r>
            <w:r>
              <w:rPr>
                <w:sz w:val="14"/>
                <w:lang w:val="en-US"/>
              </w:rPr>
              <w:t xml:space="preserve">, </w:t>
            </w:r>
            <w:r w:rsidRPr="00AA20FB">
              <w:rPr>
                <w:sz w:val="14"/>
                <w:lang w:val="en-US"/>
              </w:rPr>
              <w:t xml:space="preserve">mean score of 15.17 versus 12.37, range of 0-36, </w:t>
            </w:r>
            <w:r>
              <w:rPr>
                <w:sz w:val="14"/>
                <w:lang w:val="en-US"/>
              </w:rPr>
              <w:t xml:space="preserve">and </w:t>
            </w:r>
            <w:r w:rsidRPr="00AA20FB">
              <w:rPr>
                <w:sz w:val="14"/>
                <w:lang w:val="en-US"/>
              </w:rPr>
              <w:t>seeking support</w:t>
            </w:r>
            <w:r>
              <w:rPr>
                <w:sz w:val="14"/>
                <w:lang w:val="en-US"/>
              </w:rPr>
              <w:t xml:space="preserve"> coping,</w:t>
            </w:r>
            <w:r w:rsidRPr="00AA20FB">
              <w:rPr>
                <w:sz w:val="14"/>
                <w:lang w:val="en-US"/>
              </w:rPr>
              <w:t xml:space="preserve"> mean score of 9.40 versus 5.31, range of 0-18).</w:t>
            </w:r>
          </w:p>
        </w:tc>
        <w:tc>
          <w:tcPr>
            <w:tcW w:w="512" w:type="pct"/>
            <w:shd w:val="clear" w:color="auto" w:fill="FFFFFF" w:themeFill="background1"/>
          </w:tcPr>
          <w:p w14:paraId="5305323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8C0C8E" w14:paraId="17C3FAF1"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670CDDA6" w14:textId="77777777" w:rsidR="007B2641" w:rsidRPr="00B0015C" w:rsidRDefault="007B2641" w:rsidP="007A78C6">
            <w:pPr>
              <w:rPr>
                <w:sz w:val="14"/>
                <w:lang w:val="en-US"/>
              </w:rPr>
            </w:pPr>
            <w:r w:rsidRPr="00B0015C">
              <w:rPr>
                <w:sz w:val="14"/>
                <w:lang w:val="en-US"/>
              </w:rPr>
              <w:t>Friborg</w:t>
            </w:r>
          </w:p>
          <w:p w14:paraId="73A00CE2" w14:textId="77777777" w:rsidR="007B2641" w:rsidRPr="00B0015C" w:rsidRDefault="007B2641" w:rsidP="007A78C6">
            <w:pPr>
              <w:rPr>
                <w:sz w:val="14"/>
                <w:lang w:val="en-US"/>
              </w:rPr>
            </w:pPr>
            <w:r w:rsidRPr="00B0015C">
              <w:rPr>
                <w:sz w:val="14"/>
                <w:lang w:val="en-US"/>
              </w:rPr>
              <w:t>(2003)</w:t>
            </w:r>
          </w:p>
        </w:tc>
        <w:tc>
          <w:tcPr>
            <w:tcW w:w="463" w:type="pct"/>
            <w:shd w:val="clear" w:color="auto" w:fill="F2F2F2" w:themeFill="background1" w:themeFillShade="F2"/>
          </w:tcPr>
          <w:p w14:paraId="5E1B234D"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52261BB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1B01EDAF"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(RSA-A)</w:t>
            </w:r>
          </w:p>
        </w:tc>
        <w:tc>
          <w:tcPr>
            <w:tcW w:w="3221" w:type="pct"/>
            <w:shd w:val="clear" w:color="auto" w:fill="F2F2F2" w:themeFill="background1" w:themeFillShade="F2"/>
          </w:tcPr>
          <w:p w14:paraId="340820E0"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Gender was associated with two resilience subscales. Women reported higher levels of the subscale social support (5.91 versus 5.45, range 1-7) and lower levels of the subscale personal competence (5.28 versus 5.51, range 1-7) than men did. </w:t>
            </w:r>
          </w:p>
        </w:tc>
        <w:tc>
          <w:tcPr>
            <w:tcW w:w="512" w:type="pct"/>
            <w:shd w:val="clear" w:color="auto" w:fill="F2F2F2" w:themeFill="background1" w:themeFillShade="F2"/>
          </w:tcPr>
          <w:p w14:paraId="36E20419"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F56594" w14:paraId="0632955F"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547EAA72" w14:textId="77777777" w:rsidR="007B2641" w:rsidRPr="00B0015C" w:rsidRDefault="007B2641" w:rsidP="007A78C6">
            <w:pPr>
              <w:rPr>
                <w:sz w:val="14"/>
                <w:lang w:val="en-US"/>
              </w:rPr>
            </w:pPr>
            <w:r w:rsidRPr="00B0015C">
              <w:rPr>
                <w:sz w:val="14"/>
                <w:lang w:val="en-US"/>
              </w:rPr>
              <w:t>Matud</w:t>
            </w:r>
          </w:p>
          <w:p w14:paraId="1A5DA86A" w14:textId="77777777" w:rsidR="007B2641" w:rsidRPr="00B0015C" w:rsidRDefault="007B2641" w:rsidP="007A78C6">
            <w:pPr>
              <w:rPr>
                <w:sz w:val="14"/>
                <w:lang w:val="en-US"/>
              </w:rPr>
            </w:pPr>
            <w:r w:rsidRPr="00B0015C">
              <w:rPr>
                <w:sz w:val="14"/>
                <w:lang w:val="en-US"/>
              </w:rPr>
              <w:t>(2004)</w:t>
            </w:r>
          </w:p>
        </w:tc>
        <w:tc>
          <w:tcPr>
            <w:tcW w:w="463" w:type="pct"/>
            <w:shd w:val="clear" w:color="auto" w:fill="FFFFFF" w:themeFill="background1"/>
          </w:tcPr>
          <w:p w14:paraId="1612AB8C"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654BE6C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2BE281F2"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(CSQ)</w:t>
            </w:r>
          </w:p>
        </w:tc>
        <w:tc>
          <w:tcPr>
            <w:tcW w:w="3221" w:type="pct"/>
            <w:shd w:val="clear" w:color="auto" w:fill="FFFFFF" w:themeFill="background1"/>
          </w:tcPr>
          <w:p w14:paraId="2B9FE639"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Women made more use of inadequate coping compared to men (subscales of emotional coping, mean score of 13.19 versus 11.55, range of 1-25) and avoidance coping, mean score of 10.09 versus 9.05, range of 3-25). Men made more use of adequate coping (subscale of rational coping, mean scores of 25.06 versus 23.15, range of 14-47) as well as inadequate coping (subscale of detachment coping, mean scores of 11.61 versus 10.61, range of 1-28).</w:t>
            </w:r>
          </w:p>
        </w:tc>
        <w:tc>
          <w:tcPr>
            <w:tcW w:w="512" w:type="pct"/>
            <w:shd w:val="clear" w:color="auto" w:fill="FFFFFF" w:themeFill="background1"/>
          </w:tcPr>
          <w:p w14:paraId="304FF339"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F56594" w14:paraId="00E91351"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5D9911CF" w14:textId="77777777" w:rsidR="007B2641" w:rsidRPr="00B0015C" w:rsidRDefault="007B2641" w:rsidP="007A78C6">
            <w:pPr>
              <w:rPr>
                <w:sz w:val="14"/>
                <w:lang w:val="en-US"/>
              </w:rPr>
            </w:pPr>
            <w:r w:rsidRPr="00B0015C">
              <w:rPr>
                <w:sz w:val="14"/>
                <w:lang w:val="en-US"/>
              </w:rPr>
              <w:t>Simeon</w:t>
            </w:r>
          </w:p>
          <w:p w14:paraId="544D2A29" w14:textId="77777777" w:rsidR="007B2641" w:rsidRPr="00B0015C" w:rsidRDefault="007B2641" w:rsidP="007A78C6">
            <w:pPr>
              <w:rPr>
                <w:sz w:val="14"/>
                <w:lang w:val="en-US"/>
              </w:rPr>
            </w:pPr>
            <w:r w:rsidRPr="00B0015C">
              <w:rPr>
                <w:sz w:val="14"/>
                <w:lang w:val="en-US"/>
              </w:rPr>
              <w:t>(2007)</w:t>
            </w:r>
          </w:p>
        </w:tc>
        <w:tc>
          <w:tcPr>
            <w:tcW w:w="463" w:type="pct"/>
            <w:shd w:val="clear" w:color="auto" w:fill="F2F2F2" w:themeFill="background1" w:themeFillShade="F2"/>
          </w:tcPr>
          <w:p w14:paraId="2F573951"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403EAAC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3F2A394F"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(DSQ)</w:t>
            </w:r>
          </w:p>
        </w:tc>
        <w:tc>
          <w:tcPr>
            <w:tcW w:w="3221" w:type="pct"/>
            <w:shd w:val="clear" w:color="auto" w:fill="F2F2F2" w:themeFill="background1" w:themeFillShade="F2"/>
          </w:tcPr>
          <w:p w14:paraId="51E55B33"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No significant association was discovered between gender and resilience.</w:t>
            </w:r>
          </w:p>
        </w:tc>
        <w:tc>
          <w:tcPr>
            <w:tcW w:w="512" w:type="pct"/>
            <w:shd w:val="clear" w:color="auto" w:fill="F2F2F2" w:themeFill="background1" w:themeFillShade="F2"/>
          </w:tcPr>
          <w:p w14:paraId="66E882A6"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F77AC3" w14:paraId="21D246AD"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0896CB51" w14:textId="77777777" w:rsidR="007B2641" w:rsidRPr="00B0015C" w:rsidRDefault="007B2641" w:rsidP="007A78C6">
            <w:pPr>
              <w:rPr>
                <w:sz w:val="14"/>
                <w:lang w:val="en-US"/>
              </w:rPr>
            </w:pPr>
            <w:r w:rsidRPr="00B0015C">
              <w:rPr>
                <w:sz w:val="14"/>
                <w:lang w:val="en-US"/>
              </w:rPr>
              <w:t>Howerton</w:t>
            </w:r>
          </w:p>
          <w:p w14:paraId="1C02A172" w14:textId="77777777" w:rsidR="007B2641" w:rsidRPr="00B0015C" w:rsidRDefault="007B2641" w:rsidP="007A78C6">
            <w:pPr>
              <w:rPr>
                <w:sz w:val="14"/>
                <w:lang w:val="en-US"/>
              </w:rPr>
            </w:pPr>
            <w:r w:rsidRPr="00B0015C">
              <w:rPr>
                <w:sz w:val="14"/>
                <w:lang w:val="en-US"/>
              </w:rPr>
              <w:t>(2009)</w:t>
            </w:r>
          </w:p>
        </w:tc>
        <w:tc>
          <w:tcPr>
            <w:tcW w:w="463" w:type="pct"/>
            <w:shd w:val="clear" w:color="auto" w:fill="FFFFFF" w:themeFill="background1"/>
          </w:tcPr>
          <w:p w14:paraId="2BF8482D"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6EF5B98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63DC5E8E"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(MCI)</w:t>
            </w:r>
          </w:p>
        </w:tc>
        <w:tc>
          <w:tcPr>
            <w:tcW w:w="3221" w:type="pct"/>
            <w:shd w:val="clear" w:color="auto" w:fill="FFFFFF" w:themeFill="background1"/>
          </w:tcPr>
          <w:p w14:paraId="18244747"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Men used more adequate coping compared to women (subscale of problem-focused coping, mean score of 12.5 versus 12.3, range of 4-16). Women used more inadequate coping compared to men (subscales of emotion-focused, mean score of 14.4 versus 12.9, range 5-20, and avoidance coping, mean score of 5.5 versus 4.8, range of 3-12). While controlling for ethnicity and SES, being female was associated with </w:t>
            </w:r>
            <w:r>
              <w:rPr>
                <w:sz w:val="14"/>
                <w:lang w:val="en-US"/>
              </w:rPr>
              <w:lastRenderedPageBreak/>
              <w:t>inadequate coping (subscale of emotion-focused coping (b = 1.56) and avoidance coping (b = 0.65)). When taking the experience of chronic strain into account, the association of gender with inadequate coping decreased but remained significant (respectively, b = 1.53 and 0.54).</w:t>
            </w:r>
          </w:p>
        </w:tc>
        <w:tc>
          <w:tcPr>
            <w:tcW w:w="512" w:type="pct"/>
            <w:shd w:val="clear" w:color="auto" w:fill="FFFFFF" w:themeFill="background1"/>
          </w:tcPr>
          <w:p w14:paraId="42CF3287"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lastRenderedPageBreak/>
              <w:t>Ethnicity, SES, chronic strain</w:t>
            </w:r>
          </w:p>
        </w:tc>
      </w:tr>
      <w:tr w:rsidR="007B2641" w:rsidRPr="00F77AC3" w14:paraId="3C14D3D4"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1AEE2853" w14:textId="77777777" w:rsidR="007B2641" w:rsidRPr="00B0015C" w:rsidRDefault="007B2641" w:rsidP="007A78C6">
            <w:pPr>
              <w:rPr>
                <w:sz w:val="14"/>
                <w:lang w:val="en-US"/>
              </w:rPr>
            </w:pPr>
            <w:r w:rsidRPr="00B0015C">
              <w:rPr>
                <w:sz w:val="14"/>
                <w:lang w:val="en-US"/>
              </w:rPr>
              <w:t>Melendez</w:t>
            </w:r>
          </w:p>
          <w:p w14:paraId="3D8DCAF3" w14:textId="77777777" w:rsidR="007B2641" w:rsidRPr="00B0015C" w:rsidRDefault="007B2641" w:rsidP="007A78C6">
            <w:pPr>
              <w:rPr>
                <w:sz w:val="14"/>
                <w:lang w:val="en-US"/>
              </w:rPr>
            </w:pPr>
            <w:r w:rsidRPr="00B0015C">
              <w:rPr>
                <w:sz w:val="14"/>
                <w:lang w:val="en-US"/>
              </w:rPr>
              <w:t>(2012)</w:t>
            </w:r>
          </w:p>
        </w:tc>
        <w:tc>
          <w:tcPr>
            <w:tcW w:w="463" w:type="pct"/>
            <w:shd w:val="clear" w:color="auto" w:fill="F2F2F2" w:themeFill="background1" w:themeFillShade="F2"/>
          </w:tcPr>
          <w:p w14:paraId="03AF9B1B"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02DE119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1C555281"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(CSQ)</w:t>
            </w:r>
          </w:p>
        </w:tc>
        <w:tc>
          <w:tcPr>
            <w:tcW w:w="3221" w:type="pct"/>
            <w:shd w:val="clear" w:color="auto" w:fill="F2F2F2" w:themeFill="background1" w:themeFillShade="F2"/>
          </w:tcPr>
          <w:p w14:paraId="104ADC63" w14:textId="77777777" w:rsidR="007B2641" w:rsidRPr="0052174E" w:rsidRDefault="007B2641" w:rsidP="007A78C6">
            <w:pPr>
              <w:cnfStyle w:val="000000100000" w:firstRow="0" w:lastRow="0" w:firstColumn="0" w:lastColumn="0" w:oddVBand="0" w:evenVBand="0" w:oddHBand="1" w:evenHBand="0" w:firstRowFirstColumn="0" w:firstRowLastColumn="0" w:lastRowFirstColumn="0" w:lastRowLastColumn="0"/>
              <w:rPr>
                <w:sz w:val="14"/>
                <w:highlight w:val="darkYellow"/>
                <w:lang w:val="en-US"/>
              </w:rPr>
            </w:pPr>
            <w:r w:rsidRPr="00BC1047">
              <w:rPr>
                <w:sz w:val="14"/>
                <w:lang w:val="en-US"/>
              </w:rPr>
              <w:t xml:space="preserve">Women made more use of inadequate coping compared to men (subscale of negative self-focus, mean score of 1.52 versus 1.45, range of 0-6) and adequate coping (subscale of seeking support, mean score of 3.06 versus 2.28, range of 0-6). </w:t>
            </w:r>
            <w:r>
              <w:rPr>
                <w:sz w:val="14"/>
                <w:lang w:val="en-US"/>
              </w:rPr>
              <w:t>Contrarily, m</w:t>
            </w:r>
            <w:r w:rsidRPr="00BC1047">
              <w:rPr>
                <w:sz w:val="14"/>
                <w:lang w:val="en-US"/>
              </w:rPr>
              <w:t xml:space="preserve">en made more use of </w:t>
            </w:r>
            <w:r>
              <w:rPr>
                <w:sz w:val="14"/>
                <w:lang w:val="en-US"/>
              </w:rPr>
              <w:t>other i</w:t>
            </w:r>
            <w:r w:rsidRPr="00BC1047">
              <w:rPr>
                <w:sz w:val="14"/>
                <w:lang w:val="en-US"/>
              </w:rPr>
              <w:t xml:space="preserve">nadequate coping </w:t>
            </w:r>
            <w:r>
              <w:rPr>
                <w:sz w:val="14"/>
                <w:lang w:val="en-US"/>
              </w:rPr>
              <w:t xml:space="preserve">strategies </w:t>
            </w:r>
            <w:r w:rsidRPr="00BC1047">
              <w:rPr>
                <w:sz w:val="14"/>
                <w:lang w:val="en-US"/>
              </w:rPr>
              <w:t>(subscale of avoidance, mean score of 2.34 versus 2.24, range of</w:t>
            </w:r>
            <w:r>
              <w:rPr>
                <w:sz w:val="14"/>
                <w:lang w:val="en-US"/>
              </w:rPr>
              <w:t xml:space="preserve"> </w:t>
            </w:r>
            <w:r w:rsidRPr="00BC1047">
              <w:rPr>
                <w:sz w:val="14"/>
                <w:lang w:val="en-US"/>
              </w:rPr>
              <w:t>0-6</w:t>
            </w:r>
            <w:r>
              <w:rPr>
                <w:sz w:val="14"/>
                <w:lang w:val="en-US"/>
              </w:rPr>
              <w:t>,</w:t>
            </w:r>
            <w:r w:rsidRPr="00BC1047">
              <w:rPr>
                <w:sz w:val="14"/>
                <w:lang w:val="en-US"/>
              </w:rPr>
              <w:t xml:space="preserve"> and religion, mean score of 0.32 versus 0.30, range o</w:t>
            </w:r>
            <w:r>
              <w:rPr>
                <w:sz w:val="14"/>
                <w:lang w:val="en-US"/>
              </w:rPr>
              <w:t>f</w:t>
            </w:r>
            <w:r w:rsidRPr="00BC1047">
              <w:rPr>
                <w:sz w:val="14"/>
                <w:lang w:val="en-US"/>
              </w:rPr>
              <w:t xml:space="preserve"> 0-6</w:t>
            </w:r>
            <w:r>
              <w:rPr>
                <w:sz w:val="14"/>
                <w:lang w:val="en-US"/>
              </w:rPr>
              <w:t>)</w:t>
            </w:r>
            <w:r w:rsidRPr="00BC1047">
              <w:rPr>
                <w:sz w:val="14"/>
                <w:lang w:val="en-US"/>
              </w:rPr>
              <w:t xml:space="preserve">. </w:t>
            </w:r>
          </w:p>
        </w:tc>
        <w:tc>
          <w:tcPr>
            <w:tcW w:w="512" w:type="pct"/>
            <w:shd w:val="clear" w:color="auto" w:fill="F2F2F2" w:themeFill="background1" w:themeFillShade="F2"/>
          </w:tcPr>
          <w:p w14:paraId="22F56AF4"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1A156D" w14:paraId="2B1AF24C"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060F46E8" w14:textId="77777777" w:rsidR="007B2641" w:rsidRPr="00B0015C" w:rsidRDefault="007B2641" w:rsidP="007A78C6">
            <w:pPr>
              <w:rPr>
                <w:sz w:val="14"/>
                <w:lang w:val="en-US"/>
              </w:rPr>
            </w:pPr>
            <w:r w:rsidRPr="00B0015C">
              <w:rPr>
                <w:sz w:val="14"/>
                <w:lang w:val="en-US"/>
              </w:rPr>
              <w:t>Amirkhan</w:t>
            </w:r>
          </w:p>
          <w:p w14:paraId="131FF26C" w14:textId="77777777" w:rsidR="007B2641" w:rsidRPr="00B0015C" w:rsidRDefault="007B2641" w:rsidP="007A78C6">
            <w:pPr>
              <w:rPr>
                <w:sz w:val="14"/>
                <w:lang w:val="en-US"/>
              </w:rPr>
            </w:pPr>
            <w:r w:rsidRPr="00B0015C">
              <w:rPr>
                <w:sz w:val="14"/>
                <w:lang w:val="en-US"/>
              </w:rPr>
              <w:t>(2017)</w:t>
            </w:r>
          </w:p>
        </w:tc>
        <w:tc>
          <w:tcPr>
            <w:tcW w:w="463" w:type="pct"/>
            <w:shd w:val="clear" w:color="auto" w:fill="FFFFFF" w:themeFill="background1"/>
          </w:tcPr>
          <w:p w14:paraId="4BA3DF4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68BA13B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45933AA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(CSI)</w:t>
            </w:r>
          </w:p>
        </w:tc>
        <w:tc>
          <w:tcPr>
            <w:tcW w:w="3221" w:type="pct"/>
            <w:shd w:val="clear" w:color="auto" w:fill="FFFFFF" w:themeFill="background1"/>
          </w:tcPr>
          <w:p w14:paraId="3C3E1D71"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No significant associations were discovered between gender and coping.</w:t>
            </w:r>
          </w:p>
        </w:tc>
        <w:tc>
          <w:tcPr>
            <w:tcW w:w="512" w:type="pct"/>
            <w:shd w:val="clear" w:color="auto" w:fill="FFFFFF" w:themeFill="background1"/>
          </w:tcPr>
          <w:p w14:paraId="35FC4CCC"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1A62C2" w14:paraId="76A4AA6F"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3CE0C53" w14:textId="77777777" w:rsidR="007B2641" w:rsidRPr="00B0015C" w:rsidRDefault="007B2641" w:rsidP="007A78C6">
            <w:pPr>
              <w:rPr>
                <w:sz w:val="14"/>
                <w:lang w:val="en-US"/>
              </w:rPr>
            </w:pPr>
            <w:r w:rsidRPr="00B0015C">
              <w:rPr>
                <w:sz w:val="14"/>
                <w:lang w:val="en-US"/>
              </w:rPr>
              <w:t>Tomyn</w:t>
            </w:r>
          </w:p>
          <w:p w14:paraId="52BBA744" w14:textId="77777777" w:rsidR="007B2641" w:rsidRPr="00B0015C" w:rsidRDefault="007B2641" w:rsidP="007A78C6">
            <w:pPr>
              <w:rPr>
                <w:sz w:val="14"/>
                <w:lang w:val="en-US"/>
              </w:rPr>
            </w:pPr>
            <w:r w:rsidRPr="00B0015C">
              <w:rPr>
                <w:sz w:val="14"/>
                <w:lang w:val="en-US"/>
              </w:rPr>
              <w:t>(2018)</w:t>
            </w:r>
          </w:p>
        </w:tc>
        <w:tc>
          <w:tcPr>
            <w:tcW w:w="463" w:type="pct"/>
            <w:shd w:val="clear" w:color="auto" w:fill="F2F2F2" w:themeFill="background1" w:themeFillShade="F2"/>
          </w:tcPr>
          <w:p w14:paraId="040CB0C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75E56F7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7DF13D0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(CD-RISC)</w:t>
            </w:r>
          </w:p>
        </w:tc>
        <w:tc>
          <w:tcPr>
            <w:tcW w:w="3221" w:type="pct"/>
            <w:shd w:val="clear" w:color="auto" w:fill="F2F2F2" w:themeFill="background1" w:themeFillShade="F2"/>
          </w:tcPr>
          <w:p w14:paraId="2ABE526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Male participants reported higher mean resilience scores compared to females (77.58 versus 73.56, on a scale of 0-100%).</w:t>
            </w:r>
          </w:p>
        </w:tc>
        <w:tc>
          <w:tcPr>
            <w:tcW w:w="512" w:type="pct"/>
            <w:shd w:val="clear" w:color="auto" w:fill="F2F2F2" w:themeFill="background1" w:themeFillShade="F2"/>
          </w:tcPr>
          <w:p w14:paraId="626C7A82"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8808E5" w14:paraId="5FE0532C"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262B6308" w14:textId="77777777" w:rsidR="007B2641" w:rsidRPr="00B0015C" w:rsidRDefault="007B2641" w:rsidP="007A78C6">
            <w:pPr>
              <w:rPr>
                <w:sz w:val="14"/>
                <w:lang w:val="en-US"/>
              </w:rPr>
            </w:pPr>
            <w:r w:rsidRPr="00B0015C">
              <w:rPr>
                <w:sz w:val="14"/>
                <w:lang w:val="en-US"/>
              </w:rPr>
              <w:t>Montoya-Williams</w:t>
            </w:r>
          </w:p>
          <w:p w14:paraId="6982E360" w14:textId="77777777" w:rsidR="007B2641" w:rsidRPr="00B0015C" w:rsidRDefault="007B2641" w:rsidP="007A78C6">
            <w:pPr>
              <w:rPr>
                <w:sz w:val="14"/>
                <w:lang w:val="en-US"/>
              </w:rPr>
            </w:pPr>
            <w:r w:rsidRPr="00B0015C">
              <w:rPr>
                <w:sz w:val="14"/>
                <w:lang w:val="en-US"/>
              </w:rPr>
              <w:t>(2020)</w:t>
            </w:r>
          </w:p>
        </w:tc>
        <w:tc>
          <w:tcPr>
            <w:tcW w:w="463" w:type="pct"/>
            <w:shd w:val="clear" w:color="auto" w:fill="FFFFFF" w:themeFill="background1"/>
          </w:tcPr>
          <w:p w14:paraId="5D59BFE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5724D012"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3A4F2EB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(AHRI)</w:t>
            </w:r>
          </w:p>
        </w:tc>
        <w:tc>
          <w:tcPr>
            <w:tcW w:w="3221" w:type="pct"/>
            <w:shd w:val="clear" w:color="auto" w:fill="FFFFFF" w:themeFill="background1"/>
          </w:tcPr>
          <w:p w14:paraId="0AC0C73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Male participants scored higher mean resilience scores compared to female participants (14.6 versus 14.1, range of 0-29).</w:t>
            </w:r>
          </w:p>
        </w:tc>
        <w:tc>
          <w:tcPr>
            <w:tcW w:w="512" w:type="pct"/>
            <w:shd w:val="clear" w:color="auto" w:fill="FFFFFF" w:themeFill="background1"/>
          </w:tcPr>
          <w:p w14:paraId="20A7C94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943085" w14:paraId="1F09734E"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3BE39E4B" w14:textId="77777777" w:rsidR="007B2641" w:rsidRPr="00B0015C" w:rsidRDefault="007B2641" w:rsidP="007A78C6">
            <w:pPr>
              <w:rPr>
                <w:sz w:val="14"/>
                <w:lang w:val="en-US"/>
              </w:rPr>
            </w:pPr>
            <w:r w:rsidRPr="00B0015C">
              <w:rPr>
                <w:sz w:val="14"/>
                <w:lang w:val="en-US"/>
              </w:rPr>
              <w:t>Pulido-Martos</w:t>
            </w:r>
          </w:p>
          <w:p w14:paraId="263C7EE3" w14:textId="77777777" w:rsidR="007B2641" w:rsidRPr="00B0015C" w:rsidRDefault="007B2641" w:rsidP="007A78C6">
            <w:pPr>
              <w:rPr>
                <w:sz w:val="14"/>
                <w:lang w:val="en-US"/>
              </w:rPr>
            </w:pPr>
            <w:r w:rsidRPr="00B0015C">
              <w:rPr>
                <w:sz w:val="14"/>
                <w:lang w:val="en-US"/>
              </w:rPr>
              <w:t>(2020)</w:t>
            </w:r>
          </w:p>
        </w:tc>
        <w:tc>
          <w:tcPr>
            <w:tcW w:w="463" w:type="pct"/>
            <w:shd w:val="clear" w:color="auto" w:fill="F2F2F2" w:themeFill="background1" w:themeFillShade="F2"/>
          </w:tcPr>
          <w:p w14:paraId="79DC838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w:t>
            </w:r>
          </w:p>
        </w:tc>
        <w:tc>
          <w:tcPr>
            <w:tcW w:w="391" w:type="pct"/>
            <w:shd w:val="clear" w:color="auto" w:fill="F2F2F2" w:themeFill="background1" w:themeFillShade="F2"/>
          </w:tcPr>
          <w:p w14:paraId="1BAFEE8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475E61F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(CD-RISC)</w:t>
            </w:r>
          </w:p>
        </w:tc>
        <w:tc>
          <w:tcPr>
            <w:tcW w:w="3221" w:type="pct"/>
            <w:shd w:val="clear" w:color="auto" w:fill="F2F2F2" w:themeFill="background1" w:themeFillShade="F2"/>
          </w:tcPr>
          <w:p w14:paraId="0AE15864" w14:textId="77777777" w:rsidR="007B2641" w:rsidRPr="00193688"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193688">
              <w:rPr>
                <w:sz w:val="14"/>
                <w:lang w:val="en-US"/>
              </w:rPr>
              <w:t>In general, men had higher resilience scores compared to women (women scoring 0.09 units lower than men).</w:t>
            </w:r>
          </w:p>
        </w:tc>
        <w:tc>
          <w:tcPr>
            <w:tcW w:w="512" w:type="pct"/>
            <w:shd w:val="clear" w:color="auto" w:fill="F2F2F2" w:themeFill="background1" w:themeFillShade="F2"/>
          </w:tcPr>
          <w:p w14:paraId="02089A0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E668D7" w14:paraId="123C0C35"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89947BC" w14:textId="77777777" w:rsidR="007B2641" w:rsidRPr="00B0015C" w:rsidRDefault="007B2641" w:rsidP="007A78C6">
            <w:pPr>
              <w:rPr>
                <w:sz w:val="14"/>
                <w:lang w:val="en-US"/>
              </w:rPr>
            </w:pPr>
            <w:r w:rsidRPr="00B0015C">
              <w:rPr>
                <w:sz w:val="14"/>
                <w:lang w:val="en-US"/>
              </w:rPr>
              <w:t>Batsikoura</w:t>
            </w:r>
          </w:p>
          <w:p w14:paraId="3B61E451" w14:textId="77777777" w:rsidR="007B2641" w:rsidRPr="00B0015C" w:rsidRDefault="007B2641" w:rsidP="007A78C6">
            <w:pPr>
              <w:rPr>
                <w:sz w:val="14"/>
                <w:lang w:val="en-US"/>
              </w:rPr>
            </w:pPr>
            <w:r w:rsidRPr="00B0015C">
              <w:rPr>
                <w:sz w:val="14"/>
                <w:lang w:val="en-US"/>
              </w:rPr>
              <w:t>(2021)</w:t>
            </w:r>
          </w:p>
        </w:tc>
        <w:tc>
          <w:tcPr>
            <w:tcW w:w="463" w:type="pct"/>
            <w:shd w:val="clear" w:color="auto" w:fill="FFFFFF" w:themeFill="background1"/>
          </w:tcPr>
          <w:p w14:paraId="3580DC4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w:t>
            </w:r>
          </w:p>
        </w:tc>
        <w:tc>
          <w:tcPr>
            <w:tcW w:w="391" w:type="pct"/>
            <w:shd w:val="clear" w:color="auto" w:fill="FFFFFF" w:themeFill="background1"/>
          </w:tcPr>
          <w:p w14:paraId="2B8F7C5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3AA2DD3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(COPE)</w:t>
            </w:r>
          </w:p>
        </w:tc>
        <w:tc>
          <w:tcPr>
            <w:tcW w:w="3221" w:type="pct"/>
            <w:shd w:val="clear" w:color="auto" w:fill="FFFFFF" w:themeFill="background1"/>
          </w:tcPr>
          <w:p w14:paraId="150C7FBD"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Being female was positively associated with using adequate coping strategies (subscale of emotional/instrumental support, r = 0.28) and negatively associated with using inadequate coping strategies (subscale of substance use, r = -0.37).</w:t>
            </w:r>
          </w:p>
        </w:tc>
        <w:tc>
          <w:tcPr>
            <w:tcW w:w="512" w:type="pct"/>
            <w:shd w:val="clear" w:color="auto" w:fill="FFFFFF" w:themeFill="background1"/>
          </w:tcPr>
          <w:p w14:paraId="1B8D2E75"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Age, educational level, urbanization, lifestyle and anxiety</w:t>
            </w:r>
          </w:p>
        </w:tc>
      </w:tr>
      <w:tr w:rsidR="007B2641" w:rsidRPr="00D6475C" w14:paraId="4E31C864"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bottom w:val="nil"/>
            </w:tcBorders>
            <w:shd w:val="clear" w:color="auto" w:fill="F2F2F2" w:themeFill="background1" w:themeFillShade="F2"/>
          </w:tcPr>
          <w:p w14:paraId="24AD0E98" w14:textId="77777777" w:rsidR="007B2641" w:rsidRPr="00B0015C" w:rsidRDefault="007B2641" w:rsidP="007A78C6">
            <w:pPr>
              <w:rPr>
                <w:sz w:val="14"/>
                <w:lang w:val="en-US"/>
              </w:rPr>
            </w:pPr>
            <w:r w:rsidRPr="00B0015C">
              <w:rPr>
                <w:sz w:val="14"/>
                <w:lang w:val="en-US"/>
              </w:rPr>
              <w:t>Howerton</w:t>
            </w:r>
          </w:p>
          <w:p w14:paraId="1E159FAF" w14:textId="77777777" w:rsidR="007B2641" w:rsidRPr="00B0015C" w:rsidRDefault="007B2641" w:rsidP="007A78C6">
            <w:pPr>
              <w:rPr>
                <w:sz w:val="14"/>
                <w:lang w:val="en-US"/>
              </w:rPr>
            </w:pPr>
            <w:r w:rsidRPr="00B0015C">
              <w:rPr>
                <w:sz w:val="14"/>
                <w:lang w:val="en-US"/>
              </w:rPr>
              <w:t>(2009)</w:t>
            </w:r>
          </w:p>
        </w:tc>
        <w:tc>
          <w:tcPr>
            <w:tcW w:w="463" w:type="pct"/>
            <w:tcBorders>
              <w:bottom w:val="nil"/>
            </w:tcBorders>
            <w:shd w:val="clear" w:color="auto" w:fill="F2F2F2" w:themeFill="background1" w:themeFillShade="F2"/>
          </w:tcPr>
          <w:p w14:paraId="3E9BB47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Ethnicity</w:t>
            </w:r>
          </w:p>
        </w:tc>
        <w:tc>
          <w:tcPr>
            <w:tcW w:w="391" w:type="pct"/>
            <w:tcBorders>
              <w:bottom w:val="nil"/>
            </w:tcBorders>
            <w:shd w:val="clear" w:color="auto" w:fill="F2F2F2" w:themeFill="background1" w:themeFillShade="F2"/>
          </w:tcPr>
          <w:p w14:paraId="76674CC3"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73F8C7A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(MCI)</w:t>
            </w:r>
          </w:p>
        </w:tc>
        <w:tc>
          <w:tcPr>
            <w:tcW w:w="3221" w:type="pct"/>
            <w:tcBorders>
              <w:bottom w:val="nil"/>
            </w:tcBorders>
            <w:shd w:val="clear" w:color="auto" w:fill="F2F2F2" w:themeFill="background1" w:themeFillShade="F2"/>
          </w:tcPr>
          <w:p w14:paraId="2A0F4FD2"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Having a Hispanic or African American background compared to the Caucasian respondents was positively associated with inadequate coping (subscale of avoidance coping, b = 0.34 and 1.07, respectively), while controlling for gender and SES. The effect remained when additionally controlling for experienced chronic strain (b = 0.25 and 0.95).</w:t>
            </w:r>
          </w:p>
        </w:tc>
        <w:tc>
          <w:tcPr>
            <w:tcW w:w="512" w:type="pct"/>
            <w:tcBorders>
              <w:bottom w:val="nil"/>
            </w:tcBorders>
            <w:shd w:val="clear" w:color="auto" w:fill="F2F2F2" w:themeFill="background1" w:themeFillShade="F2"/>
          </w:tcPr>
          <w:p w14:paraId="2875E72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Gender, SES, chronic strain</w:t>
            </w:r>
          </w:p>
        </w:tc>
      </w:tr>
      <w:tr w:rsidR="007B2641" w:rsidRPr="00400CB0" w14:paraId="6C26C6FE"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nil"/>
              <w:bottom w:val="nil"/>
            </w:tcBorders>
            <w:shd w:val="clear" w:color="auto" w:fill="FFFFFF" w:themeFill="background1"/>
          </w:tcPr>
          <w:p w14:paraId="66E17C84" w14:textId="77777777" w:rsidR="007B2641" w:rsidRPr="00B0015C" w:rsidRDefault="007B2641" w:rsidP="007A78C6">
            <w:pPr>
              <w:rPr>
                <w:sz w:val="14"/>
                <w:lang w:val="en-US"/>
              </w:rPr>
            </w:pPr>
            <w:r w:rsidRPr="00B0015C">
              <w:rPr>
                <w:sz w:val="14"/>
                <w:lang w:val="en-US"/>
              </w:rPr>
              <w:t>Montoya-Williams</w:t>
            </w:r>
          </w:p>
          <w:p w14:paraId="7372CC23" w14:textId="77777777" w:rsidR="007B2641" w:rsidRPr="00B0015C" w:rsidRDefault="007B2641" w:rsidP="007A78C6">
            <w:pPr>
              <w:rPr>
                <w:sz w:val="14"/>
                <w:lang w:val="en-US"/>
              </w:rPr>
            </w:pPr>
            <w:r w:rsidRPr="00B0015C">
              <w:rPr>
                <w:sz w:val="14"/>
                <w:lang w:val="en-US"/>
              </w:rPr>
              <w:t>(2020)</w:t>
            </w:r>
          </w:p>
        </w:tc>
        <w:tc>
          <w:tcPr>
            <w:tcW w:w="463" w:type="pct"/>
            <w:tcBorders>
              <w:top w:val="nil"/>
              <w:bottom w:val="nil"/>
            </w:tcBorders>
            <w:shd w:val="clear" w:color="auto" w:fill="FFFFFF" w:themeFill="background1"/>
          </w:tcPr>
          <w:p w14:paraId="160E420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Ethnicity</w:t>
            </w:r>
          </w:p>
        </w:tc>
        <w:tc>
          <w:tcPr>
            <w:tcW w:w="391" w:type="pct"/>
            <w:tcBorders>
              <w:top w:val="nil"/>
              <w:bottom w:val="nil"/>
            </w:tcBorders>
            <w:shd w:val="clear" w:color="auto" w:fill="FFFFFF" w:themeFill="background1"/>
          </w:tcPr>
          <w:p w14:paraId="3C08660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293FFA8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(AHRI)</w:t>
            </w:r>
          </w:p>
        </w:tc>
        <w:tc>
          <w:tcPr>
            <w:tcW w:w="3221" w:type="pct"/>
            <w:tcBorders>
              <w:top w:val="nil"/>
              <w:bottom w:val="nil"/>
            </w:tcBorders>
            <w:shd w:val="clear" w:color="auto" w:fill="FFFFFF" w:themeFill="background1"/>
          </w:tcPr>
          <w:p w14:paraId="167C00C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No significant differences were found in mean resilience scores between participants of different ethnic backgrounds.</w:t>
            </w:r>
          </w:p>
        </w:tc>
        <w:tc>
          <w:tcPr>
            <w:tcW w:w="512" w:type="pct"/>
            <w:tcBorders>
              <w:top w:val="nil"/>
              <w:bottom w:val="nil"/>
            </w:tcBorders>
            <w:shd w:val="clear" w:color="auto" w:fill="FFFFFF" w:themeFill="background1"/>
          </w:tcPr>
          <w:p w14:paraId="2E36174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866111" w14:paraId="691FFD18"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nil"/>
              <w:bottom w:val="single" w:sz="4" w:space="0" w:color="auto"/>
            </w:tcBorders>
            <w:shd w:val="clear" w:color="auto" w:fill="F2F2F2" w:themeFill="background1" w:themeFillShade="F2"/>
          </w:tcPr>
          <w:p w14:paraId="26ACE8D3" w14:textId="77777777" w:rsidR="007B2641" w:rsidRPr="00B0015C" w:rsidRDefault="007B2641" w:rsidP="007A78C6">
            <w:pPr>
              <w:rPr>
                <w:sz w:val="14"/>
                <w:lang w:val="en-US"/>
              </w:rPr>
            </w:pPr>
            <w:r w:rsidRPr="00B0015C">
              <w:rPr>
                <w:sz w:val="14"/>
                <w:lang w:val="en-US"/>
              </w:rPr>
              <w:t>Yu</w:t>
            </w:r>
          </w:p>
          <w:p w14:paraId="526CA584" w14:textId="77777777" w:rsidR="007B2641" w:rsidRPr="00B0015C" w:rsidRDefault="007B2641" w:rsidP="007A78C6">
            <w:pPr>
              <w:rPr>
                <w:sz w:val="14"/>
                <w:lang w:val="en-US"/>
              </w:rPr>
            </w:pPr>
            <w:r w:rsidRPr="00B0015C">
              <w:rPr>
                <w:sz w:val="14"/>
                <w:lang w:val="en-US"/>
              </w:rPr>
              <w:t>(2021)</w:t>
            </w:r>
          </w:p>
        </w:tc>
        <w:tc>
          <w:tcPr>
            <w:tcW w:w="463" w:type="pct"/>
            <w:tcBorders>
              <w:top w:val="nil"/>
              <w:bottom w:val="single" w:sz="4" w:space="0" w:color="auto"/>
            </w:tcBorders>
            <w:shd w:val="clear" w:color="auto" w:fill="F2F2F2" w:themeFill="background1" w:themeFillShade="F2"/>
          </w:tcPr>
          <w:p w14:paraId="2D16A20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Ethnicity</w:t>
            </w:r>
          </w:p>
        </w:tc>
        <w:tc>
          <w:tcPr>
            <w:tcW w:w="391" w:type="pct"/>
            <w:tcBorders>
              <w:top w:val="nil"/>
              <w:bottom w:val="single" w:sz="4" w:space="0" w:color="auto"/>
            </w:tcBorders>
            <w:shd w:val="clear" w:color="auto" w:fill="F2F2F2" w:themeFill="background1" w:themeFillShade="F2"/>
          </w:tcPr>
          <w:p w14:paraId="5851CD2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5538A51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(CD-RISC)</w:t>
            </w:r>
          </w:p>
        </w:tc>
        <w:tc>
          <w:tcPr>
            <w:tcW w:w="3221" w:type="pct"/>
            <w:tcBorders>
              <w:top w:val="nil"/>
              <w:bottom w:val="single" w:sz="4" w:space="0" w:color="auto"/>
            </w:tcBorders>
            <w:shd w:val="clear" w:color="auto" w:fill="F2F2F2" w:themeFill="background1" w:themeFillShade="F2"/>
          </w:tcPr>
          <w:p w14:paraId="79214AB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No differences were found between participants of different ethnical background when comparing resilience scores.</w:t>
            </w:r>
          </w:p>
        </w:tc>
        <w:tc>
          <w:tcPr>
            <w:tcW w:w="512" w:type="pct"/>
            <w:tcBorders>
              <w:top w:val="nil"/>
              <w:bottom w:val="single" w:sz="4" w:space="0" w:color="auto"/>
            </w:tcBorders>
            <w:shd w:val="clear" w:color="auto" w:fill="F2F2F2" w:themeFill="background1" w:themeFillShade="F2"/>
          </w:tcPr>
          <w:p w14:paraId="0D3C9B5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BB6494" w14:paraId="4E91D03B" w14:textId="77777777" w:rsidTr="007A78C6">
        <w:trPr>
          <w:trHeight w:val="34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D9D9D9" w:themeFill="background1" w:themeFillShade="D9"/>
            <w:vAlign w:val="center"/>
          </w:tcPr>
          <w:p w14:paraId="0B3D6D2B" w14:textId="77777777" w:rsidR="007B2641" w:rsidRPr="00B0015C" w:rsidRDefault="007B2641" w:rsidP="007A78C6">
            <w:pPr>
              <w:rPr>
                <w:b w:val="0"/>
                <w:sz w:val="18"/>
                <w:lang w:val="en-US"/>
              </w:rPr>
            </w:pPr>
            <w:r w:rsidRPr="00B0015C">
              <w:rPr>
                <w:b w:val="0"/>
                <w:sz w:val="18"/>
                <w:lang w:val="en-US"/>
              </w:rPr>
              <w:t>Socioeconomic attainment</w:t>
            </w:r>
          </w:p>
        </w:tc>
      </w:tr>
      <w:tr w:rsidR="007B2641" w:rsidRPr="00BB6494" w14:paraId="759AA538"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single" w:sz="4" w:space="0" w:color="auto"/>
            </w:tcBorders>
            <w:shd w:val="clear" w:color="auto" w:fill="FFFFFF" w:themeFill="background1"/>
          </w:tcPr>
          <w:p w14:paraId="4AEE3775" w14:textId="77777777" w:rsidR="007B2641" w:rsidRPr="00B0015C" w:rsidRDefault="007B2641" w:rsidP="007A78C6">
            <w:pPr>
              <w:rPr>
                <w:sz w:val="14"/>
                <w:lang w:val="en-US"/>
              </w:rPr>
            </w:pPr>
            <w:r w:rsidRPr="00B0015C">
              <w:rPr>
                <w:sz w:val="14"/>
                <w:lang w:val="en-US"/>
              </w:rPr>
              <w:t>Holahan</w:t>
            </w:r>
          </w:p>
          <w:p w14:paraId="2FD25D0B" w14:textId="77777777" w:rsidR="007B2641" w:rsidRPr="00B0015C" w:rsidRDefault="007B2641" w:rsidP="007A78C6">
            <w:pPr>
              <w:rPr>
                <w:sz w:val="14"/>
                <w:lang w:val="en-US"/>
              </w:rPr>
            </w:pPr>
            <w:r w:rsidRPr="00B0015C">
              <w:rPr>
                <w:sz w:val="14"/>
                <w:lang w:val="en-US"/>
              </w:rPr>
              <w:t>(1987)</w:t>
            </w:r>
          </w:p>
        </w:tc>
        <w:tc>
          <w:tcPr>
            <w:tcW w:w="463" w:type="pct"/>
            <w:tcBorders>
              <w:top w:val="single" w:sz="4" w:space="0" w:color="auto"/>
            </w:tcBorders>
            <w:shd w:val="clear" w:color="auto" w:fill="FFFFFF" w:themeFill="background1"/>
          </w:tcPr>
          <w:p w14:paraId="34484B2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Educational level</w:t>
            </w:r>
          </w:p>
        </w:tc>
        <w:tc>
          <w:tcPr>
            <w:tcW w:w="391" w:type="pct"/>
            <w:tcBorders>
              <w:top w:val="single" w:sz="4" w:space="0" w:color="auto"/>
            </w:tcBorders>
            <w:shd w:val="clear" w:color="auto" w:fill="FFFFFF" w:themeFill="background1"/>
          </w:tcPr>
          <w:p w14:paraId="5478276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208C8D83"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(HDL)</w:t>
            </w:r>
          </w:p>
        </w:tc>
        <w:tc>
          <w:tcPr>
            <w:tcW w:w="3221" w:type="pct"/>
            <w:tcBorders>
              <w:top w:val="single" w:sz="4" w:space="0" w:color="auto"/>
            </w:tcBorders>
            <w:shd w:val="clear" w:color="auto" w:fill="FFFFFF" w:themeFill="background1"/>
          </w:tcPr>
          <w:p w14:paraId="4B1D8E1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Educational level was positively associated with adequate coping at time 1 (subscale of active-behavioral coping, r = 0.12) and at time 2 (subscales of active-behavioral coping, r = 0.15 and active-cognitive coping, r = 0.08). At time 2, after controlling for initial coping at time 1, educational level remained positively associated with adequate coping (subscale of active-behavioral coping, r = 0.11). Educational level was negatively associated with inadequate coping at time 1 and 2 (subscale of avoidance coping, r = -0.17 and -0.11). At time 2, when controlling for initial coping at time 1, this association disappeared.  </w:t>
            </w:r>
          </w:p>
        </w:tc>
        <w:tc>
          <w:tcPr>
            <w:tcW w:w="512" w:type="pct"/>
            <w:tcBorders>
              <w:top w:val="single" w:sz="4" w:space="0" w:color="auto"/>
            </w:tcBorders>
            <w:shd w:val="clear" w:color="auto" w:fill="FFFFFF" w:themeFill="background1"/>
          </w:tcPr>
          <w:p w14:paraId="47DFF3D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Initial coping</w:t>
            </w:r>
          </w:p>
        </w:tc>
      </w:tr>
      <w:tr w:rsidR="007B2641" w:rsidRPr="00B71055" w14:paraId="3E010303"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8C149EF" w14:textId="77777777" w:rsidR="007B2641" w:rsidRPr="00B0015C" w:rsidRDefault="007B2641" w:rsidP="007A78C6">
            <w:pPr>
              <w:rPr>
                <w:sz w:val="14"/>
                <w:lang w:val="en-US"/>
              </w:rPr>
            </w:pPr>
            <w:r w:rsidRPr="00B0015C">
              <w:rPr>
                <w:sz w:val="14"/>
                <w:lang w:val="en-US"/>
              </w:rPr>
              <w:t>De Ridder</w:t>
            </w:r>
          </w:p>
          <w:p w14:paraId="3A3E2194" w14:textId="77777777" w:rsidR="007B2641" w:rsidRPr="00B0015C" w:rsidRDefault="007B2641" w:rsidP="007A78C6">
            <w:pPr>
              <w:rPr>
                <w:sz w:val="14"/>
                <w:lang w:val="en-US"/>
              </w:rPr>
            </w:pPr>
            <w:r w:rsidRPr="00B0015C">
              <w:rPr>
                <w:sz w:val="14"/>
                <w:lang w:val="en-US"/>
              </w:rPr>
              <w:t>(1995)</w:t>
            </w:r>
          </w:p>
        </w:tc>
        <w:tc>
          <w:tcPr>
            <w:tcW w:w="463" w:type="pct"/>
            <w:shd w:val="clear" w:color="auto" w:fill="F2F2F2" w:themeFill="background1" w:themeFillShade="F2"/>
          </w:tcPr>
          <w:p w14:paraId="7C9AF6B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Educational level</w:t>
            </w:r>
          </w:p>
        </w:tc>
        <w:tc>
          <w:tcPr>
            <w:tcW w:w="391" w:type="pct"/>
            <w:shd w:val="clear" w:color="auto" w:fill="F2F2F2" w:themeFill="background1" w:themeFillShade="F2"/>
          </w:tcPr>
          <w:p w14:paraId="5FF8B7E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63B413E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(WCC)</w:t>
            </w:r>
          </w:p>
        </w:tc>
        <w:tc>
          <w:tcPr>
            <w:tcW w:w="3221" w:type="pct"/>
            <w:shd w:val="clear" w:color="auto" w:fill="F2F2F2" w:themeFill="background1" w:themeFillShade="F2"/>
          </w:tcPr>
          <w:p w14:paraId="0E6B54F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Educational level was positively as well as negatively associated with adequate coping strategies (subscales of seeking social support coping, r = 0.24, and subscale of threat minimization coping, r = -0.17). </w:t>
            </w:r>
          </w:p>
        </w:tc>
        <w:tc>
          <w:tcPr>
            <w:tcW w:w="512" w:type="pct"/>
            <w:shd w:val="clear" w:color="auto" w:fill="F2F2F2" w:themeFill="background1" w:themeFillShade="F2"/>
          </w:tcPr>
          <w:p w14:paraId="46A834D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952061" w14:paraId="71C6159F"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7DD662D" w14:textId="77777777" w:rsidR="007B2641" w:rsidRPr="00B0015C" w:rsidRDefault="007B2641" w:rsidP="007A78C6">
            <w:pPr>
              <w:rPr>
                <w:sz w:val="14"/>
                <w:lang w:val="en-US"/>
              </w:rPr>
            </w:pPr>
            <w:r w:rsidRPr="00B0015C">
              <w:rPr>
                <w:sz w:val="14"/>
                <w:lang w:val="en-US"/>
              </w:rPr>
              <w:t>Friborg</w:t>
            </w:r>
          </w:p>
          <w:p w14:paraId="13A5AF42" w14:textId="77777777" w:rsidR="007B2641" w:rsidRPr="00B0015C" w:rsidRDefault="007B2641" w:rsidP="007A78C6">
            <w:pPr>
              <w:rPr>
                <w:sz w:val="14"/>
                <w:lang w:val="en-US"/>
              </w:rPr>
            </w:pPr>
            <w:r w:rsidRPr="00B0015C">
              <w:rPr>
                <w:sz w:val="14"/>
                <w:lang w:val="en-US"/>
              </w:rPr>
              <w:t>(2003)</w:t>
            </w:r>
          </w:p>
        </w:tc>
        <w:tc>
          <w:tcPr>
            <w:tcW w:w="463" w:type="pct"/>
            <w:shd w:val="clear" w:color="auto" w:fill="FFFFFF" w:themeFill="background1"/>
          </w:tcPr>
          <w:p w14:paraId="5641217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Educational level</w:t>
            </w:r>
          </w:p>
        </w:tc>
        <w:tc>
          <w:tcPr>
            <w:tcW w:w="391" w:type="pct"/>
            <w:shd w:val="clear" w:color="auto" w:fill="FFFFFF" w:themeFill="background1"/>
          </w:tcPr>
          <w:p w14:paraId="1BAD855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6AE0E312"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(RSA)</w:t>
            </w:r>
          </w:p>
        </w:tc>
        <w:tc>
          <w:tcPr>
            <w:tcW w:w="3221" w:type="pct"/>
            <w:shd w:val="clear" w:color="auto" w:fill="FFFFFF" w:themeFill="background1"/>
          </w:tcPr>
          <w:p w14:paraId="50741788"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No significant associations were discovered between years of completed education and resilience subscales.</w:t>
            </w:r>
          </w:p>
        </w:tc>
        <w:tc>
          <w:tcPr>
            <w:tcW w:w="512" w:type="pct"/>
            <w:shd w:val="clear" w:color="auto" w:fill="FFFFFF" w:themeFill="background1"/>
          </w:tcPr>
          <w:p w14:paraId="10B7AF2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952061" w14:paraId="000F076F"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57385B0A" w14:textId="77777777" w:rsidR="007B2641" w:rsidRPr="00B0015C" w:rsidRDefault="007B2641" w:rsidP="007A78C6">
            <w:pPr>
              <w:rPr>
                <w:sz w:val="14"/>
                <w:lang w:val="en-US"/>
              </w:rPr>
            </w:pPr>
            <w:r w:rsidRPr="00B0015C">
              <w:rPr>
                <w:sz w:val="14"/>
                <w:lang w:val="en-US"/>
              </w:rPr>
              <w:t>Matud</w:t>
            </w:r>
          </w:p>
          <w:p w14:paraId="2809663A" w14:textId="77777777" w:rsidR="007B2641" w:rsidRPr="00B0015C" w:rsidRDefault="007B2641" w:rsidP="007A78C6">
            <w:pPr>
              <w:rPr>
                <w:sz w:val="14"/>
                <w:lang w:val="en-US"/>
              </w:rPr>
            </w:pPr>
            <w:r w:rsidRPr="00B0015C">
              <w:rPr>
                <w:sz w:val="14"/>
                <w:lang w:val="en-US"/>
              </w:rPr>
              <w:t>(2004)</w:t>
            </w:r>
          </w:p>
        </w:tc>
        <w:tc>
          <w:tcPr>
            <w:tcW w:w="463" w:type="pct"/>
            <w:shd w:val="clear" w:color="auto" w:fill="F2F2F2" w:themeFill="background1" w:themeFillShade="F2"/>
          </w:tcPr>
          <w:p w14:paraId="0BA37F8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Educational level</w:t>
            </w:r>
          </w:p>
        </w:tc>
        <w:tc>
          <w:tcPr>
            <w:tcW w:w="391" w:type="pct"/>
            <w:shd w:val="clear" w:color="auto" w:fill="F2F2F2" w:themeFill="background1" w:themeFillShade="F2"/>
          </w:tcPr>
          <w:p w14:paraId="1A5F8029"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5CC467E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(CSQ)</w:t>
            </w:r>
          </w:p>
        </w:tc>
        <w:tc>
          <w:tcPr>
            <w:tcW w:w="3221" w:type="pct"/>
            <w:shd w:val="clear" w:color="auto" w:fill="F2F2F2" w:themeFill="background1" w:themeFillShade="F2"/>
          </w:tcPr>
          <w:p w14:paraId="75D20B69"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Educational level was negatively associated with inadequate coping for women (subscales of emotional coping, r = -0.12, detachment coping, r = -0.10, and avoidance coping, r = -0.21) and for men (subscales of emotional coping, r = -0.10, and avoidance coping, r = -0.15). </w:t>
            </w:r>
          </w:p>
        </w:tc>
        <w:tc>
          <w:tcPr>
            <w:tcW w:w="512" w:type="pct"/>
            <w:shd w:val="clear" w:color="auto" w:fill="F2F2F2" w:themeFill="background1" w:themeFillShade="F2"/>
          </w:tcPr>
          <w:p w14:paraId="160CB1D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Stratified by gender</w:t>
            </w:r>
          </w:p>
        </w:tc>
      </w:tr>
      <w:tr w:rsidR="007B2641" w:rsidRPr="00952061" w14:paraId="10CEC7BB"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5B9CD2A3" w14:textId="77777777" w:rsidR="007B2641" w:rsidRPr="00B0015C" w:rsidRDefault="007B2641" w:rsidP="007A78C6">
            <w:pPr>
              <w:rPr>
                <w:sz w:val="14"/>
                <w:lang w:val="en-US"/>
              </w:rPr>
            </w:pPr>
            <w:r w:rsidRPr="00B0015C">
              <w:rPr>
                <w:sz w:val="14"/>
                <w:lang w:val="en-US"/>
              </w:rPr>
              <w:t>Amirkhan</w:t>
            </w:r>
          </w:p>
          <w:p w14:paraId="2A49A297" w14:textId="77777777" w:rsidR="007B2641" w:rsidRPr="00B0015C" w:rsidRDefault="007B2641" w:rsidP="007A78C6">
            <w:pPr>
              <w:rPr>
                <w:sz w:val="14"/>
                <w:lang w:val="en-US"/>
              </w:rPr>
            </w:pPr>
            <w:r w:rsidRPr="00B0015C">
              <w:rPr>
                <w:sz w:val="14"/>
                <w:lang w:val="en-US"/>
              </w:rPr>
              <w:t>(2017)</w:t>
            </w:r>
          </w:p>
        </w:tc>
        <w:tc>
          <w:tcPr>
            <w:tcW w:w="463" w:type="pct"/>
            <w:shd w:val="clear" w:color="auto" w:fill="FFFFFF" w:themeFill="background1"/>
          </w:tcPr>
          <w:p w14:paraId="65EF472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Educational level</w:t>
            </w:r>
          </w:p>
        </w:tc>
        <w:tc>
          <w:tcPr>
            <w:tcW w:w="391" w:type="pct"/>
            <w:shd w:val="clear" w:color="auto" w:fill="FFFFFF" w:themeFill="background1"/>
          </w:tcPr>
          <w:p w14:paraId="2788B9B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434A986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(CSI)</w:t>
            </w:r>
          </w:p>
        </w:tc>
        <w:tc>
          <w:tcPr>
            <w:tcW w:w="3221" w:type="pct"/>
            <w:shd w:val="clear" w:color="auto" w:fill="FFFFFF" w:themeFill="background1"/>
          </w:tcPr>
          <w:p w14:paraId="1FC63E6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Educational level was negatively associated with inadequate coping (subscale of avoidance coping, r = -0.25).</w:t>
            </w:r>
          </w:p>
        </w:tc>
        <w:tc>
          <w:tcPr>
            <w:tcW w:w="512" w:type="pct"/>
            <w:shd w:val="clear" w:color="auto" w:fill="FFFFFF" w:themeFill="background1"/>
          </w:tcPr>
          <w:p w14:paraId="1353CC3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400CB0" w14:paraId="49C88068"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67D111AB" w14:textId="77777777" w:rsidR="007B2641" w:rsidRPr="00B0015C" w:rsidRDefault="007B2641" w:rsidP="007A78C6">
            <w:pPr>
              <w:rPr>
                <w:sz w:val="14"/>
                <w:lang w:val="en-US"/>
              </w:rPr>
            </w:pPr>
            <w:r w:rsidRPr="00B0015C">
              <w:rPr>
                <w:sz w:val="14"/>
                <w:lang w:val="en-US"/>
              </w:rPr>
              <w:t>Montoya-Williams</w:t>
            </w:r>
          </w:p>
          <w:p w14:paraId="5A9FCAED" w14:textId="77777777" w:rsidR="007B2641" w:rsidRPr="00B0015C" w:rsidRDefault="007B2641" w:rsidP="007A78C6">
            <w:pPr>
              <w:rPr>
                <w:sz w:val="14"/>
                <w:lang w:val="en-US"/>
              </w:rPr>
            </w:pPr>
            <w:r w:rsidRPr="00B0015C">
              <w:rPr>
                <w:sz w:val="14"/>
                <w:lang w:val="en-US"/>
              </w:rPr>
              <w:t>(2020)</w:t>
            </w:r>
          </w:p>
        </w:tc>
        <w:tc>
          <w:tcPr>
            <w:tcW w:w="463" w:type="pct"/>
            <w:shd w:val="clear" w:color="auto" w:fill="F2F2F2" w:themeFill="background1" w:themeFillShade="F2"/>
          </w:tcPr>
          <w:p w14:paraId="3F38BEF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Educational level</w:t>
            </w:r>
          </w:p>
        </w:tc>
        <w:tc>
          <w:tcPr>
            <w:tcW w:w="391" w:type="pct"/>
            <w:shd w:val="clear" w:color="auto" w:fill="F2F2F2" w:themeFill="background1" w:themeFillShade="F2"/>
          </w:tcPr>
          <w:p w14:paraId="7F02CD89"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29940FB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(AHRI)</w:t>
            </w:r>
          </w:p>
        </w:tc>
        <w:tc>
          <w:tcPr>
            <w:tcW w:w="3221" w:type="pct"/>
            <w:shd w:val="clear" w:color="auto" w:fill="F2F2F2" w:themeFill="background1" w:themeFillShade="F2"/>
          </w:tcPr>
          <w:p w14:paraId="302C68A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Participants scored higher mean resilience scores with increasing educational level (mean scores of 11.9 (less than high school), 14.0 (less than college), 15.8 (college degree), 16.2 (more than college), range of 0-29). </w:t>
            </w:r>
          </w:p>
        </w:tc>
        <w:tc>
          <w:tcPr>
            <w:tcW w:w="512" w:type="pct"/>
            <w:shd w:val="clear" w:color="auto" w:fill="F2F2F2" w:themeFill="background1" w:themeFillShade="F2"/>
          </w:tcPr>
          <w:p w14:paraId="32B7A1D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E668D7" w14:paraId="1784B5D8"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2BF304AD" w14:textId="77777777" w:rsidR="007B2641" w:rsidRPr="00B0015C" w:rsidRDefault="007B2641" w:rsidP="007A78C6">
            <w:pPr>
              <w:rPr>
                <w:sz w:val="14"/>
                <w:lang w:val="en-US"/>
              </w:rPr>
            </w:pPr>
            <w:r w:rsidRPr="00B0015C">
              <w:rPr>
                <w:sz w:val="14"/>
                <w:lang w:val="en-US"/>
              </w:rPr>
              <w:t>Batsikoura</w:t>
            </w:r>
          </w:p>
          <w:p w14:paraId="25073418" w14:textId="77777777" w:rsidR="007B2641" w:rsidRPr="00B0015C" w:rsidRDefault="007B2641" w:rsidP="007A78C6">
            <w:pPr>
              <w:rPr>
                <w:sz w:val="14"/>
                <w:lang w:val="en-US"/>
              </w:rPr>
            </w:pPr>
            <w:r w:rsidRPr="00B0015C">
              <w:rPr>
                <w:sz w:val="14"/>
                <w:lang w:val="en-US"/>
              </w:rPr>
              <w:t>(2021)</w:t>
            </w:r>
          </w:p>
        </w:tc>
        <w:tc>
          <w:tcPr>
            <w:tcW w:w="463" w:type="pct"/>
            <w:shd w:val="clear" w:color="auto" w:fill="FFFFFF" w:themeFill="background1"/>
          </w:tcPr>
          <w:p w14:paraId="20664EF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Educational level</w:t>
            </w:r>
          </w:p>
        </w:tc>
        <w:tc>
          <w:tcPr>
            <w:tcW w:w="391" w:type="pct"/>
            <w:shd w:val="clear" w:color="auto" w:fill="FFFFFF" w:themeFill="background1"/>
          </w:tcPr>
          <w:p w14:paraId="0FF12AB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31FF4F32"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(COPE)</w:t>
            </w:r>
          </w:p>
        </w:tc>
        <w:tc>
          <w:tcPr>
            <w:tcW w:w="3221" w:type="pct"/>
            <w:shd w:val="clear" w:color="auto" w:fill="FFFFFF" w:themeFill="background1"/>
          </w:tcPr>
          <w:p w14:paraId="2A8DFFE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 lower educational level was negatively associated with inadequate coping (subscale of self-blame, r = -0.22).</w:t>
            </w:r>
          </w:p>
        </w:tc>
        <w:tc>
          <w:tcPr>
            <w:tcW w:w="512" w:type="pct"/>
            <w:shd w:val="clear" w:color="auto" w:fill="FFFFFF" w:themeFill="background1"/>
          </w:tcPr>
          <w:p w14:paraId="249F8A2D"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Age, gender, urbanization, lifestyle and anxiety</w:t>
            </w:r>
          </w:p>
        </w:tc>
      </w:tr>
      <w:tr w:rsidR="007B2641" w:rsidRPr="00952061" w14:paraId="3E8C9C8A"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5940DC9C" w14:textId="77777777" w:rsidR="007B2641" w:rsidRPr="00B0015C" w:rsidRDefault="007B2641" w:rsidP="007A78C6">
            <w:pPr>
              <w:rPr>
                <w:sz w:val="14"/>
                <w:lang w:val="en-US"/>
              </w:rPr>
            </w:pPr>
            <w:r w:rsidRPr="00B0015C">
              <w:rPr>
                <w:sz w:val="14"/>
                <w:lang w:val="en-US"/>
              </w:rPr>
              <w:t>Holahan</w:t>
            </w:r>
          </w:p>
          <w:p w14:paraId="285C2EE8" w14:textId="77777777" w:rsidR="007B2641" w:rsidRPr="00B0015C" w:rsidRDefault="007B2641" w:rsidP="007A78C6">
            <w:pPr>
              <w:rPr>
                <w:sz w:val="14"/>
                <w:lang w:val="en-US"/>
              </w:rPr>
            </w:pPr>
            <w:r w:rsidRPr="00B0015C">
              <w:rPr>
                <w:sz w:val="14"/>
                <w:lang w:val="en-US"/>
              </w:rPr>
              <w:t>(1987)</w:t>
            </w:r>
          </w:p>
        </w:tc>
        <w:tc>
          <w:tcPr>
            <w:tcW w:w="463" w:type="pct"/>
            <w:shd w:val="clear" w:color="auto" w:fill="F2F2F2" w:themeFill="background1" w:themeFillShade="F2"/>
          </w:tcPr>
          <w:p w14:paraId="738032C6"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Income</w:t>
            </w:r>
          </w:p>
        </w:tc>
        <w:tc>
          <w:tcPr>
            <w:tcW w:w="391" w:type="pct"/>
            <w:shd w:val="clear" w:color="auto" w:fill="F2F2F2" w:themeFill="background1" w:themeFillShade="F2"/>
          </w:tcPr>
          <w:p w14:paraId="1828D47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716C6AF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(HDL)</w:t>
            </w:r>
          </w:p>
        </w:tc>
        <w:tc>
          <w:tcPr>
            <w:tcW w:w="3221" w:type="pct"/>
            <w:shd w:val="clear" w:color="auto" w:fill="F2F2F2" w:themeFill="background1" w:themeFillShade="F2"/>
          </w:tcPr>
          <w:p w14:paraId="674F8DD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At time point 1, family income was negatively associated with adequate coping (subscale of active-cognitive coping, r = -0.09) as well as inadequate coping (subscale of avoidance coping, r = -0.18). At time point 2, income was only negatively associated with inadequate coping </w:t>
            </w:r>
            <w:r>
              <w:rPr>
                <w:sz w:val="14"/>
                <w:lang w:val="en-US"/>
              </w:rPr>
              <w:lastRenderedPageBreak/>
              <w:t>(subscale of avoidance coping, r = -0.15). When additionally controlling for initial coping at time point 1, this association remained significant (r = -0.09).</w:t>
            </w:r>
          </w:p>
        </w:tc>
        <w:tc>
          <w:tcPr>
            <w:tcW w:w="512" w:type="pct"/>
            <w:shd w:val="clear" w:color="auto" w:fill="F2F2F2" w:themeFill="background1" w:themeFillShade="F2"/>
          </w:tcPr>
          <w:p w14:paraId="72017FB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lastRenderedPageBreak/>
              <w:t>Initial coping</w:t>
            </w:r>
          </w:p>
        </w:tc>
      </w:tr>
      <w:tr w:rsidR="007B2641" w:rsidRPr="00952061" w14:paraId="1FB74561"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335E420F" w14:textId="77777777" w:rsidR="007B2641" w:rsidRPr="00B0015C" w:rsidRDefault="007B2641" w:rsidP="007A78C6">
            <w:pPr>
              <w:rPr>
                <w:sz w:val="14"/>
                <w:lang w:val="en-US"/>
              </w:rPr>
            </w:pPr>
            <w:r w:rsidRPr="00B0015C">
              <w:rPr>
                <w:sz w:val="14"/>
                <w:lang w:val="en-US"/>
              </w:rPr>
              <w:t>Amirkhan</w:t>
            </w:r>
          </w:p>
          <w:p w14:paraId="421910D1" w14:textId="77777777" w:rsidR="007B2641" w:rsidRPr="00B0015C" w:rsidRDefault="007B2641" w:rsidP="007A78C6">
            <w:pPr>
              <w:rPr>
                <w:sz w:val="14"/>
                <w:lang w:val="en-US"/>
              </w:rPr>
            </w:pPr>
            <w:r w:rsidRPr="00B0015C">
              <w:rPr>
                <w:sz w:val="14"/>
                <w:lang w:val="en-US"/>
              </w:rPr>
              <w:t>(2016)</w:t>
            </w:r>
          </w:p>
        </w:tc>
        <w:tc>
          <w:tcPr>
            <w:tcW w:w="463" w:type="pct"/>
            <w:shd w:val="clear" w:color="auto" w:fill="FFFFFF" w:themeFill="background1"/>
          </w:tcPr>
          <w:p w14:paraId="56A6F3D2"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Income</w:t>
            </w:r>
          </w:p>
        </w:tc>
        <w:tc>
          <w:tcPr>
            <w:tcW w:w="391" w:type="pct"/>
            <w:shd w:val="clear" w:color="auto" w:fill="FFFFFF" w:themeFill="background1"/>
          </w:tcPr>
          <w:p w14:paraId="5DE4AD9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28E4155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(CSI)</w:t>
            </w:r>
          </w:p>
        </w:tc>
        <w:tc>
          <w:tcPr>
            <w:tcW w:w="3221" w:type="pct"/>
            <w:shd w:val="clear" w:color="auto" w:fill="FFFFFF" w:themeFill="background1"/>
          </w:tcPr>
          <w:p w14:paraId="511410E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Income was negatively associated with inadequate coping (subscale of avoidance coping, r = -0.24).</w:t>
            </w:r>
          </w:p>
        </w:tc>
        <w:tc>
          <w:tcPr>
            <w:tcW w:w="512" w:type="pct"/>
            <w:shd w:val="clear" w:color="auto" w:fill="FFFFFF" w:themeFill="background1"/>
          </w:tcPr>
          <w:p w14:paraId="09DA889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1A62C2" w14:paraId="6321BA1C"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54ED4E03" w14:textId="77777777" w:rsidR="007B2641" w:rsidRPr="00B0015C" w:rsidRDefault="007B2641" w:rsidP="007A78C6">
            <w:pPr>
              <w:rPr>
                <w:sz w:val="14"/>
                <w:lang w:val="en-US"/>
              </w:rPr>
            </w:pPr>
            <w:r w:rsidRPr="00B0015C">
              <w:rPr>
                <w:sz w:val="14"/>
                <w:lang w:val="en-US"/>
              </w:rPr>
              <w:t>Tomyn</w:t>
            </w:r>
          </w:p>
          <w:p w14:paraId="2ED6B6A3" w14:textId="77777777" w:rsidR="007B2641" w:rsidRPr="00B0015C" w:rsidRDefault="007B2641" w:rsidP="007A78C6">
            <w:pPr>
              <w:rPr>
                <w:sz w:val="14"/>
                <w:lang w:val="en-US"/>
              </w:rPr>
            </w:pPr>
            <w:r w:rsidRPr="00B0015C">
              <w:rPr>
                <w:sz w:val="14"/>
                <w:lang w:val="en-US"/>
              </w:rPr>
              <w:t>(2018)</w:t>
            </w:r>
          </w:p>
        </w:tc>
        <w:tc>
          <w:tcPr>
            <w:tcW w:w="463" w:type="pct"/>
            <w:shd w:val="clear" w:color="auto" w:fill="F2F2F2" w:themeFill="background1" w:themeFillShade="F2"/>
          </w:tcPr>
          <w:p w14:paraId="7E29541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Income</w:t>
            </w:r>
          </w:p>
        </w:tc>
        <w:tc>
          <w:tcPr>
            <w:tcW w:w="391" w:type="pct"/>
            <w:shd w:val="clear" w:color="auto" w:fill="F2F2F2" w:themeFill="background1" w:themeFillShade="F2"/>
          </w:tcPr>
          <w:p w14:paraId="128CF8F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4538BF9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(CD-RISC)</w:t>
            </w:r>
          </w:p>
        </w:tc>
        <w:tc>
          <w:tcPr>
            <w:tcW w:w="3221" w:type="pct"/>
            <w:shd w:val="clear" w:color="auto" w:fill="F2F2F2" w:themeFill="background1" w:themeFillShade="F2"/>
          </w:tcPr>
          <w:p w14:paraId="2D1A570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Participants with a household income of more than $150,000 reported higher resilience scores than participants with lower incomes of &lt;$15,000 or $31-$60,000 (mean scores of 79.06, 72.21, and 73.90, respectively, on a scale of 0-100%).</w:t>
            </w:r>
          </w:p>
        </w:tc>
        <w:tc>
          <w:tcPr>
            <w:tcW w:w="512" w:type="pct"/>
            <w:shd w:val="clear" w:color="auto" w:fill="F2F2F2" w:themeFill="background1" w:themeFillShade="F2"/>
          </w:tcPr>
          <w:p w14:paraId="668A4FB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400CB0" w14:paraId="17F93E2F"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1FEDA3B5" w14:textId="77777777" w:rsidR="007B2641" w:rsidRPr="00B0015C" w:rsidRDefault="007B2641" w:rsidP="007A78C6">
            <w:pPr>
              <w:rPr>
                <w:sz w:val="14"/>
                <w:lang w:val="en-US"/>
              </w:rPr>
            </w:pPr>
            <w:r w:rsidRPr="00B0015C">
              <w:rPr>
                <w:sz w:val="14"/>
                <w:lang w:val="en-US"/>
              </w:rPr>
              <w:t>Montoya-Williams</w:t>
            </w:r>
          </w:p>
          <w:p w14:paraId="7AAE20EE" w14:textId="77777777" w:rsidR="007B2641" w:rsidRPr="00B0015C" w:rsidRDefault="007B2641" w:rsidP="007A78C6">
            <w:pPr>
              <w:rPr>
                <w:sz w:val="14"/>
                <w:lang w:val="en-US"/>
              </w:rPr>
            </w:pPr>
            <w:r w:rsidRPr="00B0015C">
              <w:rPr>
                <w:sz w:val="14"/>
                <w:lang w:val="en-US"/>
              </w:rPr>
              <w:t>(2020)</w:t>
            </w:r>
          </w:p>
        </w:tc>
        <w:tc>
          <w:tcPr>
            <w:tcW w:w="463" w:type="pct"/>
            <w:shd w:val="clear" w:color="auto" w:fill="FFFFFF" w:themeFill="background1"/>
          </w:tcPr>
          <w:p w14:paraId="053243E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Income</w:t>
            </w:r>
          </w:p>
        </w:tc>
        <w:tc>
          <w:tcPr>
            <w:tcW w:w="391" w:type="pct"/>
            <w:shd w:val="clear" w:color="auto" w:fill="FFFFFF" w:themeFill="background1"/>
          </w:tcPr>
          <w:p w14:paraId="7464792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4D88541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(AHRI)</w:t>
            </w:r>
          </w:p>
        </w:tc>
        <w:tc>
          <w:tcPr>
            <w:tcW w:w="3221" w:type="pct"/>
            <w:shd w:val="clear" w:color="auto" w:fill="FFFFFF" w:themeFill="background1"/>
          </w:tcPr>
          <w:p w14:paraId="020DB89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Participants scored higher resilience scores with increasing household income (mean scores of 11.9 (&lt;$20,000): 13.9, ($20-$49,999), 15.3 ($50-$99,999), 16.2 ($100-$149,999), and 16.5 (&gt;$150,000), range of 0-29).</w:t>
            </w:r>
          </w:p>
        </w:tc>
        <w:tc>
          <w:tcPr>
            <w:tcW w:w="512" w:type="pct"/>
            <w:shd w:val="clear" w:color="auto" w:fill="FFFFFF" w:themeFill="background1"/>
          </w:tcPr>
          <w:p w14:paraId="636E427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712E3B" w14:paraId="31E5D130"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FD33EDB" w14:textId="77777777" w:rsidR="007B2641" w:rsidRPr="00B0015C" w:rsidRDefault="007B2641" w:rsidP="007A78C6">
            <w:pPr>
              <w:rPr>
                <w:sz w:val="14"/>
                <w:lang w:val="en-US"/>
              </w:rPr>
            </w:pPr>
            <w:r w:rsidRPr="00B0015C">
              <w:rPr>
                <w:sz w:val="14"/>
                <w:lang w:val="en-US"/>
              </w:rPr>
              <w:t>Friborg</w:t>
            </w:r>
          </w:p>
          <w:p w14:paraId="761F30B8" w14:textId="77777777" w:rsidR="007B2641" w:rsidRPr="00B0015C" w:rsidRDefault="007B2641" w:rsidP="007A78C6">
            <w:pPr>
              <w:rPr>
                <w:sz w:val="14"/>
                <w:lang w:val="en-US"/>
              </w:rPr>
            </w:pPr>
            <w:r w:rsidRPr="00B0015C">
              <w:rPr>
                <w:sz w:val="14"/>
                <w:lang w:val="en-US"/>
              </w:rPr>
              <w:t>(2003)</w:t>
            </w:r>
          </w:p>
        </w:tc>
        <w:tc>
          <w:tcPr>
            <w:tcW w:w="463" w:type="pct"/>
            <w:shd w:val="clear" w:color="auto" w:fill="F2F2F2" w:themeFill="background1" w:themeFillShade="F2"/>
          </w:tcPr>
          <w:p w14:paraId="259D08E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Employment status</w:t>
            </w:r>
          </w:p>
        </w:tc>
        <w:tc>
          <w:tcPr>
            <w:tcW w:w="391" w:type="pct"/>
            <w:shd w:val="clear" w:color="auto" w:fill="F2F2F2" w:themeFill="background1" w:themeFillShade="F2"/>
          </w:tcPr>
          <w:p w14:paraId="146AEB06"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64C6F0A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(RSA)</w:t>
            </w:r>
          </w:p>
        </w:tc>
        <w:tc>
          <w:tcPr>
            <w:tcW w:w="3221" w:type="pct"/>
            <w:shd w:val="clear" w:color="auto" w:fill="F2F2F2" w:themeFill="background1" w:themeFillShade="F2"/>
          </w:tcPr>
          <w:p w14:paraId="3F0A848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Being employed was positively associated with resilience (subscales of personal competence, r = 0.18, social competence, r = 0.22, and family coherence, r = 0.17).</w:t>
            </w:r>
          </w:p>
        </w:tc>
        <w:tc>
          <w:tcPr>
            <w:tcW w:w="512" w:type="pct"/>
            <w:shd w:val="clear" w:color="auto" w:fill="F2F2F2" w:themeFill="background1" w:themeFillShade="F2"/>
          </w:tcPr>
          <w:p w14:paraId="118B8E7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712E3B" w14:paraId="695AFEAF"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5896E35F" w14:textId="77777777" w:rsidR="007B2641" w:rsidRPr="00B0015C" w:rsidRDefault="007B2641" w:rsidP="007A78C6">
            <w:pPr>
              <w:rPr>
                <w:sz w:val="14"/>
                <w:lang w:val="en-US"/>
              </w:rPr>
            </w:pPr>
            <w:r w:rsidRPr="00B0015C">
              <w:rPr>
                <w:sz w:val="14"/>
                <w:lang w:val="en-US"/>
              </w:rPr>
              <w:t>Friborg</w:t>
            </w:r>
          </w:p>
          <w:p w14:paraId="2F9D918C" w14:textId="77777777" w:rsidR="007B2641" w:rsidRPr="00B0015C" w:rsidRDefault="007B2641" w:rsidP="007A78C6">
            <w:pPr>
              <w:rPr>
                <w:sz w:val="14"/>
                <w:lang w:val="en-US"/>
              </w:rPr>
            </w:pPr>
            <w:r w:rsidRPr="00B0015C">
              <w:rPr>
                <w:sz w:val="14"/>
                <w:lang w:val="en-US"/>
              </w:rPr>
              <w:t>(2003)</w:t>
            </w:r>
          </w:p>
        </w:tc>
        <w:tc>
          <w:tcPr>
            <w:tcW w:w="463" w:type="pct"/>
            <w:shd w:val="clear" w:color="auto" w:fill="FFFFFF" w:themeFill="background1"/>
          </w:tcPr>
          <w:p w14:paraId="4AE5802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Employment years</w:t>
            </w:r>
          </w:p>
        </w:tc>
        <w:tc>
          <w:tcPr>
            <w:tcW w:w="391" w:type="pct"/>
            <w:shd w:val="clear" w:color="auto" w:fill="FFFFFF" w:themeFill="background1"/>
          </w:tcPr>
          <w:p w14:paraId="6171246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4C8ED9B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(RSA)</w:t>
            </w:r>
          </w:p>
        </w:tc>
        <w:tc>
          <w:tcPr>
            <w:tcW w:w="3221" w:type="pct"/>
            <w:shd w:val="clear" w:color="auto" w:fill="FFFFFF" w:themeFill="background1"/>
          </w:tcPr>
          <w:p w14:paraId="1F4307D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Number of years in work was positively associated with resilience (subscales of family coherence, r = 0.17, and personal structure, r = 0.17).</w:t>
            </w:r>
          </w:p>
        </w:tc>
        <w:tc>
          <w:tcPr>
            <w:tcW w:w="512" w:type="pct"/>
            <w:shd w:val="clear" w:color="auto" w:fill="FFFFFF" w:themeFill="background1"/>
          </w:tcPr>
          <w:p w14:paraId="69908C1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5F3B02" w14:paraId="6BEE4013"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62E95F7B" w14:textId="77777777" w:rsidR="007B2641" w:rsidRPr="00B0015C" w:rsidRDefault="007B2641" w:rsidP="007A78C6">
            <w:pPr>
              <w:rPr>
                <w:sz w:val="14"/>
                <w:lang w:val="en-US"/>
              </w:rPr>
            </w:pPr>
            <w:r w:rsidRPr="00B0015C">
              <w:rPr>
                <w:sz w:val="14"/>
                <w:lang w:val="en-US"/>
              </w:rPr>
              <w:t>Anderson</w:t>
            </w:r>
          </w:p>
          <w:p w14:paraId="2E00DEB5" w14:textId="77777777" w:rsidR="007B2641" w:rsidRPr="00B0015C" w:rsidRDefault="007B2641" w:rsidP="007A78C6">
            <w:pPr>
              <w:rPr>
                <w:sz w:val="14"/>
                <w:lang w:val="en-US"/>
              </w:rPr>
            </w:pPr>
            <w:r w:rsidRPr="00B0015C">
              <w:rPr>
                <w:sz w:val="14"/>
                <w:lang w:val="en-US"/>
              </w:rPr>
              <w:t>(1991)</w:t>
            </w:r>
          </w:p>
        </w:tc>
        <w:tc>
          <w:tcPr>
            <w:tcW w:w="463" w:type="pct"/>
            <w:shd w:val="clear" w:color="auto" w:fill="F2F2F2" w:themeFill="background1" w:themeFillShade="F2"/>
          </w:tcPr>
          <w:p w14:paraId="726C843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Employment arrangement</w:t>
            </w:r>
          </w:p>
        </w:tc>
        <w:tc>
          <w:tcPr>
            <w:tcW w:w="391" w:type="pct"/>
            <w:shd w:val="clear" w:color="auto" w:fill="F2F2F2" w:themeFill="background1" w:themeFillShade="F2"/>
          </w:tcPr>
          <w:p w14:paraId="481A2B1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2EF4193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(F-copes)</w:t>
            </w:r>
          </w:p>
        </w:tc>
        <w:tc>
          <w:tcPr>
            <w:tcW w:w="3221" w:type="pct"/>
            <w:shd w:val="clear" w:color="auto" w:fill="F2F2F2" w:themeFill="background1" w:themeFillShade="F2"/>
          </w:tcPr>
          <w:p w14:paraId="65779F6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423C02">
              <w:rPr>
                <w:sz w:val="14"/>
                <w:lang w:val="en-US"/>
              </w:rPr>
              <w:t xml:space="preserve">Men from a dual-career employment arrangement at home (both partners working and </w:t>
            </w:r>
            <w:r>
              <w:rPr>
                <w:sz w:val="14"/>
                <w:lang w:val="en-US"/>
              </w:rPr>
              <w:t xml:space="preserve">a </w:t>
            </w:r>
            <w:r w:rsidRPr="00423C02">
              <w:rPr>
                <w:sz w:val="14"/>
                <w:lang w:val="en-US"/>
              </w:rPr>
              <w:t>focus on career) used more adequate coping compared to men from a traditional employment arrangement at home (woman stays at home) (subscale of problem-focused coping/passive acceptance, mean score of 10.1 versus 7.8, range of 4-20). Women from a traditional or dual-job arrangement at home used more adequate coping than women from a dual-career arrangement did (subscale of seeking support, mean scores of 13.7, 13.7 and 10.9, respectively, range of 4-20).</w:t>
            </w:r>
          </w:p>
        </w:tc>
        <w:tc>
          <w:tcPr>
            <w:tcW w:w="512" w:type="pct"/>
            <w:shd w:val="clear" w:color="auto" w:fill="F2F2F2" w:themeFill="background1" w:themeFillShade="F2"/>
          </w:tcPr>
          <w:p w14:paraId="392C1A0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Stratified by gender</w:t>
            </w:r>
          </w:p>
        </w:tc>
      </w:tr>
      <w:tr w:rsidR="007B2641" w:rsidRPr="00210079" w14:paraId="4FC0B089"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2E1CFD15" w14:textId="77777777" w:rsidR="007B2641" w:rsidRPr="00B0015C" w:rsidRDefault="007B2641" w:rsidP="007A78C6">
            <w:pPr>
              <w:rPr>
                <w:sz w:val="14"/>
                <w:lang w:val="en-US"/>
              </w:rPr>
            </w:pPr>
            <w:r w:rsidRPr="00B0015C">
              <w:rPr>
                <w:sz w:val="14"/>
                <w:lang w:val="en-US"/>
              </w:rPr>
              <w:t>Haan</w:t>
            </w:r>
          </w:p>
          <w:p w14:paraId="2925E2ED" w14:textId="77777777" w:rsidR="007B2641" w:rsidRPr="00B0015C" w:rsidRDefault="007B2641" w:rsidP="007A78C6">
            <w:pPr>
              <w:rPr>
                <w:sz w:val="14"/>
                <w:lang w:val="en-US"/>
              </w:rPr>
            </w:pPr>
            <w:r w:rsidRPr="00B0015C">
              <w:rPr>
                <w:sz w:val="14"/>
                <w:lang w:val="en-US"/>
              </w:rPr>
              <w:t>(1964)</w:t>
            </w:r>
          </w:p>
        </w:tc>
        <w:tc>
          <w:tcPr>
            <w:tcW w:w="463" w:type="pct"/>
            <w:shd w:val="clear" w:color="auto" w:fill="FFFFFF" w:themeFill="background1"/>
          </w:tcPr>
          <w:p w14:paraId="2D7F5ED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Socioeconomic status</w:t>
            </w:r>
          </w:p>
        </w:tc>
        <w:tc>
          <w:tcPr>
            <w:tcW w:w="391" w:type="pct"/>
            <w:shd w:val="clear" w:color="auto" w:fill="FFFFFF" w:themeFill="background1"/>
          </w:tcPr>
          <w:p w14:paraId="0A660F3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086156F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(no scale)</w:t>
            </w:r>
          </w:p>
        </w:tc>
        <w:tc>
          <w:tcPr>
            <w:tcW w:w="3221" w:type="pct"/>
            <w:shd w:val="clear" w:color="auto" w:fill="FFFFFF" w:themeFill="background1"/>
          </w:tcPr>
          <w:p w14:paraId="19511F5D"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For men, positive associations were discovered between adolescences social status and adequate coping (subscales of objectivity, r = 0.30, intellectuality, r = 0.36, and logical analysis, r = 0.32). There was no association discovered between adolescence social status and adult coping for women. Adult social status was positively associated with total adequate coping for men and women (r = 0.61 and 0.55) and the adequate coping subscales of objectivity (r = 0.46 and 0.46), intellectuality (r = 0.57 and 0.60), logical analysis (r = 0.56 and 0.58), sublimation (r = 0.38 and 0.57) and suppression (r = 0.57 and 0.32). Additionally, for men, social status during adulthood was also positively associated with the adequate coping subscales of tolerance (r = 0.44), concentration (r = 0.46), empathy (r = 0.33) and substitution (r = 0.56). </w:t>
            </w:r>
          </w:p>
        </w:tc>
        <w:tc>
          <w:tcPr>
            <w:tcW w:w="512" w:type="pct"/>
            <w:shd w:val="clear" w:color="auto" w:fill="FFFFFF" w:themeFill="background1"/>
          </w:tcPr>
          <w:p w14:paraId="582CF50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952061" w14:paraId="0259F4FF"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2E414AF1" w14:textId="77777777" w:rsidR="007B2641" w:rsidRPr="00B0015C" w:rsidRDefault="007B2641" w:rsidP="007A78C6">
            <w:pPr>
              <w:rPr>
                <w:sz w:val="14"/>
                <w:lang w:val="en-US"/>
              </w:rPr>
            </w:pPr>
            <w:r w:rsidRPr="00B0015C">
              <w:rPr>
                <w:sz w:val="14"/>
                <w:lang w:val="en-US"/>
              </w:rPr>
              <w:t>Howerton</w:t>
            </w:r>
          </w:p>
          <w:p w14:paraId="19E4CADB" w14:textId="77777777" w:rsidR="007B2641" w:rsidRPr="00B0015C" w:rsidRDefault="007B2641" w:rsidP="007A78C6">
            <w:pPr>
              <w:rPr>
                <w:sz w:val="14"/>
                <w:lang w:val="en-US"/>
              </w:rPr>
            </w:pPr>
            <w:r w:rsidRPr="00B0015C">
              <w:rPr>
                <w:sz w:val="14"/>
                <w:lang w:val="en-US"/>
              </w:rPr>
              <w:t>(2009)</w:t>
            </w:r>
          </w:p>
        </w:tc>
        <w:tc>
          <w:tcPr>
            <w:tcW w:w="463" w:type="pct"/>
            <w:shd w:val="clear" w:color="auto" w:fill="F2F2F2" w:themeFill="background1" w:themeFillShade="F2"/>
          </w:tcPr>
          <w:p w14:paraId="7946FC16"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Socioeconomic status</w:t>
            </w:r>
          </w:p>
        </w:tc>
        <w:tc>
          <w:tcPr>
            <w:tcW w:w="391" w:type="pct"/>
            <w:shd w:val="clear" w:color="auto" w:fill="F2F2F2" w:themeFill="background1" w:themeFillShade="F2"/>
          </w:tcPr>
          <w:p w14:paraId="3341D19A"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7F12D34A"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(MCI)</w:t>
            </w:r>
          </w:p>
        </w:tc>
        <w:tc>
          <w:tcPr>
            <w:tcW w:w="3221" w:type="pct"/>
            <w:shd w:val="clear" w:color="auto" w:fill="F2F2F2" w:themeFill="background1" w:themeFillShade="F2"/>
          </w:tcPr>
          <w:p w14:paraId="1040AFA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Socioeconomic status was positively associated with adequate coping (subscale of problem-focused coping, b = 0.33) and as well as with inadequate coping (subscale of emotion-focused coping, b = 0.19), while controlling for gender and ethnicity. A negative association was found between SES and inadequate coping (subscale of avoidance coping, b = -0.34). The associations remained significant while additionally controlling for experienced chronic strain (b = 0.35, 0.20, and -0.27 respectively).</w:t>
            </w:r>
          </w:p>
        </w:tc>
        <w:tc>
          <w:tcPr>
            <w:tcW w:w="512" w:type="pct"/>
            <w:shd w:val="clear" w:color="auto" w:fill="F2F2F2" w:themeFill="background1" w:themeFillShade="F2"/>
          </w:tcPr>
          <w:p w14:paraId="1C9E5CC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 ethnicity, chronic strain</w:t>
            </w:r>
          </w:p>
        </w:tc>
      </w:tr>
      <w:tr w:rsidR="007B2641" w:rsidRPr="00D912DF" w14:paraId="1F53DEE8"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bottom w:val="single" w:sz="4" w:space="0" w:color="auto"/>
            </w:tcBorders>
            <w:shd w:val="clear" w:color="auto" w:fill="FFFFFF" w:themeFill="background1"/>
          </w:tcPr>
          <w:p w14:paraId="50187EAD" w14:textId="77777777" w:rsidR="007B2641" w:rsidRPr="00B0015C" w:rsidRDefault="007B2641" w:rsidP="007A78C6">
            <w:pPr>
              <w:rPr>
                <w:sz w:val="14"/>
                <w:lang w:val="en-US"/>
              </w:rPr>
            </w:pPr>
            <w:r w:rsidRPr="00B0015C">
              <w:rPr>
                <w:sz w:val="14"/>
                <w:lang w:val="en-US"/>
              </w:rPr>
              <w:t>Haan</w:t>
            </w:r>
          </w:p>
          <w:p w14:paraId="56C09AD9" w14:textId="77777777" w:rsidR="007B2641" w:rsidRPr="00B0015C" w:rsidRDefault="007B2641" w:rsidP="007A78C6">
            <w:pPr>
              <w:rPr>
                <w:sz w:val="14"/>
                <w:lang w:val="en-US"/>
              </w:rPr>
            </w:pPr>
            <w:r w:rsidRPr="00B0015C">
              <w:rPr>
                <w:sz w:val="14"/>
                <w:lang w:val="en-US"/>
              </w:rPr>
              <w:t>(1964)</w:t>
            </w:r>
          </w:p>
        </w:tc>
        <w:tc>
          <w:tcPr>
            <w:tcW w:w="463" w:type="pct"/>
            <w:tcBorders>
              <w:bottom w:val="single" w:sz="4" w:space="0" w:color="auto"/>
            </w:tcBorders>
            <w:shd w:val="clear" w:color="auto" w:fill="FFFFFF" w:themeFill="background1"/>
          </w:tcPr>
          <w:p w14:paraId="36016C2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Social mobility</w:t>
            </w:r>
          </w:p>
        </w:tc>
        <w:tc>
          <w:tcPr>
            <w:tcW w:w="391" w:type="pct"/>
            <w:tcBorders>
              <w:bottom w:val="single" w:sz="4" w:space="0" w:color="auto"/>
            </w:tcBorders>
            <w:shd w:val="clear" w:color="auto" w:fill="FFFFFF" w:themeFill="background1"/>
          </w:tcPr>
          <w:p w14:paraId="6F9F98B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Coping </w:t>
            </w:r>
          </w:p>
          <w:p w14:paraId="58B1ADC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(no scale)</w:t>
            </w:r>
          </w:p>
        </w:tc>
        <w:tc>
          <w:tcPr>
            <w:tcW w:w="3221" w:type="pct"/>
            <w:tcBorders>
              <w:bottom w:val="single" w:sz="4" w:space="0" w:color="auto"/>
            </w:tcBorders>
            <w:shd w:val="clear" w:color="auto" w:fill="FFFFFF" w:themeFill="background1"/>
          </w:tcPr>
          <w:p w14:paraId="3365296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Both men and women made more use of adequate coping strategies when their social status was higher at time point 2 (adulthood) compared to time point 1 (adolescence) (24 years apart). For men, this was marked by using more adequate coping strategies that involved controlling impulses while for women this was marked by more adequate strategies that involved expressing their impulses. </w:t>
            </w:r>
          </w:p>
        </w:tc>
        <w:tc>
          <w:tcPr>
            <w:tcW w:w="512" w:type="pct"/>
            <w:tcBorders>
              <w:bottom w:val="single" w:sz="4" w:space="0" w:color="auto"/>
            </w:tcBorders>
            <w:shd w:val="clear" w:color="auto" w:fill="FFFFFF" w:themeFill="background1"/>
          </w:tcPr>
          <w:p w14:paraId="4AF11F8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D912DF" w14:paraId="2D69C64C" w14:textId="77777777" w:rsidTr="007A78C6">
        <w:trPr>
          <w:trHeight w:val="34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D9D9D9" w:themeFill="background1" w:themeFillShade="D9"/>
            <w:vAlign w:val="center"/>
          </w:tcPr>
          <w:p w14:paraId="6F9B21BA" w14:textId="77777777" w:rsidR="007B2641" w:rsidRPr="00B0015C" w:rsidRDefault="007B2641" w:rsidP="007A78C6">
            <w:pPr>
              <w:rPr>
                <w:b w:val="0"/>
                <w:sz w:val="18"/>
                <w:lang w:val="en-US"/>
              </w:rPr>
            </w:pPr>
            <w:r w:rsidRPr="00B0015C">
              <w:rPr>
                <w:b w:val="0"/>
                <w:sz w:val="18"/>
                <w:lang w:val="en-US"/>
              </w:rPr>
              <w:t>Social environment</w:t>
            </w:r>
          </w:p>
        </w:tc>
      </w:tr>
      <w:tr w:rsidR="007B2641" w:rsidRPr="00952061" w14:paraId="4189FD8C"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single" w:sz="4" w:space="0" w:color="auto"/>
            </w:tcBorders>
            <w:shd w:val="clear" w:color="auto" w:fill="F2F2F2" w:themeFill="background1" w:themeFillShade="F2"/>
          </w:tcPr>
          <w:p w14:paraId="4DE91079" w14:textId="77777777" w:rsidR="007B2641" w:rsidRPr="00B0015C" w:rsidRDefault="007B2641" w:rsidP="007A78C6">
            <w:pPr>
              <w:rPr>
                <w:sz w:val="14"/>
                <w:lang w:val="en-US"/>
              </w:rPr>
            </w:pPr>
            <w:r w:rsidRPr="00B0015C">
              <w:rPr>
                <w:sz w:val="14"/>
                <w:lang w:val="en-US"/>
              </w:rPr>
              <w:t>De Ridder</w:t>
            </w:r>
          </w:p>
          <w:p w14:paraId="0129DB03" w14:textId="77777777" w:rsidR="007B2641" w:rsidRPr="00B0015C" w:rsidRDefault="007B2641" w:rsidP="007A78C6">
            <w:pPr>
              <w:rPr>
                <w:sz w:val="14"/>
                <w:lang w:val="en-US"/>
              </w:rPr>
            </w:pPr>
            <w:r w:rsidRPr="00B0015C">
              <w:rPr>
                <w:sz w:val="14"/>
                <w:lang w:val="en-US"/>
              </w:rPr>
              <w:t>(1995)</w:t>
            </w:r>
          </w:p>
        </w:tc>
        <w:tc>
          <w:tcPr>
            <w:tcW w:w="463" w:type="pct"/>
            <w:tcBorders>
              <w:top w:val="single" w:sz="4" w:space="0" w:color="auto"/>
            </w:tcBorders>
            <w:shd w:val="clear" w:color="auto" w:fill="F2F2F2" w:themeFill="background1" w:themeFillShade="F2"/>
          </w:tcPr>
          <w:p w14:paraId="3DC3A88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Marital status</w:t>
            </w:r>
          </w:p>
        </w:tc>
        <w:tc>
          <w:tcPr>
            <w:tcW w:w="391" w:type="pct"/>
            <w:tcBorders>
              <w:top w:val="single" w:sz="4" w:space="0" w:color="auto"/>
            </w:tcBorders>
            <w:shd w:val="clear" w:color="auto" w:fill="F2F2F2" w:themeFill="background1" w:themeFillShade="F2"/>
          </w:tcPr>
          <w:p w14:paraId="162523D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29DD3B3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w:t>
            </w:r>
          </w:p>
        </w:tc>
        <w:tc>
          <w:tcPr>
            <w:tcW w:w="3221" w:type="pct"/>
            <w:tcBorders>
              <w:top w:val="single" w:sz="4" w:space="0" w:color="auto"/>
            </w:tcBorders>
            <w:shd w:val="clear" w:color="auto" w:fill="F2F2F2" w:themeFill="background1" w:themeFillShade="F2"/>
          </w:tcPr>
          <w:p w14:paraId="2735585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No significant associations were discovered between marital status and coping.</w:t>
            </w:r>
          </w:p>
        </w:tc>
        <w:tc>
          <w:tcPr>
            <w:tcW w:w="512" w:type="pct"/>
            <w:tcBorders>
              <w:top w:val="single" w:sz="4" w:space="0" w:color="auto"/>
            </w:tcBorders>
            <w:shd w:val="clear" w:color="auto" w:fill="F2F2F2" w:themeFill="background1" w:themeFillShade="F2"/>
          </w:tcPr>
          <w:p w14:paraId="448BC82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952061" w14:paraId="7AE55D29"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65D0AFFC" w14:textId="77777777" w:rsidR="007B2641" w:rsidRPr="00B0015C" w:rsidRDefault="007B2641" w:rsidP="007A78C6">
            <w:pPr>
              <w:rPr>
                <w:sz w:val="14"/>
                <w:lang w:val="en-US"/>
              </w:rPr>
            </w:pPr>
            <w:r w:rsidRPr="00B0015C">
              <w:rPr>
                <w:sz w:val="14"/>
                <w:lang w:val="en-US"/>
              </w:rPr>
              <w:t xml:space="preserve">Matud </w:t>
            </w:r>
          </w:p>
          <w:p w14:paraId="11FC455E" w14:textId="77777777" w:rsidR="007B2641" w:rsidRPr="00B0015C" w:rsidRDefault="007B2641" w:rsidP="007A78C6">
            <w:pPr>
              <w:rPr>
                <w:sz w:val="14"/>
                <w:lang w:val="en-US"/>
              </w:rPr>
            </w:pPr>
            <w:r w:rsidRPr="00B0015C">
              <w:rPr>
                <w:sz w:val="14"/>
                <w:lang w:val="en-US"/>
              </w:rPr>
              <w:t>(2004)</w:t>
            </w:r>
          </w:p>
        </w:tc>
        <w:tc>
          <w:tcPr>
            <w:tcW w:w="463" w:type="pct"/>
            <w:shd w:val="clear" w:color="auto" w:fill="FFFFFF" w:themeFill="background1"/>
          </w:tcPr>
          <w:p w14:paraId="15FDF36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Household size</w:t>
            </w:r>
          </w:p>
        </w:tc>
        <w:tc>
          <w:tcPr>
            <w:tcW w:w="391" w:type="pct"/>
            <w:shd w:val="clear" w:color="auto" w:fill="FFFFFF" w:themeFill="background1"/>
          </w:tcPr>
          <w:p w14:paraId="4A7072F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56F83E4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(CSQ)</w:t>
            </w:r>
          </w:p>
        </w:tc>
        <w:tc>
          <w:tcPr>
            <w:tcW w:w="3221" w:type="pct"/>
            <w:shd w:val="clear" w:color="auto" w:fill="FFFFFF" w:themeFill="background1"/>
          </w:tcPr>
          <w:p w14:paraId="0C7B33D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Number of children was positively associated with adequate coping for men (subscale of rational coping, r = 0.16) and positively associated with inadequate coping for women (subscale of avoidance coping, r = 0.15).</w:t>
            </w:r>
          </w:p>
        </w:tc>
        <w:tc>
          <w:tcPr>
            <w:tcW w:w="512" w:type="pct"/>
            <w:shd w:val="clear" w:color="auto" w:fill="FFFFFF" w:themeFill="background1"/>
          </w:tcPr>
          <w:p w14:paraId="6D80A27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Stratified by gender</w:t>
            </w:r>
          </w:p>
        </w:tc>
      </w:tr>
      <w:tr w:rsidR="007B2641" w:rsidRPr="00952061" w14:paraId="175A6414"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C33D512" w14:textId="77777777" w:rsidR="007B2641" w:rsidRPr="00B0015C" w:rsidRDefault="007B2641" w:rsidP="007A78C6">
            <w:pPr>
              <w:rPr>
                <w:sz w:val="14"/>
                <w:lang w:val="en-US"/>
              </w:rPr>
            </w:pPr>
            <w:r w:rsidRPr="00B0015C">
              <w:rPr>
                <w:sz w:val="14"/>
                <w:lang w:val="en-US"/>
              </w:rPr>
              <w:t>Holahan</w:t>
            </w:r>
          </w:p>
          <w:p w14:paraId="7B81F205" w14:textId="77777777" w:rsidR="007B2641" w:rsidRPr="00B0015C" w:rsidRDefault="007B2641" w:rsidP="007A78C6">
            <w:pPr>
              <w:rPr>
                <w:sz w:val="14"/>
                <w:lang w:val="en-US"/>
              </w:rPr>
            </w:pPr>
            <w:r w:rsidRPr="00B0015C">
              <w:rPr>
                <w:sz w:val="14"/>
                <w:lang w:val="en-US"/>
              </w:rPr>
              <w:t>(1987)</w:t>
            </w:r>
          </w:p>
        </w:tc>
        <w:tc>
          <w:tcPr>
            <w:tcW w:w="463" w:type="pct"/>
            <w:shd w:val="clear" w:color="auto" w:fill="F2F2F2" w:themeFill="background1" w:themeFillShade="F2"/>
          </w:tcPr>
          <w:p w14:paraId="432EABE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Family support</w:t>
            </w:r>
          </w:p>
        </w:tc>
        <w:tc>
          <w:tcPr>
            <w:tcW w:w="391" w:type="pct"/>
            <w:shd w:val="clear" w:color="auto" w:fill="F2F2F2" w:themeFill="background1" w:themeFillShade="F2"/>
          </w:tcPr>
          <w:p w14:paraId="7085304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4099131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(HDL)</w:t>
            </w:r>
          </w:p>
        </w:tc>
        <w:tc>
          <w:tcPr>
            <w:tcW w:w="3221" w:type="pct"/>
            <w:shd w:val="clear" w:color="auto" w:fill="F2F2F2" w:themeFill="background1" w:themeFillShade="F2"/>
          </w:tcPr>
          <w:p w14:paraId="4B7D4AEB"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Family support was positively associated with adequate coping (subscales of active-cognitive coping, r = 0.10, and active-behavioral, r = 0.17) and negatively with inadequate coping (subscale of avoidance coping, r = -0.34) at time point 1. At time point 2, support was positively associated with adequate coping (subscale of active-behavioral coping, r = 0.09) and negatively with inadequate coping (subscale of avoidance coping, r = -0.27). When controlling for initial coping at time 1, support remained negatively associated with inadequate coping (subscale of avoidance coping, r = -0.19).</w:t>
            </w:r>
          </w:p>
        </w:tc>
        <w:tc>
          <w:tcPr>
            <w:tcW w:w="512" w:type="pct"/>
            <w:shd w:val="clear" w:color="auto" w:fill="F2F2F2" w:themeFill="background1" w:themeFillShade="F2"/>
          </w:tcPr>
          <w:p w14:paraId="20AFE7C0"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Initial coping</w:t>
            </w:r>
          </w:p>
        </w:tc>
      </w:tr>
      <w:tr w:rsidR="007B2641" w:rsidRPr="00FA0CEF" w14:paraId="09680EF6"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01BE1701" w14:textId="77777777" w:rsidR="007B2641" w:rsidRPr="00B0015C" w:rsidRDefault="007B2641" w:rsidP="007A78C6">
            <w:pPr>
              <w:rPr>
                <w:sz w:val="14"/>
                <w:lang w:val="en-US"/>
              </w:rPr>
            </w:pPr>
            <w:r w:rsidRPr="00B0015C">
              <w:rPr>
                <w:sz w:val="14"/>
                <w:lang w:val="en-US"/>
              </w:rPr>
              <w:t>De Ridder</w:t>
            </w:r>
          </w:p>
          <w:p w14:paraId="74853CA1" w14:textId="77777777" w:rsidR="007B2641" w:rsidRPr="00B0015C" w:rsidRDefault="007B2641" w:rsidP="007A78C6">
            <w:pPr>
              <w:rPr>
                <w:sz w:val="14"/>
                <w:lang w:val="en-US"/>
              </w:rPr>
            </w:pPr>
            <w:r w:rsidRPr="00B0015C">
              <w:rPr>
                <w:sz w:val="14"/>
                <w:lang w:val="en-US"/>
              </w:rPr>
              <w:t>(1995)</w:t>
            </w:r>
          </w:p>
        </w:tc>
        <w:tc>
          <w:tcPr>
            <w:tcW w:w="463" w:type="pct"/>
            <w:shd w:val="clear" w:color="auto" w:fill="FFFFFF" w:themeFill="background1"/>
          </w:tcPr>
          <w:p w14:paraId="3673E05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Social support</w:t>
            </w:r>
          </w:p>
        </w:tc>
        <w:tc>
          <w:tcPr>
            <w:tcW w:w="391" w:type="pct"/>
            <w:shd w:val="clear" w:color="auto" w:fill="FFFFFF" w:themeFill="background1"/>
          </w:tcPr>
          <w:p w14:paraId="1671E06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29BA290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(WCC)</w:t>
            </w:r>
          </w:p>
        </w:tc>
        <w:tc>
          <w:tcPr>
            <w:tcW w:w="3221" w:type="pct"/>
            <w:shd w:val="clear" w:color="auto" w:fill="FFFFFF" w:themeFill="background1"/>
          </w:tcPr>
          <w:p w14:paraId="65C5D7EC"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No significant associations were discovered between perceived social support and coping. </w:t>
            </w:r>
          </w:p>
        </w:tc>
        <w:tc>
          <w:tcPr>
            <w:tcW w:w="512" w:type="pct"/>
            <w:shd w:val="clear" w:color="auto" w:fill="FFFFFF" w:themeFill="background1"/>
          </w:tcPr>
          <w:p w14:paraId="71F970C4"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AC33F5" w14:paraId="58275656"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78129B4D" w14:textId="77777777" w:rsidR="007B2641" w:rsidRPr="00B0015C" w:rsidRDefault="007B2641" w:rsidP="007A78C6">
            <w:pPr>
              <w:rPr>
                <w:sz w:val="14"/>
                <w:lang w:val="en-US"/>
              </w:rPr>
            </w:pPr>
            <w:r w:rsidRPr="00B0015C">
              <w:rPr>
                <w:sz w:val="14"/>
                <w:lang w:val="en-US"/>
              </w:rPr>
              <w:t>Alexander</w:t>
            </w:r>
          </w:p>
          <w:p w14:paraId="7CDCD20E" w14:textId="77777777" w:rsidR="007B2641" w:rsidRPr="00B0015C" w:rsidRDefault="007B2641" w:rsidP="007A78C6">
            <w:pPr>
              <w:rPr>
                <w:sz w:val="14"/>
                <w:lang w:val="en-US"/>
              </w:rPr>
            </w:pPr>
            <w:r w:rsidRPr="00B0015C">
              <w:rPr>
                <w:sz w:val="14"/>
                <w:lang w:val="en-US"/>
              </w:rPr>
              <w:t>(2001)</w:t>
            </w:r>
          </w:p>
        </w:tc>
        <w:tc>
          <w:tcPr>
            <w:tcW w:w="463" w:type="pct"/>
            <w:shd w:val="clear" w:color="auto" w:fill="F2F2F2" w:themeFill="background1" w:themeFillShade="F2"/>
          </w:tcPr>
          <w:p w14:paraId="3E73514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Social support</w:t>
            </w:r>
          </w:p>
        </w:tc>
        <w:tc>
          <w:tcPr>
            <w:tcW w:w="391" w:type="pct"/>
            <w:shd w:val="clear" w:color="auto" w:fill="F2F2F2" w:themeFill="background1" w:themeFillShade="F2"/>
          </w:tcPr>
          <w:p w14:paraId="6902FEA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32F0BE1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(WCC-R)</w:t>
            </w:r>
          </w:p>
        </w:tc>
        <w:tc>
          <w:tcPr>
            <w:tcW w:w="3221" w:type="pct"/>
            <w:shd w:val="clear" w:color="auto" w:fill="F2F2F2" w:themeFill="background1" w:themeFillShade="F2"/>
          </w:tcPr>
          <w:p w14:paraId="58B93545" w14:textId="77777777" w:rsidR="007B2641" w:rsidRPr="0039222E"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39222E">
              <w:rPr>
                <w:sz w:val="14"/>
                <w:lang w:val="en-US"/>
              </w:rPr>
              <w:t xml:space="preserve">Perceived social support was positively associated with using adequate coping for women (subscale of seeking support, r = 0.23). </w:t>
            </w:r>
          </w:p>
        </w:tc>
        <w:tc>
          <w:tcPr>
            <w:tcW w:w="512" w:type="pct"/>
            <w:shd w:val="clear" w:color="auto" w:fill="F2F2F2" w:themeFill="background1" w:themeFillShade="F2"/>
          </w:tcPr>
          <w:p w14:paraId="543D8BC1"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Stratified by gender</w:t>
            </w:r>
          </w:p>
        </w:tc>
      </w:tr>
      <w:tr w:rsidR="007B2641" w:rsidRPr="00952061" w14:paraId="625585E1"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7827F84E" w14:textId="77777777" w:rsidR="007B2641" w:rsidRPr="00B0015C" w:rsidRDefault="007B2641" w:rsidP="007A78C6">
            <w:pPr>
              <w:rPr>
                <w:sz w:val="14"/>
                <w:lang w:val="en-US"/>
              </w:rPr>
            </w:pPr>
            <w:r w:rsidRPr="00B0015C">
              <w:rPr>
                <w:sz w:val="14"/>
                <w:lang w:val="en-US"/>
              </w:rPr>
              <w:t>Pallant</w:t>
            </w:r>
          </w:p>
          <w:p w14:paraId="306DCB16" w14:textId="77777777" w:rsidR="007B2641" w:rsidRPr="00B0015C" w:rsidRDefault="007B2641" w:rsidP="007A78C6">
            <w:pPr>
              <w:rPr>
                <w:sz w:val="14"/>
                <w:lang w:val="en-US"/>
              </w:rPr>
            </w:pPr>
            <w:r w:rsidRPr="00B0015C">
              <w:rPr>
                <w:sz w:val="14"/>
                <w:lang w:val="en-US"/>
              </w:rPr>
              <w:t>(2002)</w:t>
            </w:r>
          </w:p>
        </w:tc>
        <w:tc>
          <w:tcPr>
            <w:tcW w:w="463" w:type="pct"/>
            <w:shd w:val="clear" w:color="auto" w:fill="FFFFFF" w:themeFill="background1"/>
          </w:tcPr>
          <w:p w14:paraId="7F14E37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Sense of coherence</w:t>
            </w:r>
          </w:p>
        </w:tc>
        <w:tc>
          <w:tcPr>
            <w:tcW w:w="391" w:type="pct"/>
            <w:shd w:val="clear" w:color="auto" w:fill="FFFFFF" w:themeFill="background1"/>
          </w:tcPr>
          <w:p w14:paraId="5F67D36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2D25071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(COPE)</w:t>
            </w:r>
          </w:p>
        </w:tc>
        <w:tc>
          <w:tcPr>
            <w:tcW w:w="3221" w:type="pct"/>
            <w:shd w:val="clear" w:color="auto" w:fill="FFFFFF" w:themeFill="background1"/>
          </w:tcPr>
          <w:p w14:paraId="008D781D"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Respondents with a higher sense of coherence of their social world used more adequate coping (subscales of active, r = 0.37, planning, r = 0.33, reinterpretation, r = 0.22, and instrumental support coping, r = 0.10) and less inadequate coping (subscales of behavioral disengagement, r = -0.41, denial, r = -0.24, drug use, r = -0.18, and mental disengagement, r = -0.11). Additionally, for women sense of coherence was also positively associated with other adequate strategies (emotional support, r = 0.20, and humor, r = 0.16). Differences were found between men and women and the effect of sense of coherence on coping. The positive associations with adequate coping were stronger for women (subscales of </w:t>
            </w:r>
            <w:r>
              <w:rPr>
                <w:sz w:val="14"/>
                <w:lang w:val="en-US"/>
              </w:rPr>
              <w:lastRenderedPageBreak/>
              <w:t>active coping, r = 0.43 versus 0.26, and planning, r = 0.38 versus 0.23) as well as the negative associations with inadequate coping (subscales of behavioral disengagement, r= -0.43 versus -0.35, and denial, r = -0.25 versus -0.21) except for one subscale (drug use, r = -0.15 versus -0.23).</w:t>
            </w:r>
          </w:p>
        </w:tc>
        <w:tc>
          <w:tcPr>
            <w:tcW w:w="512" w:type="pct"/>
            <w:shd w:val="clear" w:color="auto" w:fill="FFFFFF" w:themeFill="background1"/>
          </w:tcPr>
          <w:p w14:paraId="4E45AEF3"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lastRenderedPageBreak/>
              <w:t>Socially desired responding</w:t>
            </w:r>
          </w:p>
        </w:tc>
      </w:tr>
      <w:tr w:rsidR="007B2641" w:rsidRPr="00952061" w14:paraId="3269AB4E"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05FDF9BC" w14:textId="77777777" w:rsidR="007B2641" w:rsidRPr="00B0015C" w:rsidRDefault="007B2641" w:rsidP="007A78C6">
            <w:pPr>
              <w:rPr>
                <w:sz w:val="14"/>
                <w:lang w:val="en-US"/>
              </w:rPr>
            </w:pPr>
            <w:r w:rsidRPr="00B0015C">
              <w:rPr>
                <w:sz w:val="14"/>
                <w:lang w:val="en-US"/>
              </w:rPr>
              <w:t xml:space="preserve">Roussi </w:t>
            </w:r>
          </w:p>
          <w:p w14:paraId="7B625179" w14:textId="77777777" w:rsidR="007B2641" w:rsidRPr="00B0015C" w:rsidRDefault="007B2641" w:rsidP="007A78C6">
            <w:pPr>
              <w:rPr>
                <w:sz w:val="14"/>
                <w:lang w:val="en-US"/>
              </w:rPr>
            </w:pPr>
            <w:r w:rsidRPr="00B0015C">
              <w:rPr>
                <w:sz w:val="14"/>
                <w:lang w:val="en-US"/>
              </w:rPr>
              <w:t>(2006)</w:t>
            </w:r>
          </w:p>
        </w:tc>
        <w:tc>
          <w:tcPr>
            <w:tcW w:w="463" w:type="pct"/>
            <w:shd w:val="clear" w:color="auto" w:fill="F2F2F2" w:themeFill="background1" w:themeFillShade="F2"/>
          </w:tcPr>
          <w:p w14:paraId="05DC874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Sense of community</w:t>
            </w:r>
          </w:p>
        </w:tc>
        <w:tc>
          <w:tcPr>
            <w:tcW w:w="391" w:type="pct"/>
            <w:shd w:val="clear" w:color="auto" w:fill="F2F2F2" w:themeFill="background1" w:themeFillShade="F2"/>
          </w:tcPr>
          <w:p w14:paraId="783F174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276D8A4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(SACS)</w:t>
            </w:r>
          </w:p>
        </w:tc>
        <w:tc>
          <w:tcPr>
            <w:tcW w:w="3221" w:type="pct"/>
            <w:shd w:val="clear" w:color="auto" w:fill="F2F2F2" w:themeFill="background1" w:themeFillShade="F2"/>
          </w:tcPr>
          <w:p w14:paraId="305EFE0B"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 higher perceived sense of community was positively associated with adequate coping (subscales of social joining, r = 0.21) and negatively associated with inadequate coping (subscales of aggressive action, r = -0.18, and antisocial action, r = -0.27).</w:t>
            </w:r>
          </w:p>
        </w:tc>
        <w:tc>
          <w:tcPr>
            <w:tcW w:w="512" w:type="pct"/>
            <w:shd w:val="clear" w:color="auto" w:fill="F2F2F2" w:themeFill="background1" w:themeFillShade="F2"/>
          </w:tcPr>
          <w:p w14:paraId="4744B893"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952061" w14:paraId="0BE39E06"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tcBorders>
              <w:bottom w:val="nil"/>
            </w:tcBorders>
            <w:shd w:val="clear" w:color="auto" w:fill="FFFFFF" w:themeFill="background1"/>
          </w:tcPr>
          <w:p w14:paraId="1ADDA941" w14:textId="77777777" w:rsidR="007B2641" w:rsidRPr="00B0015C" w:rsidRDefault="007B2641" w:rsidP="007A78C6">
            <w:pPr>
              <w:rPr>
                <w:sz w:val="14"/>
                <w:lang w:val="en-US"/>
              </w:rPr>
            </w:pPr>
            <w:r w:rsidRPr="00B0015C">
              <w:rPr>
                <w:sz w:val="14"/>
                <w:lang w:val="en-US"/>
              </w:rPr>
              <w:t>Capanna</w:t>
            </w:r>
          </w:p>
          <w:p w14:paraId="44B2D4E4" w14:textId="77777777" w:rsidR="007B2641" w:rsidRPr="00B0015C" w:rsidRDefault="007B2641" w:rsidP="007A78C6">
            <w:pPr>
              <w:rPr>
                <w:sz w:val="14"/>
                <w:lang w:val="en-US"/>
              </w:rPr>
            </w:pPr>
            <w:r w:rsidRPr="00B0015C">
              <w:rPr>
                <w:sz w:val="14"/>
                <w:lang w:val="en-US"/>
              </w:rPr>
              <w:t>(2013)</w:t>
            </w:r>
          </w:p>
        </w:tc>
        <w:tc>
          <w:tcPr>
            <w:tcW w:w="463" w:type="pct"/>
            <w:tcBorders>
              <w:bottom w:val="nil"/>
            </w:tcBorders>
            <w:shd w:val="clear" w:color="auto" w:fill="FFFFFF" w:themeFill="background1"/>
          </w:tcPr>
          <w:p w14:paraId="1B9E0419"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Social connectedness</w:t>
            </w:r>
          </w:p>
        </w:tc>
        <w:tc>
          <w:tcPr>
            <w:tcW w:w="391" w:type="pct"/>
            <w:tcBorders>
              <w:bottom w:val="nil"/>
            </w:tcBorders>
            <w:shd w:val="clear" w:color="auto" w:fill="FFFFFF" w:themeFill="background1"/>
          </w:tcPr>
          <w:p w14:paraId="181001A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Resilience</w:t>
            </w:r>
          </w:p>
          <w:p w14:paraId="391D5EC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(RSA)</w:t>
            </w:r>
          </w:p>
        </w:tc>
        <w:tc>
          <w:tcPr>
            <w:tcW w:w="3221" w:type="pct"/>
            <w:tcBorders>
              <w:bottom w:val="nil"/>
            </w:tcBorders>
            <w:shd w:val="clear" w:color="auto" w:fill="FFFFFF" w:themeFill="background1"/>
          </w:tcPr>
          <w:p w14:paraId="36CAE292"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Social connectedness was positively associated with the total resilience score (r = 0.48) as well as the resilience subscales: perception of self, r = 0.51, planned future, r = 0.50, social competence, r = 0.58, family cohesion, r = 0.34, and social resources, r = 0.42.</w:t>
            </w:r>
          </w:p>
        </w:tc>
        <w:tc>
          <w:tcPr>
            <w:tcW w:w="512" w:type="pct"/>
            <w:tcBorders>
              <w:bottom w:val="nil"/>
            </w:tcBorders>
            <w:shd w:val="clear" w:color="auto" w:fill="FFFFFF" w:themeFill="background1"/>
          </w:tcPr>
          <w:p w14:paraId="2062DDCC"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AA4C48" w14:paraId="3F5CEB1D"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nil"/>
              <w:bottom w:val="single" w:sz="4" w:space="0" w:color="auto"/>
            </w:tcBorders>
            <w:shd w:val="clear" w:color="auto" w:fill="F2F2F2" w:themeFill="background1" w:themeFillShade="F2"/>
          </w:tcPr>
          <w:p w14:paraId="36320786" w14:textId="77777777" w:rsidR="007B2641" w:rsidRPr="00B0015C" w:rsidRDefault="007B2641" w:rsidP="007A78C6">
            <w:pPr>
              <w:rPr>
                <w:sz w:val="14"/>
                <w:lang w:val="en-US"/>
              </w:rPr>
            </w:pPr>
            <w:r w:rsidRPr="00B0015C">
              <w:rPr>
                <w:sz w:val="14"/>
                <w:lang w:val="en-US"/>
              </w:rPr>
              <w:t>Yu</w:t>
            </w:r>
          </w:p>
          <w:p w14:paraId="38577420" w14:textId="77777777" w:rsidR="007B2641" w:rsidRPr="00B0015C" w:rsidRDefault="007B2641" w:rsidP="007A78C6">
            <w:pPr>
              <w:rPr>
                <w:sz w:val="14"/>
                <w:lang w:val="en-US"/>
              </w:rPr>
            </w:pPr>
            <w:r w:rsidRPr="00B0015C">
              <w:rPr>
                <w:sz w:val="14"/>
                <w:lang w:val="en-US"/>
              </w:rPr>
              <w:t>(2021)</w:t>
            </w:r>
          </w:p>
        </w:tc>
        <w:tc>
          <w:tcPr>
            <w:tcW w:w="463" w:type="pct"/>
            <w:tcBorders>
              <w:top w:val="nil"/>
              <w:bottom w:val="single" w:sz="4" w:space="0" w:color="auto"/>
            </w:tcBorders>
            <w:shd w:val="clear" w:color="auto" w:fill="F2F2F2" w:themeFill="background1" w:themeFillShade="F2"/>
          </w:tcPr>
          <w:p w14:paraId="0E0EBE4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Acculturation</w:t>
            </w:r>
          </w:p>
        </w:tc>
        <w:tc>
          <w:tcPr>
            <w:tcW w:w="391" w:type="pct"/>
            <w:tcBorders>
              <w:top w:val="nil"/>
              <w:bottom w:val="single" w:sz="4" w:space="0" w:color="auto"/>
            </w:tcBorders>
            <w:shd w:val="clear" w:color="auto" w:fill="F2F2F2" w:themeFill="background1" w:themeFillShade="F2"/>
          </w:tcPr>
          <w:p w14:paraId="66A75F2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3DFAF49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(CD-RISC)</w:t>
            </w:r>
          </w:p>
        </w:tc>
        <w:tc>
          <w:tcPr>
            <w:tcW w:w="3221" w:type="pct"/>
            <w:tcBorders>
              <w:top w:val="nil"/>
              <w:bottom w:val="single" w:sz="4" w:space="0" w:color="auto"/>
            </w:tcBorders>
            <w:shd w:val="clear" w:color="auto" w:fill="F2F2F2" w:themeFill="background1" w:themeFillShade="F2"/>
          </w:tcPr>
          <w:p w14:paraId="5F8674B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 higher immersion of the dominant culture is positively associated with resilience (r = 0.32). No significant effect was found for immersion of ethnic cultures.</w:t>
            </w:r>
          </w:p>
        </w:tc>
        <w:tc>
          <w:tcPr>
            <w:tcW w:w="512" w:type="pct"/>
            <w:tcBorders>
              <w:top w:val="nil"/>
              <w:bottom w:val="single" w:sz="4" w:space="0" w:color="auto"/>
            </w:tcBorders>
            <w:shd w:val="clear" w:color="auto" w:fill="F2F2F2" w:themeFill="background1" w:themeFillShade="F2"/>
          </w:tcPr>
          <w:p w14:paraId="44384FD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E668D7" w14:paraId="2BB2C7A0" w14:textId="77777777" w:rsidTr="007A78C6">
        <w:trPr>
          <w:trHeight w:val="34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D9D9D9" w:themeFill="background1" w:themeFillShade="D9"/>
            <w:vAlign w:val="center"/>
          </w:tcPr>
          <w:p w14:paraId="6AB48DDA" w14:textId="77777777" w:rsidR="007B2641" w:rsidRPr="00B0015C" w:rsidRDefault="007B2641" w:rsidP="007A78C6">
            <w:pPr>
              <w:rPr>
                <w:b w:val="0"/>
                <w:sz w:val="18"/>
                <w:lang w:val="en-US"/>
              </w:rPr>
            </w:pPr>
            <w:r w:rsidRPr="00B0015C">
              <w:rPr>
                <w:b w:val="0"/>
                <w:sz w:val="18"/>
                <w:lang w:val="en-US"/>
              </w:rPr>
              <w:t>Psychosocial well-being and life experiences</w:t>
            </w:r>
          </w:p>
        </w:tc>
      </w:tr>
      <w:tr w:rsidR="007B2641" w:rsidRPr="00C011BB" w14:paraId="105FC636"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single" w:sz="4" w:space="0" w:color="auto"/>
            </w:tcBorders>
            <w:shd w:val="clear" w:color="auto" w:fill="FFFFFF" w:themeFill="background1"/>
          </w:tcPr>
          <w:p w14:paraId="04A12064" w14:textId="77777777" w:rsidR="007B2641" w:rsidRPr="00B0015C" w:rsidRDefault="007B2641" w:rsidP="007A78C6">
            <w:pPr>
              <w:rPr>
                <w:sz w:val="14"/>
                <w:lang w:val="en-US"/>
              </w:rPr>
            </w:pPr>
            <w:r w:rsidRPr="00B0015C">
              <w:rPr>
                <w:sz w:val="14"/>
                <w:lang w:val="en-US"/>
              </w:rPr>
              <w:t xml:space="preserve">Matud </w:t>
            </w:r>
          </w:p>
          <w:p w14:paraId="346458F2" w14:textId="77777777" w:rsidR="007B2641" w:rsidRPr="00B0015C" w:rsidRDefault="007B2641" w:rsidP="007A78C6">
            <w:pPr>
              <w:rPr>
                <w:sz w:val="14"/>
                <w:lang w:val="en-US"/>
              </w:rPr>
            </w:pPr>
            <w:r w:rsidRPr="00B0015C">
              <w:rPr>
                <w:sz w:val="14"/>
                <w:lang w:val="en-US"/>
              </w:rPr>
              <w:t>(2004)</w:t>
            </w:r>
          </w:p>
        </w:tc>
        <w:tc>
          <w:tcPr>
            <w:tcW w:w="463" w:type="pct"/>
            <w:tcBorders>
              <w:top w:val="single" w:sz="4" w:space="0" w:color="auto"/>
            </w:tcBorders>
            <w:shd w:val="clear" w:color="auto" w:fill="FFFFFF" w:themeFill="background1"/>
          </w:tcPr>
          <w:p w14:paraId="08B513B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Chronic strain/stress</w:t>
            </w:r>
          </w:p>
        </w:tc>
        <w:tc>
          <w:tcPr>
            <w:tcW w:w="391" w:type="pct"/>
            <w:tcBorders>
              <w:top w:val="single" w:sz="4" w:space="0" w:color="auto"/>
            </w:tcBorders>
            <w:shd w:val="clear" w:color="auto" w:fill="FFFFFF" w:themeFill="background1"/>
          </w:tcPr>
          <w:p w14:paraId="25C2C24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3BA3F35D"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(CSQ)</w:t>
            </w:r>
          </w:p>
        </w:tc>
        <w:tc>
          <w:tcPr>
            <w:tcW w:w="3221" w:type="pct"/>
            <w:tcBorders>
              <w:top w:val="single" w:sz="4" w:space="0" w:color="auto"/>
            </w:tcBorders>
            <w:shd w:val="clear" w:color="auto" w:fill="FFFFFF" w:themeFill="background1"/>
          </w:tcPr>
          <w:p w14:paraId="1BBBFAE6"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Experiencing chronic stress was positively associated with inadequate coping for women (subscale of emotional coping, r = 0.22).</w:t>
            </w:r>
          </w:p>
        </w:tc>
        <w:tc>
          <w:tcPr>
            <w:tcW w:w="512" w:type="pct"/>
            <w:tcBorders>
              <w:top w:val="single" w:sz="4" w:space="0" w:color="auto"/>
            </w:tcBorders>
            <w:shd w:val="clear" w:color="auto" w:fill="FFFFFF" w:themeFill="background1"/>
          </w:tcPr>
          <w:p w14:paraId="1595014E"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Stratified by gender</w:t>
            </w:r>
          </w:p>
        </w:tc>
      </w:tr>
      <w:tr w:rsidR="007B2641" w:rsidRPr="00AE6162" w14:paraId="176328AF"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543B3EC" w14:textId="77777777" w:rsidR="007B2641" w:rsidRPr="00B0015C" w:rsidRDefault="007B2641" w:rsidP="007A78C6">
            <w:pPr>
              <w:rPr>
                <w:sz w:val="14"/>
                <w:lang w:val="en-US"/>
              </w:rPr>
            </w:pPr>
            <w:r w:rsidRPr="00B0015C">
              <w:rPr>
                <w:sz w:val="14"/>
                <w:lang w:val="en-US"/>
              </w:rPr>
              <w:t>Howerton</w:t>
            </w:r>
          </w:p>
          <w:p w14:paraId="515A4850" w14:textId="77777777" w:rsidR="007B2641" w:rsidRPr="00B0015C" w:rsidRDefault="007B2641" w:rsidP="007A78C6">
            <w:pPr>
              <w:rPr>
                <w:sz w:val="14"/>
                <w:lang w:val="en-US"/>
              </w:rPr>
            </w:pPr>
            <w:r w:rsidRPr="00B0015C">
              <w:rPr>
                <w:sz w:val="14"/>
                <w:lang w:val="en-US"/>
              </w:rPr>
              <w:t>(2009)</w:t>
            </w:r>
          </w:p>
        </w:tc>
        <w:tc>
          <w:tcPr>
            <w:tcW w:w="463" w:type="pct"/>
            <w:shd w:val="clear" w:color="auto" w:fill="F2F2F2" w:themeFill="background1" w:themeFillShade="F2"/>
          </w:tcPr>
          <w:p w14:paraId="0F950E4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Chronic strain/stress</w:t>
            </w:r>
          </w:p>
        </w:tc>
        <w:tc>
          <w:tcPr>
            <w:tcW w:w="391" w:type="pct"/>
            <w:shd w:val="clear" w:color="auto" w:fill="F2F2F2" w:themeFill="background1" w:themeFillShade="F2"/>
          </w:tcPr>
          <w:p w14:paraId="6450FB1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11BD06D6"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(MCI)</w:t>
            </w:r>
          </w:p>
        </w:tc>
        <w:tc>
          <w:tcPr>
            <w:tcW w:w="3221" w:type="pct"/>
            <w:shd w:val="clear" w:color="auto" w:fill="F2F2F2" w:themeFill="background1" w:themeFillShade="F2"/>
          </w:tcPr>
          <w:p w14:paraId="1BBBE7AE"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Experiencing chronic strain was positively associated with adequate coping (subscale of problem-focused coping, b = 0.01) and inadequate coping (subscale of avoidant coping, b = 0.04), while controlling for gender, ethnicity and SES.</w:t>
            </w:r>
          </w:p>
        </w:tc>
        <w:tc>
          <w:tcPr>
            <w:tcW w:w="512" w:type="pct"/>
            <w:shd w:val="clear" w:color="auto" w:fill="F2F2F2" w:themeFill="background1" w:themeFillShade="F2"/>
          </w:tcPr>
          <w:p w14:paraId="12B3D0EF"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Gender, ethnicity, SES</w:t>
            </w:r>
          </w:p>
        </w:tc>
      </w:tr>
      <w:tr w:rsidR="007B2641" w:rsidRPr="007975D1" w14:paraId="00F4A9DD"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521C7C78" w14:textId="77777777" w:rsidR="007B2641" w:rsidRPr="00B0015C" w:rsidRDefault="007B2641" w:rsidP="007A78C6">
            <w:pPr>
              <w:rPr>
                <w:sz w:val="14"/>
                <w:lang w:val="en-US"/>
              </w:rPr>
            </w:pPr>
            <w:r w:rsidRPr="00B0015C">
              <w:rPr>
                <w:sz w:val="14"/>
                <w:lang w:val="en-US"/>
              </w:rPr>
              <w:t>Alexander</w:t>
            </w:r>
          </w:p>
          <w:p w14:paraId="29DFD898" w14:textId="77777777" w:rsidR="007B2641" w:rsidRPr="00B0015C" w:rsidRDefault="007B2641" w:rsidP="007A78C6">
            <w:pPr>
              <w:rPr>
                <w:sz w:val="14"/>
                <w:lang w:val="en-US"/>
              </w:rPr>
            </w:pPr>
            <w:r w:rsidRPr="00B0015C">
              <w:rPr>
                <w:sz w:val="14"/>
                <w:lang w:val="en-US"/>
              </w:rPr>
              <w:t>(2001)</w:t>
            </w:r>
          </w:p>
        </w:tc>
        <w:tc>
          <w:tcPr>
            <w:tcW w:w="463" w:type="pct"/>
            <w:shd w:val="clear" w:color="auto" w:fill="FFFFFF" w:themeFill="background1"/>
          </w:tcPr>
          <w:p w14:paraId="0B850043"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Daily strain/stress</w:t>
            </w:r>
          </w:p>
        </w:tc>
        <w:tc>
          <w:tcPr>
            <w:tcW w:w="391" w:type="pct"/>
            <w:shd w:val="clear" w:color="auto" w:fill="FFFFFF" w:themeFill="background1"/>
          </w:tcPr>
          <w:p w14:paraId="0867B0E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0CFB62D8"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(WCC-R)</w:t>
            </w:r>
          </w:p>
        </w:tc>
        <w:tc>
          <w:tcPr>
            <w:tcW w:w="3221" w:type="pct"/>
            <w:shd w:val="clear" w:color="auto" w:fill="FFFFFF" w:themeFill="background1"/>
          </w:tcPr>
          <w:p w14:paraId="230BBDC8"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Experiencing (parenting) strain was positively associated with using adequate coping for both men and women (subscales of problem-focused coping, r = 0.50 and 0.22, and</w:t>
            </w:r>
            <w:r w:rsidRPr="0039222E">
              <w:rPr>
                <w:sz w:val="14"/>
                <w:lang w:val="en-US"/>
              </w:rPr>
              <w:t xml:space="preserve"> seeking support</w:t>
            </w:r>
            <w:r>
              <w:rPr>
                <w:sz w:val="14"/>
                <w:lang w:val="en-US"/>
              </w:rPr>
              <w:t>, r = 0.46 and r = 0.21) as well as using inadequate coping (subscale of emotional-focused coping, r = 0.48, and 0.60). The associations with adequate coping were stronger for men, while the association with inadequate coping was stronger for women.</w:t>
            </w:r>
          </w:p>
        </w:tc>
        <w:tc>
          <w:tcPr>
            <w:tcW w:w="512" w:type="pct"/>
            <w:shd w:val="clear" w:color="auto" w:fill="FFFFFF" w:themeFill="background1"/>
          </w:tcPr>
          <w:p w14:paraId="147C55CF"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Stratified by gender</w:t>
            </w:r>
          </w:p>
        </w:tc>
      </w:tr>
      <w:tr w:rsidR="007B2641" w:rsidRPr="00C011BB" w14:paraId="3C655186"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5253796" w14:textId="77777777" w:rsidR="007B2641" w:rsidRPr="00B0015C" w:rsidRDefault="007B2641" w:rsidP="007A78C6">
            <w:pPr>
              <w:rPr>
                <w:sz w:val="14"/>
                <w:lang w:val="en-US"/>
              </w:rPr>
            </w:pPr>
            <w:r w:rsidRPr="00B0015C">
              <w:rPr>
                <w:sz w:val="14"/>
                <w:lang w:val="en-US"/>
              </w:rPr>
              <w:t xml:space="preserve">Matud </w:t>
            </w:r>
          </w:p>
          <w:p w14:paraId="3FD24717" w14:textId="77777777" w:rsidR="007B2641" w:rsidRPr="00B0015C" w:rsidRDefault="007B2641" w:rsidP="007A78C6">
            <w:pPr>
              <w:rPr>
                <w:sz w:val="14"/>
                <w:lang w:val="en-US"/>
              </w:rPr>
            </w:pPr>
            <w:r w:rsidRPr="00B0015C">
              <w:rPr>
                <w:sz w:val="14"/>
                <w:lang w:val="en-US"/>
              </w:rPr>
              <w:t>(2004)</w:t>
            </w:r>
          </w:p>
        </w:tc>
        <w:tc>
          <w:tcPr>
            <w:tcW w:w="463" w:type="pct"/>
            <w:shd w:val="clear" w:color="auto" w:fill="F2F2F2" w:themeFill="background1" w:themeFillShade="F2"/>
          </w:tcPr>
          <w:p w14:paraId="00FE1B3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Daily stress/strain</w:t>
            </w:r>
          </w:p>
        </w:tc>
        <w:tc>
          <w:tcPr>
            <w:tcW w:w="391" w:type="pct"/>
            <w:shd w:val="clear" w:color="auto" w:fill="F2F2F2" w:themeFill="background1" w:themeFillShade="F2"/>
          </w:tcPr>
          <w:p w14:paraId="2F67E3D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3F9D033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(CSQ)</w:t>
            </w:r>
          </w:p>
        </w:tc>
        <w:tc>
          <w:tcPr>
            <w:tcW w:w="3221" w:type="pct"/>
            <w:shd w:val="clear" w:color="auto" w:fill="F2F2F2" w:themeFill="background1" w:themeFillShade="F2"/>
          </w:tcPr>
          <w:p w14:paraId="0591B608"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Experiencing minor daily stress was positively associated with inadequate coping for women (subscale of emotional coping, r = 0.10).</w:t>
            </w:r>
          </w:p>
        </w:tc>
        <w:tc>
          <w:tcPr>
            <w:tcW w:w="512" w:type="pct"/>
            <w:shd w:val="clear" w:color="auto" w:fill="F2F2F2" w:themeFill="background1" w:themeFillShade="F2"/>
          </w:tcPr>
          <w:p w14:paraId="4201068E"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Stratified by gender</w:t>
            </w:r>
          </w:p>
        </w:tc>
      </w:tr>
      <w:tr w:rsidR="007B2641" w:rsidRPr="00E668D7" w14:paraId="5669511A"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15F556A7" w14:textId="77777777" w:rsidR="007B2641" w:rsidRPr="00B0015C" w:rsidRDefault="007B2641" w:rsidP="007A78C6">
            <w:pPr>
              <w:rPr>
                <w:sz w:val="14"/>
                <w:lang w:val="en-US"/>
              </w:rPr>
            </w:pPr>
            <w:r w:rsidRPr="00B0015C">
              <w:rPr>
                <w:sz w:val="14"/>
                <w:lang w:val="en-US"/>
              </w:rPr>
              <w:t>Vingerhoets</w:t>
            </w:r>
          </w:p>
          <w:p w14:paraId="0009F766" w14:textId="77777777" w:rsidR="007B2641" w:rsidRPr="00B0015C" w:rsidRDefault="007B2641" w:rsidP="007A78C6">
            <w:pPr>
              <w:rPr>
                <w:sz w:val="14"/>
                <w:lang w:val="en-US"/>
              </w:rPr>
            </w:pPr>
            <w:r w:rsidRPr="00B0015C">
              <w:rPr>
                <w:sz w:val="14"/>
                <w:lang w:val="en-US"/>
              </w:rPr>
              <w:t>(1990)</w:t>
            </w:r>
          </w:p>
        </w:tc>
        <w:tc>
          <w:tcPr>
            <w:tcW w:w="463" w:type="pct"/>
            <w:shd w:val="clear" w:color="auto" w:fill="FFFFFF" w:themeFill="background1"/>
          </w:tcPr>
          <w:p w14:paraId="1964B66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Characteristics of stressor</w:t>
            </w:r>
          </w:p>
        </w:tc>
        <w:tc>
          <w:tcPr>
            <w:tcW w:w="391" w:type="pct"/>
            <w:shd w:val="clear" w:color="auto" w:fill="FFFFFF" w:themeFill="background1"/>
          </w:tcPr>
          <w:p w14:paraId="47B6900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Coping </w:t>
            </w:r>
          </w:p>
          <w:p w14:paraId="41BFE7F3"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(WCC-R)</w:t>
            </w:r>
          </w:p>
        </w:tc>
        <w:tc>
          <w:tcPr>
            <w:tcW w:w="3221" w:type="pct"/>
            <w:shd w:val="clear" w:color="auto" w:fill="FFFFFF" w:themeFill="background1"/>
          </w:tcPr>
          <w:p w14:paraId="7A323EA0"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The severity of daily stressors was positively associated with adequate coping for men and women (subscale of positive thinking/growth/humor, </w:t>
            </w:r>
            <w:r>
              <w:rPr>
                <w:rFonts w:cstheme="minorHAnsi"/>
                <w:sz w:val="14"/>
                <w:lang w:val="en-US"/>
              </w:rPr>
              <w:t>β</w:t>
            </w:r>
            <w:r>
              <w:rPr>
                <w:sz w:val="14"/>
                <w:lang w:val="en-US"/>
              </w:rPr>
              <w:t xml:space="preserve"> = 0.13 and 0.12) and negatively related with inadequate coping (subscale of distancing, </w:t>
            </w:r>
            <w:r>
              <w:rPr>
                <w:rFonts w:cstheme="minorHAnsi"/>
                <w:sz w:val="14"/>
                <w:lang w:val="en-US"/>
              </w:rPr>
              <w:t>β</w:t>
            </w:r>
            <w:r>
              <w:rPr>
                <w:sz w:val="14"/>
                <w:lang w:val="en-US"/>
              </w:rPr>
              <w:t xml:space="preserve"> = -0.18 and -0.17). For men, severity of daily stressors was also positively associated with another subscale of adequate coping (planning and rational action, </w:t>
            </w:r>
            <w:r>
              <w:rPr>
                <w:rFonts w:cstheme="minorHAnsi"/>
                <w:sz w:val="14"/>
                <w:lang w:val="en-US"/>
              </w:rPr>
              <w:t>β</w:t>
            </w:r>
            <w:r>
              <w:rPr>
                <w:sz w:val="14"/>
                <w:lang w:val="en-US"/>
              </w:rPr>
              <w:t xml:space="preserve"> = 0.14). For women, severity of daily stressors was also positively associated with another subscale of inadequate coping (day dreaming and fantasizing, </w:t>
            </w:r>
            <w:r>
              <w:rPr>
                <w:rFonts w:cstheme="minorHAnsi"/>
                <w:sz w:val="14"/>
                <w:lang w:val="en-US"/>
              </w:rPr>
              <w:t>β</w:t>
            </w:r>
            <w:r>
              <w:rPr>
                <w:sz w:val="14"/>
                <w:lang w:val="en-US"/>
              </w:rPr>
              <w:t xml:space="preserve"> = 0.12). The unpleasantness of daily stressors was negatively associated with inadequate coping for men and women (subscale of distancing, </w:t>
            </w:r>
            <w:r>
              <w:rPr>
                <w:rFonts w:cstheme="minorHAnsi"/>
                <w:sz w:val="14"/>
                <w:lang w:val="en-US"/>
              </w:rPr>
              <w:t>β</w:t>
            </w:r>
            <w:r>
              <w:rPr>
                <w:sz w:val="14"/>
                <w:lang w:val="en-US"/>
              </w:rPr>
              <w:t xml:space="preserve"> = -0.13 and -0.13), as well as positively associated with adequate coping for women (subscale of positive thinking/growth/humor, </w:t>
            </w:r>
            <w:r>
              <w:rPr>
                <w:rFonts w:cstheme="minorHAnsi"/>
                <w:sz w:val="14"/>
                <w:lang w:val="en-US"/>
              </w:rPr>
              <w:t>β</w:t>
            </w:r>
            <w:r>
              <w:rPr>
                <w:sz w:val="14"/>
                <w:lang w:val="en-US"/>
              </w:rPr>
              <w:t xml:space="preserve"> = 0.14).</w:t>
            </w:r>
          </w:p>
        </w:tc>
        <w:tc>
          <w:tcPr>
            <w:tcW w:w="512" w:type="pct"/>
            <w:shd w:val="clear" w:color="auto" w:fill="FFFFFF" w:themeFill="background1"/>
          </w:tcPr>
          <w:p w14:paraId="749968C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Depression and anxiety symptoms Stratified by gender</w:t>
            </w:r>
          </w:p>
          <w:p w14:paraId="3C5650D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p>
        </w:tc>
      </w:tr>
      <w:tr w:rsidR="007B2641" w:rsidRPr="001B5622" w14:paraId="56C7DE5F"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21594756" w14:textId="77777777" w:rsidR="007B2641" w:rsidRPr="00B0015C" w:rsidRDefault="007B2641" w:rsidP="007A78C6">
            <w:pPr>
              <w:rPr>
                <w:sz w:val="14"/>
                <w:lang w:val="en-US"/>
              </w:rPr>
            </w:pPr>
            <w:r w:rsidRPr="00B0015C">
              <w:rPr>
                <w:sz w:val="14"/>
                <w:lang w:val="en-US"/>
              </w:rPr>
              <w:t>De Ridder</w:t>
            </w:r>
          </w:p>
          <w:p w14:paraId="79126F80" w14:textId="77777777" w:rsidR="007B2641" w:rsidRPr="00B0015C" w:rsidRDefault="007B2641" w:rsidP="007A78C6">
            <w:pPr>
              <w:rPr>
                <w:sz w:val="14"/>
                <w:lang w:val="en-US"/>
              </w:rPr>
            </w:pPr>
            <w:r w:rsidRPr="00B0015C">
              <w:rPr>
                <w:sz w:val="14"/>
                <w:lang w:val="en-US"/>
              </w:rPr>
              <w:t>(1995)</w:t>
            </w:r>
          </w:p>
        </w:tc>
        <w:tc>
          <w:tcPr>
            <w:tcW w:w="463" w:type="pct"/>
            <w:shd w:val="clear" w:color="auto" w:fill="F2F2F2" w:themeFill="background1" w:themeFillShade="F2"/>
          </w:tcPr>
          <w:p w14:paraId="534C89B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Characteristics of stressor</w:t>
            </w:r>
          </w:p>
        </w:tc>
        <w:tc>
          <w:tcPr>
            <w:tcW w:w="391" w:type="pct"/>
            <w:shd w:val="clear" w:color="auto" w:fill="F2F2F2" w:themeFill="background1" w:themeFillShade="F2"/>
          </w:tcPr>
          <w:p w14:paraId="3A4C3A6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1968493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(WCC)</w:t>
            </w:r>
          </w:p>
        </w:tc>
        <w:tc>
          <w:tcPr>
            <w:tcW w:w="3221" w:type="pct"/>
            <w:shd w:val="clear" w:color="auto" w:fill="F2F2F2" w:themeFill="background1" w:themeFillShade="F2"/>
          </w:tcPr>
          <w:p w14:paraId="50CEBD98"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The appraised stressfulness of a situation to cope with was positively associated with adequate coping (subscales of positive reappraisal, r = 0.21, seeking social support, r = 0.27, planful problem solving, r = 0.37, and accepting responsibilities, r = 0.36). The appraised manageability of a situation to cope with was also positively associated with adequate coping (subscales of positive reappraisal, r = 0.19), seeking social support, r = 0.24, and accepting responsibility, r = 0.34). </w:t>
            </w:r>
          </w:p>
        </w:tc>
        <w:tc>
          <w:tcPr>
            <w:tcW w:w="512" w:type="pct"/>
            <w:shd w:val="clear" w:color="auto" w:fill="F2F2F2" w:themeFill="background1" w:themeFillShade="F2"/>
          </w:tcPr>
          <w:p w14:paraId="264C438A"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F94663" w14:paraId="0E8CC897"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CAAC92A" w14:textId="77777777" w:rsidR="007B2641" w:rsidRDefault="007B2641" w:rsidP="007A78C6">
            <w:pPr>
              <w:rPr>
                <w:b w:val="0"/>
                <w:bCs w:val="0"/>
                <w:sz w:val="14"/>
                <w:lang w:val="en-US"/>
              </w:rPr>
            </w:pPr>
            <w:r>
              <w:rPr>
                <w:sz w:val="14"/>
                <w:lang w:val="en-US"/>
              </w:rPr>
              <w:t>Irion</w:t>
            </w:r>
          </w:p>
          <w:p w14:paraId="4EF42440" w14:textId="77777777" w:rsidR="007B2641" w:rsidRPr="00B0015C" w:rsidRDefault="007B2641" w:rsidP="007A78C6">
            <w:pPr>
              <w:rPr>
                <w:sz w:val="14"/>
                <w:lang w:val="en-US"/>
              </w:rPr>
            </w:pPr>
            <w:r>
              <w:rPr>
                <w:sz w:val="14"/>
                <w:lang w:val="en-US"/>
              </w:rPr>
              <w:t>(1987)</w:t>
            </w:r>
          </w:p>
        </w:tc>
        <w:tc>
          <w:tcPr>
            <w:tcW w:w="463" w:type="pct"/>
            <w:shd w:val="clear" w:color="auto" w:fill="FFFFFF" w:themeFill="background1"/>
          </w:tcPr>
          <w:p w14:paraId="071F9CD8"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Domain of stressor</w:t>
            </w:r>
          </w:p>
        </w:tc>
        <w:tc>
          <w:tcPr>
            <w:tcW w:w="391" w:type="pct"/>
            <w:shd w:val="clear" w:color="auto" w:fill="FFFFFF" w:themeFill="background1"/>
          </w:tcPr>
          <w:p w14:paraId="62D0CC0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7F30264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w:t>
            </w:r>
          </w:p>
        </w:tc>
        <w:tc>
          <w:tcPr>
            <w:tcW w:w="3221" w:type="pct"/>
            <w:shd w:val="clear" w:color="auto" w:fill="FFFFFF" w:themeFill="background1"/>
          </w:tcPr>
          <w:p w14:paraId="75391D53" w14:textId="2E9012A4" w:rsidR="007B2641" w:rsidRPr="00F0730E"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When faced with threatening situations compared to challenging situations, young adults used more inadequate as well as adequate coping strategies (inadequate: subscales of escape-avoidance, mean score of 0.97 versus 0.88, hostile reaction, mean score of 0.71 versus 0.65, distancing, mean score of 1.09 versus 0.95, self-blame, mean score of 1.65 versus 1.39, and altruism, mean score of 1.40 versus 1.39. Adequate: subscales of confrontive coping, mean score of 1.11 versus 0.83, planful-problem solving, mean score of 1.76 versus 1.73, seeking social support, mean score of 1.54 versus 1.44, and self-controlling, mean score of 1.22 versus 1.21, range of 0-3), with the exception of one adequate </w:t>
            </w:r>
            <w:r w:rsidR="00E668D7">
              <w:rPr>
                <w:sz w:val="14"/>
                <w:lang w:val="en-US"/>
              </w:rPr>
              <w:t>subscale</w:t>
            </w:r>
            <w:r>
              <w:rPr>
                <w:sz w:val="14"/>
                <w:lang w:val="en-US"/>
              </w:rPr>
              <w:t xml:space="preserve"> of coping (positive reappraisal, mean score of 1.38 versus 1.52, range of 0-3).</w:t>
            </w:r>
          </w:p>
        </w:tc>
        <w:tc>
          <w:tcPr>
            <w:tcW w:w="512" w:type="pct"/>
            <w:shd w:val="clear" w:color="auto" w:fill="FFFFFF" w:themeFill="background1"/>
          </w:tcPr>
          <w:p w14:paraId="2B26E78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F94663" w14:paraId="2464CAA2"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49F7F237" w14:textId="77777777" w:rsidR="007B2641" w:rsidRPr="00B0015C" w:rsidRDefault="007B2641" w:rsidP="007A78C6">
            <w:pPr>
              <w:rPr>
                <w:sz w:val="14"/>
                <w:lang w:val="en-US"/>
              </w:rPr>
            </w:pPr>
            <w:r w:rsidRPr="00B0015C">
              <w:rPr>
                <w:sz w:val="14"/>
                <w:lang w:val="en-US"/>
              </w:rPr>
              <w:t>Harnash</w:t>
            </w:r>
          </w:p>
          <w:p w14:paraId="48140C02" w14:textId="77777777" w:rsidR="007B2641" w:rsidRPr="00B0015C" w:rsidRDefault="007B2641" w:rsidP="007A78C6">
            <w:pPr>
              <w:rPr>
                <w:sz w:val="14"/>
                <w:lang w:val="en-US"/>
              </w:rPr>
            </w:pPr>
            <w:r w:rsidRPr="00B0015C">
              <w:rPr>
                <w:sz w:val="14"/>
                <w:lang w:val="en-US"/>
              </w:rPr>
              <w:t>(2000)</w:t>
            </w:r>
          </w:p>
        </w:tc>
        <w:tc>
          <w:tcPr>
            <w:tcW w:w="463" w:type="pct"/>
            <w:shd w:val="clear" w:color="auto" w:fill="F2F2F2" w:themeFill="background1" w:themeFillShade="F2"/>
          </w:tcPr>
          <w:p w14:paraId="441D955F"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Domain of stressor</w:t>
            </w:r>
          </w:p>
        </w:tc>
        <w:tc>
          <w:tcPr>
            <w:tcW w:w="391" w:type="pct"/>
            <w:shd w:val="clear" w:color="auto" w:fill="F2F2F2" w:themeFill="background1" w:themeFillShade="F2"/>
          </w:tcPr>
          <w:p w14:paraId="3DF845E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789DF046"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(no scale)</w:t>
            </w:r>
          </w:p>
        </w:tc>
        <w:tc>
          <w:tcPr>
            <w:tcW w:w="3221" w:type="pct"/>
            <w:shd w:val="clear" w:color="auto" w:fill="F2F2F2" w:themeFill="background1" w:themeFillShade="F2"/>
          </w:tcPr>
          <w:p w14:paraId="5E17B35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F0730E">
              <w:rPr>
                <w:sz w:val="14"/>
                <w:lang w:val="en-US"/>
              </w:rPr>
              <w:t>Using inadequate copin</w:t>
            </w:r>
            <w:r>
              <w:rPr>
                <w:sz w:val="14"/>
                <w:lang w:val="en-US"/>
              </w:rPr>
              <w:t xml:space="preserve">g </w:t>
            </w:r>
            <w:r w:rsidRPr="00F0730E">
              <w:rPr>
                <w:sz w:val="14"/>
                <w:lang w:val="en-US"/>
              </w:rPr>
              <w:t>was higher when being faced with interpersonal stressors compared to transition related stressors (</w:t>
            </w:r>
            <w:r>
              <w:rPr>
                <w:sz w:val="14"/>
                <w:lang w:val="en-US"/>
              </w:rPr>
              <w:t xml:space="preserve">subscale of avoidance coping, </w:t>
            </w:r>
            <w:r w:rsidRPr="00F0730E">
              <w:rPr>
                <w:sz w:val="14"/>
                <w:lang w:val="en-US"/>
              </w:rPr>
              <w:t>mean score of 11.80 versus 11.08, range of 4-16). Using adequate coping was higher when faced with transition related stressors compared with interpersonal and illness related stressors (</w:t>
            </w:r>
            <w:r>
              <w:rPr>
                <w:sz w:val="14"/>
                <w:lang w:val="en-US"/>
              </w:rPr>
              <w:t xml:space="preserve">subscale of reappraisal coping, </w:t>
            </w:r>
            <w:r w:rsidRPr="00F0730E">
              <w:rPr>
                <w:sz w:val="14"/>
                <w:lang w:val="en-US"/>
              </w:rPr>
              <w:t>mean scores of 12.48 versus 10.92 and 10.85, range of 4-16) and when facing role strain stressors compared to interpersonal and illness related stressors (</w:t>
            </w:r>
            <w:r>
              <w:rPr>
                <w:sz w:val="14"/>
                <w:lang w:val="en-US"/>
              </w:rPr>
              <w:t xml:space="preserve">subscale of reappraisal coping, </w:t>
            </w:r>
            <w:r w:rsidRPr="00F0730E">
              <w:rPr>
                <w:sz w:val="14"/>
                <w:lang w:val="en-US"/>
              </w:rPr>
              <w:t>mean scores of 12.00 versus 10.92 and 10.85, range 4-16). Using adequate coping was lower when facing interpersonal stressors when compared to transition and role strain related stressors (</w:t>
            </w:r>
            <w:r>
              <w:rPr>
                <w:sz w:val="14"/>
                <w:lang w:val="en-US"/>
              </w:rPr>
              <w:t xml:space="preserve">subscale of active behavioral coping, </w:t>
            </w:r>
            <w:r w:rsidRPr="00F0730E">
              <w:rPr>
                <w:sz w:val="14"/>
                <w:lang w:val="en-US"/>
              </w:rPr>
              <w:t>mean scores of 11.27 versus 11.99 and 11.89, range of 4-16). Using adequate coping was higher when facing transition related stressors compared to interpersonal, role strain and illness related stressors (</w:t>
            </w:r>
            <w:r>
              <w:rPr>
                <w:sz w:val="14"/>
                <w:lang w:val="en-US"/>
              </w:rPr>
              <w:t xml:space="preserve">subscale of seeking support coping, </w:t>
            </w:r>
            <w:r w:rsidRPr="00F0730E">
              <w:rPr>
                <w:sz w:val="14"/>
                <w:lang w:val="en-US"/>
              </w:rPr>
              <w:t>mean scores of 13.09 versus 11.91, 11.89 and 11.54, range of 4-16). Using adequate coping was highest when facing illness related stressors compared to interpersonal, transition and role strain stressors (</w:t>
            </w:r>
            <w:r>
              <w:rPr>
                <w:sz w:val="14"/>
                <w:lang w:val="en-US"/>
              </w:rPr>
              <w:t xml:space="preserve">subscale of religion coping, </w:t>
            </w:r>
            <w:r w:rsidRPr="00F0730E">
              <w:rPr>
                <w:sz w:val="14"/>
                <w:lang w:val="en-US"/>
              </w:rPr>
              <w:t>mean scores of 10.28 versus 7.49, 7.91, and 7.28, range of 4-16).</w:t>
            </w:r>
          </w:p>
        </w:tc>
        <w:tc>
          <w:tcPr>
            <w:tcW w:w="512" w:type="pct"/>
            <w:shd w:val="clear" w:color="auto" w:fill="F2F2F2" w:themeFill="background1" w:themeFillShade="F2"/>
          </w:tcPr>
          <w:p w14:paraId="4E4767C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C011BB" w14:paraId="1B74813A"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9BE6911" w14:textId="77777777" w:rsidR="007B2641" w:rsidRPr="00B0015C" w:rsidRDefault="007B2641" w:rsidP="007A78C6">
            <w:pPr>
              <w:rPr>
                <w:sz w:val="14"/>
                <w:lang w:val="en-US"/>
              </w:rPr>
            </w:pPr>
            <w:r w:rsidRPr="00B0015C">
              <w:rPr>
                <w:sz w:val="14"/>
                <w:lang w:val="en-US"/>
              </w:rPr>
              <w:t>Simeon</w:t>
            </w:r>
          </w:p>
          <w:p w14:paraId="28D17E34" w14:textId="77777777" w:rsidR="007B2641" w:rsidRPr="00B0015C" w:rsidRDefault="007B2641" w:rsidP="007A78C6">
            <w:pPr>
              <w:rPr>
                <w:sz w:val="14"/>
                <w:lang w:val="en-US"/>
              </w:rPr>
            </w:pPr>
            <w:r w:rsidRPr="00B0015C">
              <w:rPr>
                <w:sz w:val="14"/>
                <w:lang w:val="en-US"/>
              </w:rPr>
              <w:t>(2007)</w:t>
            </w:r>
          </w:p>
        </w:tc>
        <w:tc>
          <w:tcPr>
            <w:tcW w:w="463" w:type="pct"/>
            <w:shd w:val="clear" w:color="auto" w:fill="FFFFFF" w:themeFill="background1"/>
          </w:tcPr>
          <w:p w14:paraId="07E3603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Childhood trauma</w:t>
            </w:r>
          </w:p>
        </w:tc>
        <w:tc>
          <w:tcPr>
            <w:tcW w:w="391" w:type="pct"/>
            <w:shd w:val="clear" w:color="auto" w:fill="FFFFFF" w:themeFill="background1"/>
          </w:tcPr>
          <w:p w14:paraId="38EFEBB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Resilience</w:t>
            </w:r>
          </w:p>
          <w:p w14:paraId="6732800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(DSQ)</w:t>
            </w:r>
          </w:p>
        </w:tc>
        <w:tc>
          <w:tcPr>
            <w:tcW w:w="3221" w:type="pct"/>
            <w:shd w:val="clear" w:color="auto" w:fill="FFFFFF" w:themeFill="background1"/>
          </w:tcPr>
          <w:p w14:paraId="17658CDE"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The overall, composite measure of childhood trauma was negatively associated with resilience (r = -0.43). Two subscales of childhood trauma were negatively associated with resilience; emotional neglect (r = -0.39) and physical abuse (r = -0.37).</w:t>
            </w:r>
          </w:p>
        </w:tc>
        <w:tc>
          <w:tcPr>
            <w:tcW w:w="512" w:type="pct"/>
            <w:shd w:val="clear" w:color="auto" w:fill="FFFFFF" w:themeFill="background1"/>
          </w:tcPr>
          <w:p w14:paraId="2DD9E6B5"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Age, gender</w:t>
            </w:r>
          </w:p>
        </w:tc>
      </w:tr>
      <w:tr w:rsidR="007B2641" w:rsidRPr="00C011BB" w14:paraId="005CD593"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5F8E4EE2" w14:textId="77777777" w:rsidR="007B2641" w:rsidRPr="00B0015C" w:rsidRDefault="007B2641" w:rsidP="007A78C6">
            <w:pPr>
              <w:rPr>
                <w:sz w:val="14"/>
                <w:lang w:val="en-US"/>
              </w:rPr>
            </w:pPr>
            <w:r w:rsidRPr="00B0015C">
              <w:rPr>
                <w:sz w:val="14"/>
                <w:lang w:val="en-US"/>
              </w:rPr>
              <w:t>Amirkhan</w:t>
            </w:r>
          </w:p>
          <w:p w14:paraId="71751282" w14:textId="77777777" w:rsidR="007B2641" w:rsidRPr="00B0015C" w:rsidRDefault="007B2641" w:rsidP="007A78C6">
            <w:pPr>
              <w:rPr>
                <w:sz w:val="14"/>
                <w:lang w:val="en-US"/>
              </w:rPr>
            </w:pPr>
            <w:r w:rsidRPr="00B0015C">
              <w:rPr>
                <w:sz w:val="14"/>
                <w:lang w:val="en-US"/>
              </w:rPr>
              <w:t>(2017)</w:t>
            </w:r>
          </w:p>
        </w:tc>
        <w:tc>
          <w:tcPr>
            <w:tcW w:w="463" w:type="pct"/>
            <w:shd w:val="clear" w:color="auto" w:fill="F2F2F2" w:themeFill="background1" w:themeFillShade="F2"/>
          </w:tcPr>
          <w:p w14:paraId="33540056"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Childhood trauma</w:t>
            </w:r>
          </w:p>
        </w:tc>
        <w:tc>
          <w:tcPr>
            <w:tcW w:w="391" w:type="pct"/>
            <w:shd w:val="clear" w:color="auto" w:fill="F2F2F2" w:themeFill="background1" w:themeFillShade="F2"/>
          </w:tcPr>
          <w:p w14:paraId="389DA78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132FC58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(CSI)</w:t>
            </w:r>
          </w:p>
        </w:tc>
        <w:tc>
          <w:tcPr>
            <w:tcW w:w="3221" w:type="pct"/>
            <w:shd w:val="clear" w:color="auto" w:fill="F2F2F2" w:themeFill="background1" w:themeFillShade="F2"/>
          </w:tcPr>
          <w:p w14:paraId="2ABA62DA"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Childhood trauma was positively associated with inadequate coping (subscale of avoidance coping, r = 0.30). The significant effect remained while controlling for confounding factors.</w:t>
            </w:r>
          </w:p>
        </w:tc>
        <w:tc>
          <w:tcPr>
            <w:tcW w:w="512" w:type="pct"/>
            <w:shd w:val="clear" w:color="auto" w:fill="F2F2F2" w:themeFill="background1" w:themeFillShade="F2"/>
          </w:tcPr>
          <w:p w14:paraId="4B6F1A9D"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Education, income</w:t>
            </w:r>
          </w:p>
        </w:tc>
      </w:tr>
      <w:tr w:rsidR="007B2641" w:rsidRPr="00C011BB" w14:paraId="7CC08C2E"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047A2865" w14:textId="77777777" w:rsidR="007B2641" w:rsidRPr="00B0015C" w:rsidRDefault="007B2641" w:rsidP="007A78C6">
            <w:pPr>
              <w:rPr>
                <w:sz w:val="14"/>
                <w:lang w:val="en-US"/>
              </w:rPr>
            </w:pPr>
            <w:r w:rsidRPr="00B0015C">
              <w:rPr>
                <w:sz w:val="14"/>
                <w:lang w:val="en-US"/>
              </w:rPr>
              <w:lastRenderedPageBreak/>
              <w:t>Amirkhan</w:t>
            </w:r>
          </w:p>
          <w:p w14:paraId="5D6C62D0" w14:textId="77777777" w:rsidR="007B2641" w:rsidRPr="00B0015C" w:rsidRDefault="007B2641" w:rsidP="007A78C6">
            <w:pPr>
              <w:rPr>
                <w:sz w:val="14"/>
                <w:lang w:val="en-US"/>
              </w:rPr>
            </w:pPr>
            <w:r w:rsidRPr="00B0015C">
              <w:rPr>
                <w:sz w:val="14"/>
                <w:lang w:val="en-US"/>
              </w:rPr>
              <w:t>(2017)</w:t>
            </w:r>
          </w:p>
        </w:tc>
        <w:tc>
          <w:tcPr>
            <w:tcW w:w="463" w:type="pct"/>
            <w:shd w:val="clear" w:color="auto" w:fill="FFFFFF" w:themeFill="background1"/>
          </w:tcPr>
          <w:p w14:paraId="2217AFA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Lifetime trauma</w:t>
            </w:r>
          </w:p>
        </w:tc>
        <w:tc>
          <w:tcPr>
            <w:tcW w:w="391" w:type="pct"/>
            <w:shd w:val="clear" w:color="auto" w:fill="FFFFFF" w:themeFill="background1"/>
          </w:tcPr>
          <w:p w14:paraId="01BA3E1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60EC901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(CSI)</w:t>
            </w:r>
          </w:p>
        </w:tc>
        <w:tc>
          <w:tcPr>
            <w:tcW w:w="3221" w:type="pct"/>
            <w:shd w:val="clear" w:color="auto" w:fill="FFFFFF" w:themeFill="background1"/>
          </w:tcPr>
          <w:p w14:paraId="6E614BE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Lifetime trauma was positively associated with inadequate coping (subscale of avoidance coping, r = 0.30). In a hierarchical regression with the variables education, income and childhood trauma, lifetime trauma added no further explanatory power in predicting the use of the avoidance coping.</w:t>
            </w:r>
          </w:p>
        </w:tc>
        <w:tc>
          <w:tcPr>
            <w:tcW w:w="512" w:type="pct"/>
            <w:shd w:val="clear" w:color="auto" w:fill="FFFFFF" w:themeFill="background1"/>
          </w:tcPr>
          <w:p w14:paraId="25A9C392"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Education, income, childhood trauma</w:t>
            </w:r>
          </w:p>
        </w:tc>
      </w:tr>
      <w:tr w:rsidR="007B2641" w:rsidRPr="00C011BB" w14:paraId="088DC042"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01CEC03E" w14:textId="77777777" w:rsidR="007B2641" w:rsidRPr="00B0015C" w:rsidRDefault="007B2641" w:rsidP="007A78C6">
            <w:pPr>
              <w:rPr>
                <w:sz w:val="14"/>
                <w:lang w:val="en-US"/>
              </w:rPr>
            </w:pPr>
            <w:r w:rsidRPr="00B0015C">
              <w:rPr>
                <w:sz w:val="14"/>
                <w:lang w:val="en-US"/>
              </w:rPr>
              <w:t>Holahan</w:t>
            </w:r>
          </w:p>
          <w:p w14:paraId="73B1C3FE" w14:textId="77777777" w:rsidR="007B2641" w:rsidRPr="00B0015C" w:rsidRDefault="007B2641" w:rsidP="007A78C6">
            <w:pPr>
              <w:rPr>
                <w:sz w:val="14"/>
                <w:lang w:val="en-US"/>
              </w:rPr>
            </w:pPr>
            <w:r w:rsidRPr="00B0015C">
              <w:rPr>
                <w:sz w:val="14"/>
                <w:lang w:val="en-US"/>
              </w:rPr>
              <w:t>(1987)</w:t>
            </w:r>
          </w:p>
        </w:tc>
        <w:tc>
          <w:tcPr>
            <w:tcW w:w="463" w:type="pct"/>
            <w:shd w:val="clear" w:color="auto" w:fill="F2F2F2" w:themeFill="background1" w:themeFillShade="F2"/>
          </w:tcPr>
          <w:p w14:paraId="05B8CD5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Negative life events</w:t>
            </w:r>
          </w:p>
        </w:tc>
        <w:tc>
          <w:tcPr>
            <w:tcW w:w="391" w:type="pct"/>
            <w:shd w:val="clear" w:color="auto" w:fill="F2F2F2" w:themeFill="background1" w:themeFillShade="F2"/>
          </w:tcPr>
          <w:p w14:paraId="1DA9E935"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1A6459F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(HDL)</w:t>
            </w:r>
          </w:p>
        </w:tc>
        <w:tc>
          <w:tcPr>
            <w:tcW w:w="3221" w:type="pct"/>
            <w:shd w:val="clear" w:color="auto" w:fill="F2F2F2" w:themeFill="background1" w:themeFillShade="F2"/>
          </w:tcPr>
          <w:p w14:paraId="16DD208B"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Experiencing negative life events was positively associated with adequate coping (subscales of active-cognitive, r = 0.12, and active-behavioral, r = 0.11) and inadequate coping (subscale of avoidance coping, r = 0.18) at time point 1. At time point 2, the effects remained (respectively r = 0.21, 0.20, and 0.25). When controlling for initial coping at time point 1, the effects remained significant at time point 2 (respectively r = 0.20, r= 0.17 and r = 0.24).</w:t>
            </w:r>
          </w:p>
        </w:tc>
        <w:tc>
          <w:tcPr>
            <w:tcW w:w="512" w:type="pct"/>
            <w:shd w:val="clear" w:color="auto" w:fill="F2F2F2" w:themeFill="background1" w:themeFillShade="F2"/>
          </w:tcPr>
          <w:p w14:paraId="3C3641F9"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Initial coping</w:t>
            </w:r>
          </w:p>
        </w:tc>
      </w:tr>
      <w:tr w:rsidR="007B2641" w:rsidRPr="00C011BB" w14:paraId="7AACDA39"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1154C70" w14:textId="77777777" w:rsidR="007B2641" w:rsidRPr="00B0015C" w:rsidRDefault="007B2641" w:rsidP="007A78C6">
            <w:pPr>
              <w:rPr>
                <w:sz w:val="14"/>
                <w:lang w:val="en-US"/>
              </w:rPr>
            </w:pPr>
            <w:r w:rsidRPr="00B0015C">
              <w:rPr>
                <w:sz w:val="14"/>
                <w:lang w:val="en-US"/>
              </w:rPr>
              <w:t>Matud</w:t>
            </w:r>
          </w:p>
          <w:p w14:paraId="692241D2" w14:textId="77777777" w:rsidR="007B2641" w:rsidRPr="00B0015C" w:rsidRDefault="007B2641" w:rsidP="007A78C6">
            <w:pPr>
              <w:rPr>
                <w:sz w:val="14"/>
                <w:lang w:val="en-US"/>
              </w:rPr>
            </w:pPr>
            <w:r w:rsidRPr="00B0015C">
              <w:rPr>
                <w:sz w:val="14"/>
                <w:lang w:val="en-US"/>
              </w:rPr>
              <w:t>(2004)</w:t>
            </w:r>
          </w:p>
        </w:tc>
        <w:tc>
          <w:tcPr>
            <w:tcW w:w="463" w:type="pct"/>
            <w:shd w:val="clear" w:color="auto" w:fill="FFFFFF" w:themeFill="background1"/>
          </w:tcPr>
          <w:p w14:paraId="62440D06"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Life events (number, uncontrollability, undesirability)</w:t>
            </w:r>
          </w:p>
        </w:tc>
        <w:tc>
          <w:tcPr>
            <w:tcW w:w="391" w:type="pct"/>
            <w:shd w:val="clear" w:color="auto" w:fill="FFFFFF" w:themeFill="background1"/>
          </w:tcPr>
          <w:p w14:paraId="67B4830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1314B529"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(CSQ)</w:t>
            </w:r>
          </w:p>
        </w:tc>
        <w:tc>
          <w:tcPr>
            <w:tcW w:w="3221" w:type="pct"/>
            <w:shd w:val="clear" w:color="auto" w:fill="FFFFFF" w:themeFill="background1"/>
          </w:tcPr>
          <w:p w14:paraId="1C76B02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The number of life events was positively associated with inadequate coping for women (subscale of emotional coping, r = 0.11). The uncontrollability of life events was negatively associated with adequate coping for women (subscale of rational coping, r = -0.11) and positively associated with inadequate coping for both women and men (subscale of emotional coping, r = 0.21 and 0.20). The undesirability of life events was negatively associated with adequate coping for women (subscale of rational coping, r = -0.10) and positively associated with inadequate coping for women and men (subscale of emotional coping, r = 0.22 and 0.17).</w:t>
            </w:r>
          </w:p>
        </w:tc>
        <w:tc>
          <w:tcPr>
            <w:tcW w:w="512" w:type="pct"/>
            <w:shd w:val="clear" w:color="auto" w:fill="FFFFFF" w:themeFill="background1"/>
          </w:tcPr>
          <w:p w14:paraId="10507BDF"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Stratified by gender</w:t>
            </w:r>
          </w:p>
        </w:tc>
      </w:tr>
      <w:tr w:rsidR="007B2641" w:rsidRPr="00552573" w14:paraId="233F11AC"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543CB018" w14:textId="77777777" w:rsidR="007B2641" w:rsidRPr="00B0015C" w:rsidRDefault="007B2641" w:rsidP="007A78C6">
            <w:pPr>
              <w:rPr>
                <w:sz w:val="14"/>
                <w:lang w:val="en-US"/>
              </w:rPr>
            </w:pPr>
            <w:r w:rsidRPr="00B0015C">
              <w:rPr>
                <w:sz w:val="14"/>
                <w:lang w:val="en-US"/>
              </w:rPr>
              <w:t>Vingerhoets</w:t>
            </w:r>
          </w:p>
          <w:p w14:paraId="373C7E6F" w14:textId="77777777" w:rsidR="007B2641" w:rsidRPr="00B0015C" w:rsidRDefault="007B2641" w:rsidP="007A78C6">
            <w:pPr>
              <w:rPr>
                <w:sz w:val="14"/>
                <w:lang w:val="en-US"/>
              </w:rPr>
            </w:pPr>
            <w:r w:rsidRPr="00B0015C">
              <w:rPr>
                <w:sz w:val="14"/>
                <w:lang w:val="en-US"/>
              </w:rPr>
              <w:t>(1990)</w:t>
            </w:r>
          </w:p>
        </w:tc>
        <w:tc>
          <w:tcPr>
            <w:tcW w:w="463" w:type="pct"/>
            <w:shd w:val="clear" w:color="auto" w:fill="F2F2F2" w:themeFill="background1" w:themeFillShade="F2"/>
          </w:tcPr>
          <w:p w14:paraId="26CB2984"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Depression and anxiety symptoms</w:t>
            </w:r>
          </w:p>
        </w:tc>
        <w:tc>
          <w:tcPr>
            <w:tcW w:w="391" w:type="pct"/>
            <w:shd w:val="clear" w:color="auto" w:fill="F2F2F2" w:themeFill="background1" w:themeFillShade="F2"/>
          </w:tcPr>
          <w:p w14:paraId="5B04617A"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Coping </w:t>
            </w:r>
          </w:p>
          <w:p w14:paraId="521C6BD2"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(WCC-R)</w:t>
            </w:r>
          </w:p>
        </w:tc>
        <w:tc>
          <w:tcPr>
            <w:tcW w:w="3221" w:type="pct"/>
            <w:shd w:val="clear" w:color="auto" w:fill="F2F2F2" w:themeFill="background1" w:themeFillShade="F2"/>
          </w:tcPr>
          <w:p w14:paraId="276143B6"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Higher scores on the symptoms checklist for psychosocial disturbances were positively associated with inadequate coping for both men and women (subscales of self-blame, </w:t>
            </w:r>
            <w:r>
              <w:rPr>
                <w:rFonts w:cstheme="minorHAnsi"/>
                <w:sz w:val="14"/>
                <w:lang w:val="en-US"/>
              </w:rPr>
              <w:t>β</w:t>
            </w:r>
            <w:r>
              <w:rPr>
                <w:sz w:val="14"/>
                <w:lang w:val="en-US"/>
              </w:rPr>
              <w:t xml:space="preserve"> = 0.33 and 0.33, daydreaming and fantasizing, </w:t>
            </w:r>
            <w:r>
              <w:rPr>
                <w:rFonts w:cstheme="minorHAnsi"/>
                <w:sz w:val="14"/>
                <w:lang w:val="en-US"/>
              </w:rPr>
              <w:t>β</w:t>
            </w:r>
            <w:r>
              <w:rPr>
                <w:sz w:val="14"/>
                <w:lang w:val="en-US"/>
              </w:rPr>
              <w:t xml:space="preserve"> = 0.22 and 0.18, and wishful thinking/emotionality, </w:t>
            </w:r>
            <w:r>
              <w:rPr>
                <w:rFonts w:cstheme="minorHAnsi"/>
                <w:sz w:val="14"/>
                <w:lang w:val="en-US"/>
              </w:rPr>
              <w:t>β</w:t>
            </w:r>
            <w:r>
              <w:rPr>
                <w:sz w:val="14"/>
                <w:lang w:val="en-US"/>
              </w:rPr>
              <w:t xml:space="preserve"> = 0.23 and 0.14) and negatively associated with adequate coping (subscale of positive thinking/growth/humor, </w:t>
            </w:r>
            <w:r>
              <w:rPr>
                <w:rFonts w:cstheme="minorHAnsi"/>
                <w:sz w:val="14"/>
                <w:lang w:val="en-US"/>
              </w:rPr>
              <w:t>β</w:t>
            </w:r>
            <w:r>
              <w:rPr>
                <w:sz w:val="14"/>
                <w:lang w:val="en-US"/>
              </w:rPr>
              <w:t xml:space="preserve"> = -0.21 and -0.16). For men, it was also negatively associated with adequate coping (subscale of planning and rational actions, </w:t>
            </w:r>
            <w:r>
              <w:rPr>
                <w:rFonts w:cstheme="minorHAnsi"/>
                <w:sz w:val="14"/>
                <w:lang w:val="en-US"/>
              </w:rPr>
              <w:t>β</w:t>
            </w:r>
            <w:r>
              <w:rPr>
                <w:sz w:val="14"/>
                <w:lang w:val="en-US"/>
              </w:rPr>
              <w:t xml:space="preserve"> = -0.18). </w:t>
            </w:r>
          </w:p>
        </w:tc>
        <w:tc>
          <w:tcPr>
            <w:tcW w:w="512" w:type="pct"/>
            <w:shd w:val="clear" w:color="auto" w:fill="F2F2F2" w:themeFill="background1" w:themeFillShade="F2"/>
          </w:tcPr>
          <w:p w14:paraId="596F7096"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Stratified by gender</w:t>
            </w:r>
          </w:p>
        </w:tc>
      </w:tr>
      <w:tr w:rsidR="007B2641" w:rsidRPr="00C011BB" w14:paraId="0178FDE6"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4595AB88" w14:textId="77777777" w:rsidR="007B2641" w:rsidRPr="00B0015C" w:rsidRDefault="007B2641" w:rsidP="007A78C6">
            <w:pPr>
              <w:rPr>
                <w:sz w:val="14"/>
                <w:lang w:val="en-US"/>
              </w:rPr>
            </w:pPr>
            <w:r w:rsidRPr="00B0015C">
              <w:rPr>
                <w:sz w:val="14"/>
                <w:lang w:val="en-US"/>
              </w:rPr>
              <w:t>Matud</w:t>
            </w:r>
          </w:p>
          <w:p w14:paraId="19E25527" w14:textId="77777777" w:rsidR="007B2641" w:rsidRPr="00B0015C" w:rsidRDefault="007B2641" w:rsidP="007A78C6">
            <w:pPr>
              <w:rPr>
                <w:sz w:val="14"/>
                <w:lang w:val="en-US"/>
              </w:rPr>
            </w:pPr>
            <w:r w:rsidRPr="00B0015C">
              <w:rPr>
                <w:sz w:val="14"/>
                <w:lang w:val="en-US"/>
              </w:rPr>
              <w:t>(2004)</w:t>
            </w:r>
          </w:p>
        </w:tc>
        <w:tc>
          <w:tcPr>
            <w:tcW w:w="463" w:type="pct"/>
            <w:shd w:val="clear" w:color="auto" w:fill="FFFFFF" w:themeFill="background1"/>
          </w:tcPr>
          <w:p w14:paraId="1AE97D5B" w14:textId="77777777" w:rsidR="007B2641" w:rsidRPr="00DF6F0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Depression and anxiety symptoms</w:t>
            </w:r>
          </w:p>
        </w:tc>
        <w:tc>
          <w:tcPr>
            <w:tcW w:w="391" w:type="pct"/>
            <w:shd w:val="clear" w:color="auto" w:fill="FFFFFF" w:themeFill="background1"/>
          </w:tcPr>
          <w:p w14:paraId="0A7ACAC7"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23C1E90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(CSQ)</w:t>
            </w:r>
          </w:p>
        </w:tc>
        <w:tc>
          <w:tcPr>
            <w:tcW w:w="3221" w:type="pct"/>
            <w:shd w:val="clear" w:color="auto" w:fill="FFFFFF" w:themeFill="background1"/>
          </w:tcPr>
          <w:p w14:paraId="6116200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Experiencing psychological distress was negatively associated with adequate coping for women and men (subscale of rational coping, r = -0.14 and -0.11) and positively associated with inadequate coping (subscale of emotional coping, r = 0.38 and 0.32).</w:t>
            </w:r>
          </w:p>
        </w:tc>
        <w:tc>
          <w:tcPr>
            <w:tcW w:w="512" w:type="pct"/>
            <w:shd w:val="clear" w:color="auto" w:fill="FFFFFF" w:themeFill="background1"/>
          </w:tcPr>
          <w:p w14:paraId="28D7FFB1"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Stratified by gender</w:t>
            </w:r>
          </w:p>
        </w:tc>
      </w:tr>
      <w:tr w:rsidR="007B2641" w:rsidRPr="00E668D7" w14:paraId="25E9FAAC"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2F2F2" w:themeFill="background1" w:themeFillShade="F2"/>
          </w:tcPr>
          <w:p w14:paraId="19B116CE" w14:textId="77777777" w:rsidR="007B2641" w:rsidRPr="00B0015C" w:rsidRDefault="007B2641" w:rsidP="007A78C6">
            <w:pPr>
              <w:rPr>
                <w:sz w:val="14"/>
                <w:lang w:val="en-US"/>
              </w:rPr>
            </w:pPr>
            <w:r w:rsidRPr="00B0015C">
              <w:rPr>
                <w:sz w:val="14"/>
                <w:lang w:val="en-US"/>
              </w:rPr>
              <w:t>Batsikoura</w:t>
            </w:r>
          </w:p>
          <w:p w14:paraId="39C4A3CB" w14:textId="77777777" w:rsidR="007B2641" w:rsidRPr="00B0015C" w:rsidRDefault="007B2641" w:rsidP="007A78C6">
            <w:pPr>
              <w:rPr>
                <w:sz w:val="14"/>
                <w:lang w:val="en-US"/>
              </w:rPr>
            </w:pPr>
            <w:r w:rsidRPr="00B0015C">
              <w:rPr>
                <w:sz w:val="14"/>
                <w:lang w:val="en-US"/>
              </w:rPr>
              <w:t>(2021)</w:t>
            </w:r>
          </w:p>
        </w:tc>
        <w:tc>
          <w:tcPr>
            <w:tcW w:w="463" w:type="pct"/>
            <w:shd w:val="clear" w:color="auto" w:fill="F2F2F2" w:themeFill="background1" w:themeFillShade="F2"/>
          </w:tcPr>
          <w:p w14:paraId="47CC889C"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Anxiety symptoms</w:t>
            </w:r>
          </w:p>
        </w:tc>
        <w:tc>
          <w:tcPr>
            <w:tcW w:w="391" w:type="pct"/>
            <w:shd w:val="clear" w:color="auto" w:fill="F2F2F2" w:themeFill="background1" w:themeFillShade="F2"/>
          </w:tcPr>
          <w:p w14:paraId="0CA1B36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326B102A"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(COPE)</w:t>
            </w:r>
          </w:p>
        </w:tc>
        <w:tc>
          <w:tcPr>
            <w:tcW w:w="3221" w:type="pct"/>
            <w:shd w:val="clear" w:color="auto" w:fill="F2F2F2" w:themeFill="background1" w:themeFillShade="F2"/>
          </w:tcPr>
          <w:p w14:paraId="5057EE21"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Experiencing negative feelings was positively associated with adequate coping (subscale of emotional/instrumental support, r = 0.12), as well as with inadequate coping (subscale of denial/disengagement, r = 0.15), but also negatively with adequate coping (subscale of reframing/humor, r = -0.10). Experiencing positive feelings was positively associated with adequate coping (subscales of emotional/instrumental support, r = 0.08, reframing/humor, r = 0.11, and acceptance/planning, r = 0.08). It was negatively associated with inadequate coping (subscale of denials/disengagement, r = -0.06). Having strong emotional feelings was positively associated with adequate coping (subscales of reframing/humor, r = 0.11, and acceptance/planning, r = 0.08) and inadequate coping (subscale of self-blame, r = 0.14). </w:t>
            </w:r>
          </w:p>
        </w:tc>
        <w:tc>
          <w:tcPr>
            <w:tcW w:w="512" w:type="pct"/>
            <w:shd w:val="clear" w:color="auto" w:fill="F2F2F2" w:themeFill="background1" w:themeFillShade="F2"/>
          </w:tcPr>
          <w:p w14:paraId="58573DC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 xml:space="preserve">Age, gender, educational level, urbanization, lifestyle, </w:t>
            </w:r>
          </w:p>
        </w:tc>
      </w:tr>
      <w:tr w:rsidR="007B2641" w:rsidRPr="00C011BB" w14:paraId="768E3784"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1C426A3C" w14:textId="77777777" w:rsidR="007B2641" w:rsidRPr="00B0015C" w:rsidRDefault="007B2641" w:rsidP="007A78C6">
            <w:pPr>
              <w:rPr>
                <w:sz w:val="14"/>
                <w:lang w:val="en-US"/>
              </w:rPr>
            </w:pPr>
            <w:r w:rsidRPr="00B0015C">
              <w:rPr>
                <w:sz w:val="14"/>
                <w:lang w:val="en-US"/>
              </w:rPr>
              <w:t>De Ridder</w:t>
            </w:r>
          </w:p>
          <w:p w14:paraId="3AF239CB" w14:textId="77777777" w:rsidR="007B2641" w:rsidRPr="00B0015C" w:rsidRDefault="007B2641" w:rsidP="007A78C6">
            <w:pPr>
              <w:rPr>
                <w:sz w:val="14"/>
                <w:lang w:val="en-US"/>
              </w:rPr>
            </w:pPr>
            <w:r w:rsidRPr="00B0015C">
              <w:rPr>
                <w:sz w:val="14"/>
                <w:lang w:val="en-US"/>
              </w:rPr>
              <w:t>(1995)</w:t>
            </w:r>
          </w:p>
        </w:tc>
        <w:tc>
          <w:tcPr>
            <w:tcW w:w="463" w:type="pct"/>
            <w:shd w:val="clear" w:color="auto" w:fill="FFFFFF" w:themeFill="background1"/>
          </w:tcPr>
          <w:p w14:paraId="799FEAD9" w14:textId="77777777" w:rsidR="007B2641" w:rsidRPr="00DF6F07" w:rsidRDefault="007B2641" w:rsidP="007A78C6">
            <w:pPr>
              <w:cnfStyle w:val="000000100000" w:firstRow="0" w:lastRow="0" w:firstColumn="0" w:lastColumn="0" w:oddVBand="0" w:evenVBand="0" w:oddHBand="1" w:evenHBand="0" w:firstRowFirstColumn="0" w:firstRowLastColumn="0" w:lastRowFirstColumn="0" w:lastRowLastColumn="0"/>
              <w:rPr>
                <w:color w:val="auto"/>
                <w:sz w:val="14"/>
                <w:lang w:val="en-US"/>
              </w:rPr>
            </w:pPr>
            <w:r w:rsidRPr="00DF6F07">
              <w:rPr>
                <w:color w:val="auto"/>
                <w:sz w:val="14"/>
                <w:lang w:val="en-US"/>
              </w:rPr>
              <w:t>Satisfaction with life</w:t>
            </w:r>
          </w:p>
        </w:tc>
        <w:tc>
          <w:tcPr>
            <w:tcW w:w="391" w:type="pct"/>
            <w:shd w:val="clear" w:color="auto" w:fill="FFFFFF" w:themeFill="background1"/>
          </w:tcPr>
          <w:p w14:paraId="0701795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5E982D9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(WCC)</w:t>
            </w:r>
          </w:p>
        </w:tc>
        <w:tc>
          <w:tcPr>
            <w:tcW w:w="3221" w:type="pct"/>
            <w:shd w:val="clear" w:color="auto" w:fill="FFFFFF" w:themeFill="background1"/>
          </w:tcPr>
          <w:p w14:paraId="0F1A85F4"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 xml:space="preserve">A feeling of satisfaction with one’s life was negatively associated with adequate coping (subscale of accepting responsibilities, r = -0.20). </w:t>
            </w:r>
          </w:p>
        </w:tc>
        <w:tc>
          <w:tcPr>
            <w:tcW w:w="512" w:type="pct"/>
            <w:shd w:val="clear" w:color="auto" w:fill="FFFFFF" w:themeFill="background1"/>
          </w:tcPr>
          <w:p w14:paraId="079191AC"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n.a</w:t>
            </w:r>
          </w:p>
        </w:tc>
      </w:tr>
      <w:tr w:rsidR="007B2641" w:rsidRPr="00952061" w14:paraId="54628538"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tcBorders>
              <w:bottom w:val="single" w:sz="4" w:space="0" w:color="auto"/>
            </w:tcBorders>
            <w:shd w:val="clear" w:color="auto" w:fill="F2F2F2" w:themeFill="background1" w:themeFillShade="F2"/>
          </w:tcPr>
          <w:p w14:paraId="48F4C075" w14:textId="77777777" w:rsidR="007B2641" w:rsidRPr="00B0015C" w:rsidRDefault="007B2641" w:rsidP="007A78C6">
            <w:pPr>
              <w:rPr>
                <w:sz w:val="14"/>
                <w:lang w:val="en-US"/>
              </w:rPr>
            </w:pPr>
            <w:r w:rsidRPr="00B0015C">
              <w:rPr>
                <w:sz w:val="14"/>
                <w:lang w:val="en-US"/>
              </w:rPr>
              <w:t>Matud</w:t>
            </w:r>
          </w:p>
          <w:p w14:paraId="70882BEE" w14:textId="77777777" w:rsidR="007B2641" w:rsidRPr="00B0015C" w:rsidRDefault="007B2641" w:rsidP="007A78C6">
            <w:pPr>
              <w:rPr>
                <w:sz w:val="14"/>
                <w:lang w:val="en-US"/>
              </w:rPr>
            </w:pPr>
            <w:r w:rsidRPr="00B0015C">
              <w:rPr>
                <w:sz w:val="14"/>
                <w:lang w:val="en-US"/>
              </w:rPr>
              <w:t>(2004)</w:t>
            </w:r>
          </w:p>
        </w:tc>
        <w:tc>
          <w:tcPr>
            <w:tcW w:w="463" w:type="pct"/>
            <w:tcBorders>
              <w:bottom w:val="single" w:sz="4" w:space="0" w:color="auto"/>
            </w:tcBorders>
            <w:shd w:val="clear" w:color="auto" w:fill="F2F2F2" w:themeFill="background1" w:themeFillShade="F2"/>
          </w:tcPr>
          <w:p w14:paraId="330A4B17"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Satisfaction with work(role)</w:t>
            </w:r>
          </w:p>
        </w:tc>
        <w:tc>
          <w:tcPr>
            <w:tcW w:w="391" w:type="pct"/>
            <w:tcBorders>
              <w:bottom w:val="single" w:sz="4" w:space="0" w:color="auto"/>
            </w:tcBorders>
            <w:shd w:val="clear" w:color="auto" w:fill="F2F2F2" w:themeFill="background1" w:themeFillShade="F2"/>
          </w:tcPr>
          <w:p w14:paraId="2CEF6E20"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Coping</w:t>
            </w:r>
          </w:p>
          <w:p w14:paraId="78608103"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(CSQ)</w:t>
            </w:r>
          </w:p>
        </w:tc>
        <w:tc>
          <w:tcPr>
            <w:tcW w:w="3221" w:type="pct"/>
            <w:tcBorders>
              <w:bottom w:val="single" w:sz="4" w:space="0" w:color="auto"/>
            </w:tcBorders>
            <w:shd w:val="clear" w:color="auto" w:fill="F2F2F2" w:themeFill="background1" w:themeFillShade="F2"/>
          </w:tcPr>
          <w:p w14:paraId="2942438E"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Dissatisfaction with one’s role (at work or at home in case of unemployment) was negatively associated with adequate coping for both women and men (subscale of rational coping, r = -0.08 and -0.11) and positively associated with inadequate coping (subscale of emotional coping, r = 0.24 and 0.20).</w:t>
            </w:r>
          </w:p>
        </w:tc>
        <w:tc>
          <w:tcPr>
            <w:tcW w:w="512" w:type="pct"/>
            <w:tcBorders>
              <w:bottom w:val="single" w:sz="4" w:space="0" w:color="auto"/>
            </w:tcBorders>
            <w:shd w:val="clear" w:color="auto" w:fill="F2F2F2" w:themeFill="background1" w:themeFillShade="F2"/>
          </w:tcPr>
          <w:p w14:paraId="6E2674FA"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3259AC" w14:paraId="51235467" w14:textId="77777777" w:rsidTr="007A78C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shd w:val="clear" w:color="auto" w:fill="D9D9D9" w:themeFill="background1" w:themeFillShade="D9"/>
            <w:vAlign w:val="center"/>
          </w:tcPr>
          <w:p w14:paraId="629D8C7C" w14:textId="77777777" w:rsidR="007B2641" w:rsidRPr="00B0015C" w:rsidRDefault="007B2641" w:rsidP="007A78C6">
            <w:pPr>
              <w:rPr>
                <w:b w:val="0"/>
                <w:sz w:val="20"/>
                <w:lang w:val="en-US"/>
              </w:rPr>
            </w:pPr>
            <w:r w:rsidRPr="00B0015C">
              <w:rPr>
                <w:b w:val="0"/>
                <w:sz w:val="20"/>
                <w:lang w:val="en-US"/>
              </w:rPr>
              <w:t>Location</w:t>
            </w:r>
          </w:p>
        </w:tc>
      </w:tr>
      <w:tr w:rsidR="007B2641" w:rsidRPr="003259AC" w14:paraId="4D4C6FCE" w14:textId="77777777" w:rsidTr="007A78C6">
        <w:trPr>
          <w:trHeight w:val="219"/>
        </w:trPr>
        <w:tc>
          <w:tcPr>
            <w:cnfStyle w:val="001000000000" w:firstRow="0" w:lastRow="0" w:firstColumn="1" w:lastColumn="0" w:oddVBand="0" w:evenVBand="0" w:oddHBand="0" w:evenHBand="0" w:firstRowFirstColumn="0" w:firstRowLastColumn="0" w:lastRowFirstColumn="0" w:lastRowLastColumn="0"/>
            <w:tcW w:w="413" w:type="pct"/>
            <w:tcBorders>
              <w:top w:val="single" w:sz="4" w:space="0" w:color="auto"/>
            </w:tcBorders>
            <w:shd w:val="clear" w:color="auto" w:fill="F2F2F2" w:themeFill="background1" w:themeFillShade="F2"/>
          </w:tcPr>
          <w:p w14:paraId="5369C7B6" w14:textId="77777777" w:rsidR="007B2641" w:rsidRPr="00B0015C" w:rsidRDefault="007B2641" w:rsidP="007A78C6">
            <w:pPr>
              <w:rPr>
                <w:sz w:val="14"/>
                <w:lang w:val="en-US"/>
              </w:rPr>
            </w:pPr>
            <w:r w:rsidRPr="00B0015C">
              <w:rPr>
                <w:sz w:val="14"/>
                <w:lang w:val="en-US"/>
              </w:rPr>
              <w:t>Roussi</w:t>
            </w:r>
          </w:p>
          <w:p w14:paraId="1C1F7839" w14:textId="77777777" w:rsidR="007B2641" w:rsidRPr="00B0015C" w:rsidRDefault="007B2641" w:rsidP="007A78C6">
            <w:pPr>
              <w:rPr>
                <w:sz w:val="14"/>
                <w:lang w:val="en-US"/>
              </w:rPr>
            </w:pPr>
            <w:r w:rsidRPr="00B0015C">
              <w:rPr>
                <w:sz w:val="14"/>
                <w:lang w:val="en-US"/>
              </w:rPr>
              <w:t>(2006)</w:t>
            </w:r>
          </w:p>
        </w:tc>
        <w:tc>
          <w:tcPr>
            <w:tcW w:w="463" w:type="pct"/>
            <w:tcBorders>
              <w:top w:val="single" w:sz="4" w:space="0" w:color="auto"/>
            </w:tcBorders>
            <w:shd w:val="clear" w:color="auto" w:fill="F2F2F2" w:themeFill="background1" w:themeFillShade="F2"/>
          </w:tcPr>
          <w:p w14:paraId="7E53D3C8" w14:textId="77777777" w:rsidR="007B2641"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Urbanization</w:t>
            </w:r>
          </w:p>
        </w:tc>
        <w:tc>
          <w:tcPr>
            <w:tcW w:w="391" w:type="pct"/>
            <w:tcBorders>
              <w:top w:val="single" w:sz="4" w:space="0" w:color="auto"/>
            </w:tcBorders>
            <w:shd w:val="clear" w:color="auto" w:fill="F2F2F2" w:themeFill="background1" w:themeFillShade="F2"/>
          </w:tcPr>
          <w:p w14:paraId="70F09EE2" w14:textId="77777777" w:rsidR="007B2641" w:rsidRPr="00C85569"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C85569">
              <w:rPr>
                <w:sz w:val="14"/>
                <w:lang w:val="en-US"/>
              </w:rPr>
              <w:t>Coping</w:t>
            </w:r>
          </w:p>
          <w:p w14:paraId="5A0C2E6C" w14:textId="77777777" w:rsidR="007B2641" w:rsidRPr="00C85569"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sidRPr="00C85569">
              <w:rPr>
                <w:sz w:val="14"/>
                <w:lang w:val="en-US"/>
              </w:rPr>
              <w:t>(SACS)</w:t>
            </w:r>
          </w:p>
        </w:tc>
        <w:tc>
          <w:tcPr>
            <w:tcW w:w="3221" w:type="pct"/>
            <w:tcBorders>
              <w:top w:val="single" w:sz="4" w:space="0" w:color="auto"/>
            </w:tcBorders>
            <w:shd w:val="clear" w:color="auto" w:fill="F2F2F2" w:themeFill="background1" w:themeFillShade="F2"/>
          </w:tcPr>
          <w:p w14:paraId="205DDBD9" w14:textId="77777777" w:rsidR="007B2641" w:rsidRPr="00B0015C" w:rsidRDefault="007B2641" w:rsidP="007A78C6">
            <w:pPr>
              <w:cnfStyle w:val="000000000000" w:firstRow="0" w:lastRow="0" w:firstColumn="0" w:lastColumn="0" w:oddVBand="0" w:evenVBand="0" w:oddHBand="0" w:evenHBand="0" w:firstRowFirstColumn="0" w:firstRowLastColumn="0" w:lastRowFirstColumn="0" w:lastRowLastColumn="0"/>
              <w:rPr>
                <w:sz w:val="14"/>
                <w:highlight w:val="darkYellow"/>
                <w:lang w:val="en-US"/>
              </w:rPr>
            </w:pPr>
            <w:r w:rsidRPr="00B0015C">
              <w:rPr>
                <w:sz w:val="14"/>
                <w:lang w:val="en-US"/>
              </w:rPr>
              <w:t>A cluster analysis revealed two clusters of coping strategies in urban areas. Firstly, a cluster of assertive and indirect coping combined with antisocial and aggressive coping. Secondly a cluster consisting of cautious coping, social joining and seeking support. For rural areas, also two clusters were discovered. Firstly, a cluster of assertive and indirect coping combined with cautious coping, social joining and seeking support. Secondly, a cluster of antisocial and aggressive coping. When comparing the two areas, it is seen that in urban areas assertive and indirect coping is combined with antisocial coping strategies whereas in rural areas assertive and indirect coping is combined with prosocial coping strategies.</w:t>
            </w:r>
          </w:p>
        </w:tc>
        <w:tc>
          <w:tcPr>
            <w:tcW w:w="512" w:type="pct"/>
            <w:tcBorders>
              <w:top w:val="single" w:sz="4" w:space="0" w:color="auto"/>
            </w:tcBorders>
            <w:shd w:val="clear" w:color="auto" w:fill="F2F2F2" w:themeFill="background1" w:themeFillShade="F2"/>
          </w:tcPr>
          <w:p w14:paraId="4BC7DBEA" w14:textId="77777777" w:rsidR="007B2641" w:rsidRPr="007373E7" w:rsidRDefault="007B2641" w:rsidP="007A78C6">
            <w:pPr>
              <w:cnfStyle w:val="000000000000" w:firstRow="0" w:lastRow="0" w:firstColumn="0" w:lastColumn="0" w:oddVBand="0" w:evenVBand="0" w:oddHBand="0" w:evenHBand="0" w:firstRowFirstColumn="0" w:firstRowLastColumn="0" w:lastRowFirstColumn="0" w:lastRowLastColumn="0"/>
              <w:rPr>
                <w:sz w:val="14"/>
                <w:lang w:val="en-US"/>
              </w:rPr>
            </w:pPr>
            <w:r>
              <w:rPr>
                <w:sz w:val="14"/>
                <w:lang w:val="en-US"/>
              </w:rPr>
              <w:t>n.a.</w:t>
            </w:r>
          </w:p>
        </w:tc>
      </w:tr>
      <w:tr w:rsidR="007B2641" w:rsidRPr="009A6FCB" w14:paraId="780F8530" w14:textId="77777777" w:rsidTr="007A78C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13" w:type="pct"/>
            <w:shd w:val="clear" w:color="auto" w:fill="FFFFFF" w:themeFill="background1"/>
          </w:tcPr>
          <w:p w14:paraId="086A1CD6" w14:textId="77777777" w:rsidR="007B2641" w:rsidRPr="00B0015C" w:rsidRDefault="007B2641" w:rsidP="007A78C6">
            <w:pPr>
              <w:rPr>
                <w:sz w:val="14"/>
                <w:lang w:val="en-US"/>
              </w:rPr>
            </w:pPr>
            <w:r w:rsidRPr="00B0015C">
              <w:rPr>
                <w:sz w:val="14"/>
                <w:lang w:val="en-US"/>
              </w:rPr>
              <w:t>Batsikoura</w:t>
            </w:r>
          </w:p>
          <w:p w14:paraId="69E0FFE7" w14:textId="77777777" w:rsidR="007B2641" w:rsidRPr="00B0015C" w:rsidRDefault="007B2641" w:rsidP="007A78C6">
            <w:pPr>
              <w:rPr>
                <w:sz w:val="14"/>
                <w:lang w:val="en-US"/>
              </w:rPr>
            </w:pPr>
            <w:r w:rsidRPr="00B0015C">
              <w:rPr>
                <w:sz w:val="14"/>
                <w:lang w:val="en-US"/>
              </w:rPr>
              <w:t>(2021)</w:t>
            </w:r>
          </w:p>
        </w:tc>
        <w:tc>
          <w:tcPr>
            <w:tcW w:w="463" w:type="pct"/>
            <w:shd w:val="clear" w:color="auto" w:fill="FFFFFF" w:themeFill="background1"/>
          </w:tcPr>
          <w:p w14:paraId="77C629AA"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Urbanization</w:t>
            </w:r>
          </w:p>
        </w:tc>
        <w:tc>
          <w:tcPr>
            <w:tcW w:w="391" w:type="pct"/>
            <w:shd w:val="clear" w:color="auto" w:fill="FFFFFF" w:themeFill="background1"/>
          </w:tcPr>
          <w:p w14:paraId="08395C6B" w14:textId="77777777" w:rsidR="007B2641"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Coping</w:t>
            </w:r>
          </w:p>
          <w:p w14:paraId="1B9B1983" w14:textId="77777777" w:rsidR="007B2641" w:rsidRPr="00C85569"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(COPE)</w:t>
            </w:r>
          </w:p>
        </w:tc>
        <w:tc>
          <w:tcPr>
            <w:tcW w:w="3221" w:type="pct"/>
            <w:shd w:val="clear" w:color="auto" w:fill="FFFFFF" w:themeFill="background1"/>
          </w:tcPr>
          <w:p w14:paraId="282E899D" w14:textId="77777777" w:rsidR="007B2641" w:rsidRPr="00C85569"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sidRPr="004976FA">
              <w:rPr>
                <w:sz w:val="14"/>
                <w:lang w:val="en-US"/>
              </w:rPr>
              <w:t>Living in a smaller town was associated with using adequate coping (subscales of emotional/instrumental support</w:t>
            </w:r>
            <w:r>
              <w:rPr>
                <w:sz w:val="14"/>
                <w:lang w:val="en-US"/>
              </w:rPr>
              <w:t>, r = 0.43,</w:t>
            </w:r>
            <w:r w:rsidRPr="004976FA">
              <w:rPr>
                <w:sz w:val="14"/>
                <w:lang w:val="en-US"/>
              </w:rPr>
              <w:t xml:space="preserve"> and positive reframing/ humor, r = 0.33).</w:t>
            </w:r>
          </w:p>
        </w:tc>
        <w:tc>
          <w:tcPr>
            <w:tcW w:w="512" w:type="pct"/>
            <w:shd w:val="clear" w:color="auto" w:fill="FFFFFF" w:themeFill="background1"/>
          </w:tcPr>
          <w:p w14:paraId="1C620967" w14:textId="77777777" w:rsidR="007B2641" w:rsidRPr="007373E7" w:rsidRDefault="007B2641" w:rsidP="007A78C6">
            <w:pPr>
              <w:cnfStyle w:val="000000100000" w:firstRow="0" w:lastRow="0" w:firstColumn="0" w:lastColumn="0" w:oddVBand="0" w:evenVBand="0" w:oddHBand="1" w:evenHBand="0" w:firstRowFirstColumn="0" w:firstRowLastColumn="0" w:lastRowFirstColumn="0" w:lastRowLastColumn="0"/>
              <w:rPr>
                <w:sz w:val="14"/>
                <w:lang w:val="en-US"/>
              </w:rPr>
            </w:pPr>
            <w:r>
              <w:rPr>
                <w:sz w:val="14"/>
                <w:lang w:val="en-US"/>
              </w:rPr>
              <w:t>Age, gender, educational level, lifestyle and anxiety</w:t>
            </w:r>
          </w:p>
        </w:tc>
      </w:tr>
    </w:tbl>
    <w:p w14:paraId="323D5796" w14:textId="77777777" w:rsidR="007B2641" w:rsidRPr="00C65806" w:rsidRDefault="007B2641">
      <w:pPr>
        <w:rPr>
          <w:sz w:val="16"/>
          <w:szCs w:val="16"/>
          <w:lang w:val="en-US"/>
        </w:rPr>
      </w:pPr>
    </w:p>
    <w:sectPr w:rsidR="007B2641" w:rsidRPr="00C65806" w:rsidSect="007B264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85CC8"/>
    <w:multiLevelType w:val="hybridMultilevel"/>
    <w:tmpl w:val="428A18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8638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587"/>
    <w:rsid w:val="00082ADE"/>
    <w:rsid w:val="00107456"/>
    <w:rsid w:val="001215C4"/>
    <w:rsid w:val="001B763C"/>
    <w:rsid w:val="0023088B"/>
    <w:rsid w:val="002640C0"/>
    <w:rsid w:val="00267A9D"/>
    <w:rsid w:val="002E6E77"/>
    <w:rsid w:val="002F5FA7"/>
    <w:rsid w:val="00383F71"/>
    <w:rsid w:val="003E4AF1"/>
    <w:rsid w:val="004304CE"/>
    <w:rsid w:val="0045186F"/>
    <w:rsid w:val="00475F8F"/>
    <w:rsid w:val="004E2006"/>
    <w:rsid w:val="00547F31"/>
    <w:rsid w:val="005E5823"/>
    <w:rsid w:val="006007AA"/>
    <w:rsid w:val="006055A4"/>
    <w:rsid w:val="00681B2B"/>
    <w:rsid w:val="006926B2"/>
    <w:rsid w:val="006C0DC9"/>
    <w:rsid w:val="006C210C"/>
    <w:rsid w:val="006D45DD"/>
    <w:rsid w:val="0071683F"/>
    <w:rsid w:val="0074469A"/>
    <w:rsid w:val="00760B06"/>
    <w:rsid w:val="007B2641"/>
    <w:rsid w:val="008C3BE0"/>
    <w:rsid w:val="0091016C"/>
    <w:rsid w:val="00922587"/>
    <w:rsid w:val="0092621D"/>
    <w:rsid w:val="0094721E"/>
    <w:rsid w:val="009716BE"/>
    <w:rsid w:val="009A6FCB"/>
    <w:rsid w:val="00A47369"/>
    <w:rsid w:val="00AE7D9A"/>
    <w:rsid w:val="00B17446"/>
    <w:rsid w:val="00B7665D"/>
    <w:rsid w:val="00BA7C22"/>
    <w:rsid w:val="00BB4502"/>
    <w:rsid w:val="00BB7F0B"/>
    <w:rsid w:val="00C147E2"/>
    <w:rsid w:val="00C1605C"/>
    <w:rsid w:val="00C60940"/>
    <w:rsid w:val="00C65806"/>
    <w:rsid w:val="00D03803"/>
    <w:rsid w:val="00E271A7"/>
    <w:rsid w:val="00E668D7"/>
    <w:rsid w:val="00ED36AA"/>
    <w:rsid w:val="00ED6267"/>
    <w:rsid w:val="00F16563"/>
    <w:rsid w:val="00F1677F"/>
    <w:rsid w:val="00F31843"/>
    <w:rsid w:val="00F4110D"/>
    <w:rsid w:val="00F62C13"/>
    <w:rsid w:val="00F763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9D0C5"/>
  <w15:docId w15:val="{643E9737-8A13-43F0-BC4F-2AD8A5412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225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60940"/>
    <w:pPr>
      <w:ind w:left="720"/>
      <w:contextualSpacing/>
    </w:pPr>
  </w:style>
  <w:style w:type="table" w:styleId="Lichtearcering">
    <w:name w:val="Light Shading"/>
    <w:basedOn w:val="Standaardtabel"/>
    <w:uiPriority w:val="60"/>
    <w:rsid w:val="007B264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emiddeldelijst1-accent1">
    <w:name w:val="Medium List 1 Accent 1"/>
    <w:basedOn w:val="Standaardtabel"/>
    <w:uiPriority w:val="65"/>
    <w:rsid w:val="007B264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7B264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character" w:styleId="Verwijzingopmerking">
    <w:name w:val="annotation reference"/>
    <w:basedOn w:val="Standaardalinea-lettertype"/>
    <w:uiPriority w:val="99"/>
    <w:semiHidden/>
    <w:unhideWhenUsed/>
    <w:rsid w:val="007B2641"/>
    <w:rPr>
      <w:sz w:val="16"/>
      <w:szCs w:val="16"/>
    </w:rPr>
  </w:style>
  <w:style w:type="paragraph" w:styleId="Tekstopmerking">
    <w:name w:val="annotation text"/>
    <w:basedOn w:val="Standaard"/>
    <w:link w:val="TekstopmerkingChar"/>
    <w:uiPriority w:val="99"/>
    <w:semiHidden/>
    <w:unhideWhenUsed/>
    <w:rsid w:val="007B2641"/>
    <w:pPr>
      <w:spacing w:after="200"/>
    </w:pPr>
    <w:rPr>
      <w:rFonts w:eastAsiaTheme="minorHAnsi"/>
      <w:sz w:val="20"/>
      <w:szCs w:val="20"/>
    </w:rPr>
  </w:style>
  <w:style w:type="character" w:customStyle="1" w:styleId="TekstopmerkingChar">
    <w:name w:val="Tekst opmerking Char"/>
    <w:basedOn w:val="Standaardalinea-lettertype"/>
    <w:link w:val="Tekstopmerking"/>
    <w:uiPriority w:val="99"/>
    <w:semiHidden/>
    <w:rsid w:val="007B2641"/>
    <w:rPr>
      <w:sz w:val="20"/>
      <w:szCs w:val="20"/>
    </w:rPr>
  </w:style>
  <w:style w:type="paragraph" w:styleId="Onderwerpvanopmerking">
    <w:name w:val="annotation subject"/>
    <w:basedOn w:val="Tekstopmerking"/>
    <w:next w:val="Tekstopmerking"/>
    <w:link w:val="OnderwerpvanopmerkingChar"/>
    <w:uiPriority w:val="99"/>
    <w:semiHidden/>
    <w:unhideWhenUsed/>
    <w:rsid w:val="007B2641"/>
    <w:rPr>
      <w:b/>
      <w:bCs/>
    </w:rPr>
  </w:style>
  <w:style w:type="character" w:customStyle="1" w:styleId="OnderwerpvanopmerkingChar">
    <w:name w:val="Onderwerp van opmerking Char"/>
    <w:basedOn w:val="TekstopmerkingChar"/>
    <w:link w:val="Onderwerpvanopmerking"/>
    <w:uiPriority w:val="99"/>
    <w:semiHidden/>
    <w:rsid w:val="007B2641"/>
    <w:rPr>
      <w:b/>
      <w:bCs/>
      <w:sz w:val="20"/>
      <w:szCs w:val="20"/>
    </w:rPr>
  </w:style>
  <w:style w:type="paragraph" w:styleId="Ballontekst">
    <w:name w:val="Balloon Text"/>
    <w:basedOn w:val="Standaard"/>
    <w:link w:val="BallontekstChar"/>
    <w:uiPriority w:val="99"/>
    <w:semiHidden/>
    <w:unhideWhenUsed/>
    <w:rsid w:val="007B2641"/>
    <w:rPr>
      <w:rFonts w:ascii="Tahoma" w:eastAsiaTheme="minorHAnsi" w:hAnsi="Tahoma" w:cs="Tahoma"/>
      <w:sz w:val="16"/>
      <w:szCs w:val="16"/>
    </w:rPr>
  </w:style>
  <w:style w:type="character" w:customStyle="1" w:styleId="BallontekstChar">
    <w:name w:val="Ballontekst Char"/>
    <w:basedOn w:val="Standaardalinea-lettertype"/>
    <w:link w:val="Ballontekst"/>
    <w:uiPriority w:val="99"/>
    <w:semiHidden/>
    <w:rsid w:val="007B2641"/>
    <w:rPr>
      <w:rFonts w:ascii="Tahoma" w:hAnsi="Tahoma" w:cs="Tahoma"/>
      <w:sz w:val="16"/>
      <w:szCs w:val="16"/>
    </w:rPr>
  </w:style>
  <w:style w:type="paragraph" w:styleId="Voetnoottekst">
    <w:name w:val="footnote text"/>
    <w:basedOn w:val="Standaard"/>
    <w:link w:val="VoetnoottekstChar"/>
    <w:uiPriority w:val="99"/>
    <w:semiHidden/>
    <w:unhideWhenUsed/>
    <w:rsid w:val="007B2641"/>
    <w:rPr>
      <w:rFonts w:eastAsiaTheme="minorHAnsi"/>
      <w:sz w:val="20"/>
      <w:szCs w:val="20"/>
    </w:rPr>
  </w:style>
  <w:style w:type="character" w:customStyle="1" w:styleId="VoetnoottekstChar">
    <w:name w:val="Voetnoottekst Char"/>
    <w:basedOn w:val="Standaardalinea-lettertype"/>
    <w:link w:val="Voetnoottekst"/>
    <w:uiPriority w:val="99"/>
    <w:semiHidden/>
    <w:rsid w:val="007B2641"/>
    <w:rPr>
      <w:sz w:val="20"/>
      <w:szCs w:val="20"/>
    </w:rPr>
  </w:style>
  <w:style w:type="character" w:styleId="Voetnootmarkering">
    <w:name w:val="footnote reference"/>
    <w:basedOn w:val="Standaardalinea-lettertype"/>
    <w:uiPriority w:val="99"/>
    <w:semiHidden/>
    <w:unhideWhenUsed/>
    <w:rsid w:val="007B26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71337">
      <w:bodyDiv w:val="1"/>
      <w:marLeft w:val="0"/>
      <w:marRight w:val="0"/>
      <w:marTop w:val="0"/>
      <w:marBottom w:val="0"/>
      <w:divBdr>
        <w:top w:val="none" w:sz="0" w:space="0" w:color="auto"/>
        <w:left w:val="none" w:sz="0" w:space="0" w:color="auto"/>
        <w:bottom w:val="none" w:sz="0" w:space="0" w:color="auto"/>
        <w:right w:val="none" w:sz="0" w:space="0" w:color="auto"/>
      </w:divBdr>
    </w:div>
    <w:div w:id="128322090">
      <w:bodyDiv w:val="1"/>
      <w:marLeft w:val="0"/>
      <w:marRight w:val="0"/>
      <w:marTop w:val="0"/>
      <w:marBottom w:val="0"/>
      <w:divBdr>
        <w:top w:val="none" w:sz="0" w:space="0" w:color="auto"/>
        <w:left w:val="none" w:sz="0" w:space="0" w:color="auto"/>
        <w:bottom w:val="none" w:sz="0" w:space="0" w:color="auto"/>
        <w:right w:val="none" w:sz="0" w:space="0" w:color="auto"/>
      </w:divBdr>
    </w:div>
    <w:div w:id="135729477">
      <w:bodyDiv w:val="1"/>
      <w:marLeft w:val="0"/>
      <w:marRight w:val="0"/>
      <w:marTop w:val="0"/>
      <w:marBottom w:val="0"/>
      <w:divBdr>
        <w:top w:val="none" w:sz="0" w:space="0" w:color="auto"/>
        <w:left w:val="none" w:sz="0" w:space="0" w:color="auto"/>
        <w:bottom w:val="none" w:sz="0" w:space="0" w:color="auto"/>
        <w:right w:val="none" w:sz="0" w:space="0" w:color="auto"/>
      </w:divBdr>
    </w:div>
    <w:div w:id="279646505">
      <w:bodyDiv w:val="1"/>
      <w:marLeft w:val="0"/>
      <w:marRight w:val="0"/>
      <w:marTop w:val="0"/>
      <w:marBottom w:val="0"/>
      <w:divBdr>
        <w:top w:val="none" w:sz="0" w:space="0" w:color="auto"/>
        <w:left w:val="none" w:sz="0" w:space="0" w:color="auto"/>
        <w:bottom w:val="none" w:sz="0" w:space="0" w:color="auto"/>
        <w:right w:val="none" w:sz="0" w:space="0" w:color="auto"/>
      </w:divBdr>
      <w:divsChild>
        <w:div w:id="1740640165">
          <w:marLeft w:val="0"/>
          <w:marRight w:val="0"/>
          <w:marTop w:val="0"/>
          <w:marBottom w:val="0"/>
          <w:divBdr>
            <w:top w:val="none" w:sz="0" w:space="0" w:color="auto"/>
            <w:left w:val="none" w:sz="0" w:space="0" w:color="auto"/>
            <w:bottom w:val="none" w:sz="0" w:space="0" w:color="auto"/>
            <w:right w:val="none" w:sz="0" w:space="0" w:color="auto"/>
          </w:divBdr>
        </w:div>
      </w:divsChild>
    </w:div>
    <w:div w:id="473452146">
      <w:bodyDiv w:val="1"/>
      <w:marLeft w:val="0"/>
      <w:marRight w:val="0"/>
      <w:marTop w:val="0"/>
      <w:marBottom w:val="0"/>
      <w:divBdr>
        <w:top w:val="none" w:sz="0" w:space="0" w:color="auto"/>
        <w:left w:val="none" w:sz="0" w:space="0" w:color="auto"/>
        <w:bottom w:val="none" w:sz="0" w:space="0" w:color="auto"/>
        <w:right w:val="none" w:sz="0" w:space="0" w:color="auto"/>
      </w:divBdr>
    </w:div>
    <w:div w:id="559556949">
      <w:bodyDiv w:val="1"/>
      <w:marLeft w:val="0"/>
      <w:marRight w:val="0"/>
      <w:marTop w:val="0"/>
      <w:marBottom w:val="0"/>
      <w:divBdr>
        <w:top w:val="none" w:sz="0" w:space="0" w:color="auto"/>
        <w:left w:val="none" w:sz="0" w:space="0" w:color="auto"/>
        <w:bottom w:val="none" w:sz="0" w:space="0" w:color="auto"/>
        <w:right w:val="none" w:sz="0" w:space="0" w:color="auto"/>
      </w:divBdr>
    </w:div>
    <w:div w:id="583419042">
      <w:bodyDiv w:val="1"/>
      <w:marLeft w:val="0"/>
      <w:marRight w:val="0"/>
      <w:marTop w:val="0"/>
      <w:marBottom w:val="0"/>
      <w:divBdr>
        <w:top w:val="none" w:sz="0" w:space="0" w:color="auto"/>
        <w:left w:val="none" w:sz="0" w:space="0" w:color="auto"/>
        <w:bottom w:val="none" w:sz="0" w:space="0" w:color="auto"/>
        <w:right w:val="none" w:sz="0" w:space="0" w:color="auto"/>
      </w:divBdr>
      <w:divsChild>
        <w:div w:id="899678933">
          <w:marLeft w:val="0"/>
          <w:marRight w:val="0"/>
          <w:marTop w:val="0"/>
          <w:marBottom w:val="0"/>
          <w:divBdr>
            <w:top w:val="none" w:sz="0" w:space="0" w:color="auto"/>
            <w:left w:val="none" w:sz="0" w:space="0" w:color="auto"/>
            <w:bottom w:val="none" w:sz="0" w:space="0" w:color="auto"/>
            <w:right w:val="none" w:sz="0" w:space="0" w:color="auto"/>
          </w:divBdr>
        </w:div>
      </w:divsChild>
    </w:div>
    <w:div w:id="622082469">
      <w:bodyDiv w:val="1"/>
      <w:marLeft w:val="0"/>
      <w:marRight w:val="0"/>
      <w:marTop w:val="0"/>
      <w:marBottom w:val="0"/>
      <w:divBdr>
        <w:top w:val="none" w:sz="0" w:space="0" w:color="auto"/>
        <w:left w:val="none" w:sz="0" w:space="0" w:color="auto"/>
        <w:bottom w:val="none" w:sz="0" w:space="0" w:color="auto"/>
        <w:right w:val="none" w:sz="0" w:space="0" w:color="auto"/>
      </w:divBdr>
    </w:div>
    <w:div w:id="713701907">
      <w:bodyDiv w:val="1"/>
      <w:marLeft w:val="0"/>
      <w:marRight w:val="0"/>
      <w:marTop w:val="0"/>
      <w:marBottom w:val="0"/>
      <w:divBdr>
        <w:top w:val="none" w:sz="0" w:space="0" w:color="auto"/>
        <w:left w:val="none" w:sz="0" w:space="0" w:color="auto"/>
        <w:bottom w:val="none" w:sz="0" w:space="0" w:color="auto"/>
        <w:right w:val="none" w:sz="0" w:space="0" w:color="auto"/>
      </w:divBdr>
    </w:div>
    <w:div w:id="747851938">
      <w:bodyDiv w:val="1"/>
      <w:marLeft w:val="0"/>
      <w:marRight w:val="0"/>
      <w:marTop w:val="0"/>
      <w:marBottom w:val="0"/>
      <w:divBdr>
        <w:top w:val="none" w:sz="0" w:space="0" w:color="auto"/>
        <w:left w:val="none" w:sz="0" w:space="0" w:color="auto"/>
        <w:bottom w:val="none" w:sz="0" w:space="0" w:color="auto"/>
        <w:right w:val="none" w:sz="0" w:space="0" w:color="auto"/>
      </w:divBdr>
    </w:div>
    <w:div w:id="770055210">
      <w:bodyDiv w:val="1"/>
      <w:marLeft w:val="0"/>
      <w:marRight w:val="0"/>
      <w:marTop w:val="0"/>
      <w:marBottom w:val="0"/>
      <w:divBdr>
        <w:top w:val="none" w:sz="0" w:space="0" w:color="auto"/>
        <w:left w:val="none" w:sz="0" w:space="0" w:color="auto"/>
        <w:bottom w:val="none" w:sz="0" w:space="0" w:color="auto"/>
        <w:right w:val="none" w:sz="0" w:space="0" w:color="auto"/>
      </w:divBdr>
    </w:div>
    <w:div w:id="807092234">
      <w:bodyDiv w:val="1"/>
      <w:marLeft w:val="0"/>
      <w:marRight w:val="0"/>
      <w:marTop w:val="0"/>
      <w:marBottom w:val="0"/>
      <w:divBdr>
        <w:top w:val="none" w:sz="0" w:space="0" w:color="auto"/>
        <w:left w:val="none" w:sz="0" w:space="0" w:color="auto"/>
        <w:bottom w:val="none" w:sz="0" w:space="0" w:color="auto"/>
        <w:right w:val="none" w:sz="0" w:space="0" w:color="auto"/>
      </w:divBdr>
    </w:div>
    <w:div w:id="832137417">
      <w:bodyDiv w:val="1"/>
      <w:marLeft w:val="0"/>
      <w:marRight w:val="0"/>
      <w:marTop w:val="0"/>
      <w:marBottom w:val="0"/>
      <w:divBdr>
        <w:top w:val="none" w:sz="0" w:space="0" w:color="auto"/>
        <w:left w:val="none" w:sz="0" w:space="0" w:color="auto"/>
        <w:bottom w:val="none" w:sz="0" w:space="0" w:color="auto"/>
        <w:right w:val="none" w:sz="0" w:space="0" w:color="auto"/>
      </w:divBdr>
    </w:div>
    <w:div w:id="1002047418">
      <w:bodyDiv w:val="1"/>
      <w:marLeft w:val="0"/>
      <w:marRight w:val="0"/>
      <w:marTop w:val="0"/>
      <w:marBottom w:val="0"/>
      <w:divBdr>
        <w:top w:val="none" w:sz="0" w:space="0" w:color="auto"/>
        <w:left w:val="none" w:sz="0" w:space="0" w:color="auto"/>
        <w:bottom w:val="none" w:sz="0" w:space="0" w:color="auto"/>
        <w:right w:val="none" w:sz="0" w:space="0" w:color="auto"/>
      </w:divBdr>
    </w:div>
    <w:div w:id="1033458178">
      <w:bodyDiv w:val="1"/>
      <w:marLeft w:val="0"/>
      <w:marRight w:val="0"/>
      <w:marTop w:val="0"/>
      <w:marBottom w:val="0"/>
      <w:divBdr>
        <w:top w:val="none" w:sz="0" w:space="0" w:color="auto"/>
        <w:left w:val="none" w:sz="0" w:space="0" w:color="auto"/>
        <w:bottom w:val="none" w:sz="0" w:space="0" w:color="auto"/>
        <w:right w:val="none" w:sz="0" w:space="0" w:color="auto"/>
      </w:divBdr>
    </w:div>
    <w:div w:id="1051535621">
      <w:bodyDiv w:val="1"/>
      <w:marLeft w:val="0"/>
      <w:marRight w:val="0"/>
      <w:marTop w:val="0"/>
      <w:marBottom w:val="0"/>
      <w:divBdr>
        <w:top w:val="none" w:sz="0" w:space="0" w:color="auto"/>
        <w:left w:val="none" w:sz="0" w:space="0" w:color="auto"/>
        <w:bottom w:val="none" w:sz="0" w:space="0" w:color="auto"/>
        <w:right w:val="none" w:sz="0" w:space="0" w:color="auto"/>
      </w:divBdr>
    </w:div>
    <w:div w:id="1261641267">
      <w:bodyDiv w:val="1"/>
      <w:marLeft w:val="0"/>
      <w:marRight w:val="0"/>
      <w:marTop w:val="0"/>
      <w:marBottom w:val="0"/>
      <w:divBdr>
        <w:top w:val="none" w:sz="0" w:space="0" w:color="auto"/>
        <w:left w:val="none" w:sz="0" w:space="0" w:color="auto"/>
        <w:bottom w:val="none" w:sz="0" w:space="0" w:color="auto"/>
        <w:right w:val="none" w:sz="0" w:space="0" w:color="auto"/>
      </w:divBdr>
    </w:div>
    <w:div w:id="1264454345">
      <w:bodyDiv w:val="1"/>
      <w:marLeft w:val="0"/>
      <w:marRight w:val="0"/>
      <w:marTop w:val="0"/>
      <w:marBottom w:val="0"/>
      <w:divBdr>
        <w:top w:val="none" w:sz="0" w:space="0" w:color="auto"/>
        <w:left w:val="none" w:sz="0" w:space="0" w:color="auto"/>
        <w:bottom w:val="none" w:sz="0" w:space="0" w:color="auto"/>
        <w:right w:val="none" w:sz="0" w:space="0" w:color="auto"/>
      </w:divBdr>
    </w:div>
    <w:div w:id="1269316807">
      <w:bodyDiv w:val="1"/>
      <w:marLeft w:val="0"/>
      <w:marRight w:val="0"/>
      <w:marTop w:val="0"/>
      <w:marBottom w:val="0"/>
      <w:divBdr>
        <w:top w:val="none" w:sz="0" w:space="0" w:color="auto"/>
        <w:left w:val="none" w:sz="0" w:space="0" w:color="auto"/>
        <w:bottom w:val="none" w:sz="0" w:space="0" w:color="auto"/>
        <w:right w:val="none" w:sz="0" w:space="0" w:color="auto"/>
      </w:divBdr>
    </w:div>
    <w:div w:id="1368723487">
      <w:bodyDiv w:val="1"/>
      <w:marLeft w:val="0"/>
      <w:marRight w:val="0"/>
      <w:marTop w:val="0"/>
      <w:marBottom w:val="0"/>
      <w:divBdr>
        <w:top w:val="none" w:sz="0" w:space="0" w:color="auto"/>
        <w:left w:val="none" w:sz="0" w:space="0" w:color="auto"/>
        <w:bottom w:val="none" w:sz="0" w:space="0" w:color="auto"/>
        <w:right w:val="none" w:sz="0" w:space="0" w:color="auto"/>
      </w:divBdr>
    </w:div>
    <w:div w:id="1458797313">
      <w:bodyDiv w:val="1"/>
      <w:marLeft w:val="0"/>
      <w:marRight w:val="0"/>
      <w:marTop w:val="0"/>
      <w:marBottom w:val="0"/>
      <w:divBdr>
        <w:top w:val="none" w:sz="0" w:space="0" w:color="auto"/>
        <w:left w:val="none" w:sz="0" w:space="0" w:color="auto"/>
        <w:bottom w:val="none" w:sz="0" w:space="0" w:color="auto"/>
        <w:right w:val="none" w:sz="0" w:space="0" w:color="auto"/>
      </w:divBdr>
    </w:div>
    <w:div w:id="1502234623">
      <w:bodyDiv w:val="1"/>
      <w:marLeft w:val="0"/>
      <w:marRight w:val="0"/>
      <w:marTop w:val="0"/>
      <w:marBottom w:val="0"/>
      <w:divBdr>
        <w:top w:val="none" w:sz="0" w:space="0" w:color="auto"/>
        <w:left w:val="none" w:sz="0" w:space="0" w:color="auto"/>
        <w:bottom w:val="none" w:sz="0" w:space="0" w:color="auto"/>
        <w:right w:val="none" w:sz="0" w:space="0" w:color="auto"/>
      </w:divBdr>
    </w:div>
    <w:div w:id="1807813435">
      <w:bodyDiv w:val="1"/>
      <w:marLeft w:val="0"/>
      <w:marRight w:val="0"/>
      <w:marTop w:val="0"/>
      <w:marBottom w:val="0"/>
      <w:divBdr>
        <w:top w:val="none" w:sz="0" w:space="0" w:color="auto"/>
        <w:left w:val="none" w:sz="0" w:space="0" w:color="auto"/>
        <w:bottom w:val="none" w:sz="0" w:space="0" w:color="auto"/>
        <w:right w:val="none" w:sz="0" w:space="0" w:color="auto"/>
      </w:divBdr>
    </w:div>
    <w:div w:id="1857307608">
      <w:bodyDiv w:val="1"/>
      <w:marLeft w:val="0"/>
      <w:marRight w:val="0"/>
      <w:marTop w:val="0"/>
      <w:marBottom w:val="0"/>
      <w:divBdr>
        <w:top w:val="none" w:sz="0" w:space="0" w:color="auto"/>
        <w:left w:val="none" w:sz="0" w:space="0" w:color="auto"/>
        <w:bottom w:val="none" w:sz="0" w:space="0" w:color="auto"/>
        <w:right w:val="none" w:sz="0" w:space="0" w:color="auto"/>
      </w:divBdr>
    </w:div>
    <w:div w:id="1929459403">
      <w:bodyDiv w:val="1"/>
      <w:marLeft w:val="0"/>
      <w:marRight w:val="0"/>
      <w:marTop w:val="0"/>
      <w:marBottom w:val="0"/>
      <w:divBdr>
        <w:top w:val="none" w:sz="0" w:space="0" w:color="auto"/>
        <w:left w:val="none" w:sz="0" w:space="0" w:color="auto"/>
        <w:bottom w:val="none" w:sz="0" w:space="0" w:color="auto"/>
        <w:right w:val="none" w:sz="0" w:space="0" w:color="auto"/>
      </w:divBdr>
    </w:div>
    <w:div w:id="206709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4272</Words>
  <Characters>23502</Characters>
  <Application>Microsoft Office Word</Application>
  <DocSecurity>0</DocSecurity>
  <Lines>195</Lines>
  <Paragraphs>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Erasmus MC</Company>
  <LinksUpToDate>false</LinksUpToDate>
  <CharactersWithSpaces>27719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van der Meer</dc:creator>
  <cp:lastModifiedBy>Lindsey van der Meer</cp:lastModifiedBy>
  <cp:revision>2</cp:revision>
  <dcterms:created xsi:type="dcterms:W3CDTF">2022-05-04T08:58:00Z</dcterms:created>
  <dcterms:modified xsi:type="dcterms:W3CDTF">2022-05-04T08:58:00Z</dcterms:modified>
</cp:coreProperties>
</file>