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7EFF8" w14:textId="4FDBC8A8" w:rsidR="003A4A54" w:rsidRPr="007836D5" w:rsidRDefault="00B63DC3" w:rsidP="003A4A54">
      <w:pPr>
        <w:pStyle w:val="Heading2"/>
        <w:rPr>
          <w:rFonts w:eastAsia="Times New Roman"/>
          <w:color w:val="auto"/>
          <w:lang w:eastAsia="en-GB"/>
        </w:rPr>
      </w:pPr>
      <w:r w:rsidRPr="007836D5">
        <w:rPr>
          <w:rFonts w:eastAsia="Times New Roman"/>
          <w:color w:val="auto"/>
          <w:lang w:eastAsia="en-GB"/>
        </w:rPr>
        <w:t>Additional file</w:t>
      </w:r>
      <w:r w:rsidR="007236BA" w:rsidRPr="007836D5">
        <w:rPr>
          <w:rFonts w:eastAsia="Times New Roman"/>
          <w:color w:val="auto"/>
          <w:lang w:eastAsia="en-GB"/>
        </w:rPr>
        <w:t xml:space="preserve"> 3: </w:t>
      </w:r>
      <w:r w:rsidR="003A4A54" w:rsidRPr="007836D5">
        <w:rPr>
          <w:rFonts w:eastAsia="Times New Roman"/>
          <w:color w:val="auto"/>
          <w:lang w:eastAsia="en-GB"/>
        </w:rPr>
        <w:t>Dynamics</w:t>
      </w:r>
    </w:p>
    <w:p w14:paraId="3A57885F" w14:textId="77777777" w:rsidR="007236BA" w:rsidRPr="007236BA" w:rsidRDefault="007236BA" w:rsidP="007236BA">
      <w:pPr>
        <w:rPr>
          <w:lang w:eastAsia="en-GB"/>
        </w:rPr>
      </w:pPr>
    </w:p>
    <w:p w14:paraId="1DEDDF07" w14:textId="50D0CEBA" w:rsidR="003A4A54" w:rsidRPr="001F1AF6" w:rsidRDefault="003A4A54" w:rsidP="003A4A54">
      <w:pPr>
        <w:shd w:val="clear" w:color="auto" w:fill="FFFFFF"/>
        <w:spacing w:after="360"/>
        <w:rPr>
          <w:rFonts w:ascii="Calibri" w:eastAsia="Times New Roman" w:hAnsi="Calibri" w:cs="Calibri"/>
          <w:color w:val="333333"/>
          <w:lang w:eastAsia="en-GB"/>
        </w:rPr>
      </w:pPr>
      <w:r w:rsidRPr="001F1AF6">
        <w:rPr>
          <w:rFonts w:ascii="Calibri" w:eastAsia="Times New Roman" w:hAnsi="Calibri" w:cs="Calibri"/>
          <w:color w:val="333333"/>
          <w:lang w:eastAsia="en-GB"/>
        </w:rPr>
        <w:t xml:space="preserve">While we </w:t>
      </w:r>
      <w:r w:rsidRPr="009C553D">
        <w:rPr>
          <w:rFonts w:ascii="Calibri" w:eastAsia="Times New Roman" w:hAnsi="Calibri" w:cs="Calibri"/>
          <w:color w:val="333333"/>
          <w:lang w:eastAsia="en-GB"/>
        </w:rPr>
        <w:t xml:space="preserve">verified </w:t>
      </w:r>
      <w:r w:rsidRPr="009C553D">
        <w:rPr>
          <w:rFonts w:eastAsia="Times New Roman" w:cstheme="minorHAnsi"/>
          <w:color w:val="333333"/>
          <w:lang w:eastAsia="en-GB"/>
        </w:rPr>
        <w:t xml:space="preserve">the absence of </w:t>
      </w:r>
      <w:r w:rsidRPr="009C553D">
        <w:rPr>
          <w:rFonts w:ascii="Calibri" w:eastAsia="Times New Roman" w:hAnsi="Calibri" w:cs="Calibri"/>
          <w:color w:val="333333"/>
          <w:lang w:eastAsia="en-GB"/>
        </w:rPr>
        <w:t xml:space="preserve">potential </w:t>
      </w:r>
      <w:proofErr w:type="spellStart"/>
      <w:r w:rsidRPr="009C553D">
        <w:rPr>
          <w:rFonts w:ascii="Calibri" w:eastAsia="Times New Roman" w:hAnsi="Calibri" w:cs="Calibri"/>
          <w:color w:val="333333"/>
          <w:lang w:eastAsia="en-GB"/>
        </w:rPr>
        <w:t>nonstationarity</w:t>
      </w:r>
      <w:proofErr w:type="spellEnd"/>
      <w:r w:rsidRPr="009C553D">
        <w:rPr>
          <w:rFonts w:ascii="Calibri" w:eastAsia="Times New Roman" w:hAnsi="Calibri" w:cs="Calibri"/>
          <w:color w:val="333333"/>
          <w:lang w:eastAsia="en-GB"/>
        </w:rPr>
        <w:t xml:space="preserve"> in the dependent variable, ignored stationary dynamics can also bias our findings. Hence, we fit a dynamic model, </w:t>
      </w:r>
      <w:proofErr w:type="gramStart"/>
      <w:r w:rsidRPr="009C553D">
        <w:rPr>
          <w:rFonts w:ascii="Calibri" w:eastAsia="Times New Roman" w:hAnsi="Calibri" w:cs="Calibri"/>
          <w:color w:val="333333"/>
          <w:lang w:eastAsia="en-GB"/>
        </w:rPr>
        <w:t>i.e.</w:t>
      </w:r>
      <w:proofErr w:type="gramEnd"/>
      <w:r w:rsidRPr="009C553D">
        <w:rPr>
          <w:rFonts w:ascii="Calibri" w:eastAsia="Times New Roman" w:hAnsi="Calibri" w:cs="Calibri"/>
          <w:color w:val="333333"/>
          <w:lang w:eastAsia="en-GB"/>
        </w:rPr>
        <w:t xml:space="preserve"> one that includes a lag of the outcome variable (the number of food bank</w:t>
      </w:r>
      <w:r w:rsidR="00BA4601">
        <w:rPr>
          <w:rFonts w:ascii="Calibri" w:eastAsia="Times New Roman" w:hAnsi="Calibri" w:cs="Calibri"/>
          <w:color w:val="333333"/>
          <w:lang w:eastAsia="en-GB"/>
        </w:rPr>
        <w:t xml:space="preserve"> centre</w:t>
      </w:r>
      <w:r w:rsidRPr="009C553D">
        <w:rPr>
          <w:rFonts w:ascii="Calibri" w:eastAsia="Times New Roman" w:hAnsi="Calibri" w:cs="Calibri"/>
          <w:color w:val="333333"/>
          <w:lang w:eastAsia="en-GB"/>
        </w:rPr>
        <w:t>s</w:t>
      </w:r>
      <w:r w:rsidR="006F00C1">
        <w:rPr>
          <w:rFonts w:ascii="Calibri" w:eastAsia="Times New Roman" w:hAnsi="Calibri" w:cs="Calibri"/>
          <w:color w:val="333333"/>
          <w:lang w:eastAsia="en-GB"/>
        </w:rPr>
        <w:t xml:space="preserve"> in the </w:t>
      </w:r>
      <w:r w:rsidR="006F00C1" w:rsidRPr="009C553D">
        <w:rPr>
          <w:rFonts w:ascii="Calibri" w:eastAsia="Times New Roman" w:hAnsi="Calibri" w:cs="Calibri"/>
          <w:color w:val="333333"/>
          <w:lang w:eastAsia="en-GB"/>
        </w:rPr>
        <w:t>Trussell Trust</w:t>
      </w:r>
      <w:r w:rsidR="006F00C1">
        <w:rPr>
          <w:rFonts w:ascii="Calibri" w:eastAsia="Times New Roman" w:hAnsi="Calibri" w:cs="Calibri"/>
          <w:color w:val="333333"/>
          <w:lang w:eastAsia="en-GB"/>
        </w:rPr>
        <w:t xml:space="preserve"> network</w:t>
      </w:r>
      <w:r w:rsidRPr="009C553D">
        <w:rPr>
          <w:rFonts w:ascii="Calibri" w:eastAsia="Times New Roman" w:hAnsi="Calibri" w:cs="Calibri"/>
          <w:color w:val="333333"/>
          <w:lang w:eastAsia="en-GB"/>
        </w:rPr>
        <w:t xml:space="preserve">) as one of the predictors. Specifically, an Arellano-Bond approach has been employed </w:t>
      </w:r>
      <w:r w:rsidRPr="009C553D">
        <w:rPr>
          <w:rFonts w:ascii="Calibri" w:eastAsia="Times New Roman" w:hAnsi="Calibri" w:cs="Calibri"/>
          <w:color w:val="333333"/>
          <w:lang w:eastAsia="en-GB"/>
        </w:rPr>
        <w:fldChar w:fldCharType="begin"/>
      </w:r>
      <w:r w:rsidR="003F38FC">
        <w:rPr>
          <w:rFonts w:ascii="Calibri" w:eastAsia="Times New Roman" w:hAnsi="Calibri" w:cs="Calibri"/>
          <w:color w:val="333333"/>
          <w:lang w:eastAsia="en-GB"/>
        </w:rPr>
        <w:instrText xml:space="preserve"> ADDIN ZOTERO_ITEM CSL_CITATION {"citationID":"B3UdOEQT","properties":{"formattedCitation":"[1]","plainCitation":"[1]","noteIndex":0},"citationItems":[{"id":6526,"uris":["http://zotero.org/users/110026/items/VY5KM6QY"],"uri":["http://zotero.org/users/110026/items/VY5KM6QY"],"itemData":{"id":6526,"type":"article-journal","abstract":"This paper presents specification tests that are applicable after estimating a dynamic model from panel data by the generalized method of moments (GMM), and studies the practical performance of these procedures using both generated and real data. Our GMM estimator optimally exploits all the linear moment restrictions that follow from the assumption of no serial correlation in the errors, in an equation which contains individual effects, lagged dependent variables and no strictly exogenous variables. We propose a test of serial correlation based on the GMM residuals and compare this with Sargan tests of over-identifying restrictions and Hausman specification tests.","container-title":"The Review of Economic Studies","DOI":"10.2307/2297968","ISSN":"0034-6527","issue":"2","note":"publisher: [Oxford University Press, Review of Economic Studies, Ltd.]","page":"277-297","source":"JSTOR","title":"Some Tests of Specification for Panel Data: Monte Carlo Evidence and an Application to Employment Equations","title-short":"Some Tests of Specification for Panel Data","volume":"58","author":[{"family":"Arellano","given":"Manuel"},{"family":"Bond","given":"Stephen"}],"issued":{"date-parts":[["1991"]]}}}],"schema":"https://github.com/citation-style-language/schema/raw/master/csl-citation.json"} </w:instrText>
      </w:r>
      <w:r w:rsidRPr="009C553D">
        <w:rPr>
          <w:rFonts w:ascii="Calibri" w:eastAsia="Times New Roman" w:hAnsi="Calibri" w:cs="Calibri"/>
          <w:color w:val="333333"/>
          <w:lang w:eastAsia="en-GB"/>
        </w:rPr>
        <w:fldChar w:fldCharType="separate"/>
      </w:r>
      <w:r w:rsidR="003F38FC">
        <w:rPr>
          <w:rFonts w:ascii="Calibri" w:eastAsia="Calibri" w:hAnsi="Calibri" w:cs="Calibri"/>
        </w:rPr>
        <w:t>[1]</w:t>
      </w:r>
      <w:r w:rsidRPr="009C553D">
        <w:rPr>
          <w:rFonts w:ascii="Calibri" w:eastAsia="Times New Roman" w:hAnsi="Calibri" w:cs="Calibri"/>
          <w:color w:val="333333"/>
          <w:lang w:eastAsia="en-GB"/>
        </w:rPr>
        <w:fldChar w:fldCharType="end"/>
      </w:r>
      <w:r w:rsidRPr="009C553D">
        <w:rPr>
          <w:rFonts w:ascii="Calibri" w:eastAsia="Times New Roman" w:hAnsi="Calibri" w:cs="Calibri"/>
          <w:color w:val="333333"/>
          <w:lang w:eastAsia="en-GB"/>
        </w:rPr>
        <w:t>. In this approach, initially first differencing is done to remove unobserved heterogeneity and then second- and higher order lags of the dependent variable</w:t>
      </w:r>
      <w:r w:rsidRPr="009C553D">
        <w:rPr>
          <w:rFonts w:ascii="Calibri" w:eastAsia="Times New Roman" w:hAnsi="Calibri" w:cs="Calibri"/>
          <w:strike/>
          <w:color w:val="333333"/>
          <w:lang w:eastAsia="en-GB"/>
        </w:rPr>
        <w:t>s</w:t>
      </w:r>
      <w:r w:rsidRPr="009C553D">
        <w:rPr>
          <w:rFonts w:ascii="Calibri" w:eastAsia="Times New Roman" w:hAnsi="Calibri" w:cs="Calibri"/>
          <w:color w:val="333333"/>
          <w:lang w:eastAsia="en-GB"/>
        </w:rPr>
        <w:t xml:space="preserve"> are used as instruments to deal with endogeneity and the so-called Nickell bias </w:t>
      </w:r>
      <w:r w:rsidRPr="009C553D">
        <w:rPr>
          <w:rFonts w:ascii="Calibri" w:eastAsia="Times New Roman" w:hAnsi="Calibri" w:cs="Calibri"/>
          <w:color w:val="333333"/>
          <w:lang w:eastAsia="en-GB"/>
        </w:rPr>
        <w:fldChar w:fldCharType="begin"/>
      </w:r>
      <w:r w:rsidR="003F38FC">
        <w:rPr>
          <w:rFonts w:ascii="Calibri" w:eastAsia="Times New Roman" w:hAnsi="Calibri" w:cs="Calibri"/>
          <w:color w:val="333333"/>
          <w:lang w:eastAsia="en-GB"/>
        </w:rPr>
        <w:instrText xml:space="preserve"> ADDIN ZOTERO_ITEM CSL_CITATION {"citationID":"K5b8Ehz2","properties":{"formattedCitation":"[2]","plainCitation":"[2]","noteIndex":0},"citationItems":[{"id":6479,"uris":["http://zotero.org/users/110026/items/PYEPSQN9"],"uri":["http://zotero.org/users/110026/items/PYEPSQN9"],"itemData":{"id":6479,"type":"article-journal","abstract":"Does X affect Y? Answering this question is particularly difficult if reverse causality is looming. Many social scientists turn to panel data to address such questions of causal ordering. Yet even in longitudinal analyses, reverse causality threatens causal inference based on conventional panel models. Whereas the methodological literature has suggested various alternative solutions, these approaches face many criticisms, chief among them to be sensitive to the correct specification of temporal lags. Applied researchers are thus left with little guidance. Seeking to provide such guidance, we compare how different panel models perform under a range of different conditions. Our Monte Carlo simulations reveal that unlike conventional panel models, a cross-lagged panel model with fixed effects not only offers protection against bias arising from reverse causality under a wide range of conditions but also helps to circumvent the problem of misspecified temporal lags.","container-title":"Sociological Methods &amp; Research","DOI":"10.1177/0049124119882473","ISSN":"0049-1241, 1552-8294","journalAbbreviation":"Sociological Methods &amp; Research","language":"en","page":"004912411988247","source":"DOI.org (Crossref)","title":"How to Deal With Reverse Causality Using Panel Data? Recommendations for Researchers Based on a Simulation Study","title-short":"How to Deal With Reverse Causality Using Panel Data?","author":[{"family":"Leszczensky","given":"Lars"},{"family":"Wolbring","given":"Tobias"}],"issued":{"date-parts":[["2019",11,14]]}}}],"schema":"https://github.com/citation-style-language/schema/raw/master/csl-citation.json"} </w:instrText>
      </w:r>
      <w:r w:rsidRPr="009C553D">
        <w:rPr>
          <w:rFonts w:ascii="Calibri" w:eastAsia="Times New Roman" w:hAnsi="Calibri" w:cs="Calibri"/>
          <w:color w:val="333333"/>
          <w:lang w:eastAsia="en-GB"/>
        </w:rPr>
        <w:fldChar w:fldCharType="separate"/>
      </w:r>
      <w:r w:rsidR="003F38FC">
        <w:rPr>
          <w:rFonts w:ascii="Calibri" w:eastAsia="Calibri" w:hAnsi="Calibri" w:cs="Calibri"/>
        </w:rPr>
        <w:t>[2]</w:t>
      </w:r>
      <w:r w:rsidRPr="009C553D">
        <w:rPr>
          <w:rFonts w:ascii="Calibri" w:eastAsia="Times New Roman" w:hAnsi="Calibri" w:cs="Calibri"/>
          <w:color w:val="333333"/>
          <w:lang w:eastAsia="en-GB"/>
        </w:rPr>
        <w:fldChar w:fldCharType="end"/>
      </w:r>
      <w:r w:rsidRPr="009C553D">
        <w:rPr>
          <w:rFonts w:ascii="Calibri" w:eastAsia="Times New Roman" w:hAnsi="Calibri" w:cs="Calibri"/>
          <w:color w:val="333333"/>
          <w:lang w:eastAsia="en-GB"/>
        </w:rPr>
        <w:t>. Indeed, significant evidence of stationary dynamics is detected. However, coefficients on key predictors of interest (welfare policies) are very close to those in the main model, increasing our confidence in the robustness of those findings from the basic model</w:t>
      </w:r>
      <w:r w:rsidRPr="001F1AF6">
        <w:rPr>
          <w:rFonts w:ascii="Calibri" w:eastAsia="Times New Roman" w:hAnsi="Calibri" w:cs="Calibri"/>
          <w:color w:val="333333"/>
          <w:lang w:eastAsia="en-GB"/>
        </w:rPr>
        <w:t>.</w:t>
      </w:r>
    </w:p>
    <w:p w14:paraId="4991D287" w14:textId="18E8980A" w:rsidR="003A4A54" w:rsidRDefault="007236BA" w:rsidP="003A4A54">
      <w:pPr>
        <w:rPr>
          <w:i/>
          <w:iCs/>
          <w:color w:val="44546A" w:themeColor="text2"/>
        </w:rPr>
      </w:pPr>
      <w:r>
        <w:t>[scroll down to the next page]</w:t>
      </w:r>
      <w:r w:rsidR="003A4A54">
        <w:br w:type="page"/>
      </w:r>
    </w:p>
    <w:p w14:paraId="7A466DB7" w14:textId="1733956E" w:rsidR="003A4A54" w:rsidRPr="00C8093E" w:rsidRDefault="003A4A54" w:rsidP="003A4A54">
      <w:pPr>
        <w:pStyle w:val="Caption"/>
        <w:rPr>
          <w:sz w:val="22"/>
          <w:szCs w:val="22"/>
        </w:rPr>
      </w:pPr>
      <w:r w:rsidRPr="00CC42DC">
        <w:rPr>
          <w:sz w:val="22"/>
          <w:szCs w:val="22"/>
        </w:rPr>
        <w:lastRenderedPageBreak/>
        <w:t xml:space="preserve">Table </w:t>
      </w:r>
      <w:r w:rsidR="00A44F4D">
        <w:rPr>
          <w:sz w:val="22"/>
          <w:szCs w:val="22"/>
        </w:rPr>
        <w:t>A3.1</w:t>
      </w:r>
      <w:r w:rsidRPr="00CC42DC">
        <w:rPr>
          <w:sz w:val="22"/>
          <w:szCs w:val="22"/>
        </w:rPr>
        <w:t xml:space="preserve"> Results of a </w:t>
      </w:r>
      <w:r>
        <w:rPr>
          <w:sz w:val="22"/>
          <w:szCs w:val="22"/>
        </w:rPr>
        <w:t xml:space="preserve">dynamic (Arellano-Bond) </w:t>
      </w:r>
      <w:r w:rsidRPr="00CC42DC">
        <w:rPr>
          <w:sz w:val="22"/>
          <w:szCs w:val="22"/>
        </w:rPr>
        <w:t>regression model predicting food parcel uptake, 3</w:t>
      </w:r>
      <w:r w:rsidR="00050506">
        <w:rPr>
          <w:sz w:val="22"/>
          <w:szCs w:val="22"/>
        </w:rPr>
        <w:t>09</w:t>
      </w:r>
      <w:r w:rsidRPr="00CC42DC">
        <w:rPr>
          <w:sz w:val="22"/>
          <w:szCs w:val="22"/>
        </w:rPr>
        <w:t xml:space="preserve"> local authorities in England, 2011/12-2019/20</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6"/>
        <w:gridCol w:w="1656"/>
        <w:gridCol w:w="1656"/>
        <w:gridCol w:w="1656"/>
        <w:gridCol w:w="1656"/>
      </w:tblGrid>
      <w:tr w:rsidR="003A4A54" w:rsidRPr="00125441" w14:paraId="628CDB19" w14:textId="77777777" w:rsidTr="007E77D5">
        <w:tc>
          <w:tcPr>
            <w:tcW w:w="2616" w:type="dxa"/>
          </w:tcPr>
          <w:p w14:paraId="7AEBFC2A" w14:textId="77777777" w:rsidR="003A4A54" w:rsidRPr="00125441" w:rsidRDefault="003A4A54" w:rsidP="007E77D5">
            <w:pPr>
              <w:rPr>
                <w:rFonts w:cstheme="minorHAnsi"/>
                <w:sz w:val="20"/>
                <w:szCs w:val="20"/>
                <w:lang w:val="en-US"/>
              </w:rPr>
            </w:pPr>
          </w:p>
        </w:tc>
        <w:tc>
          <w:tcPr>
            <w:tcW w:w="1656" w:type="dxa"/>
          </w:tcPr>
          <w:p w14:paraId="4A35CCAC" w14:textId="77777777" w:rsidR="003A4A54" w:rsidRPr="00125441" w:rsidRDefault="003A4A54" w:rsidP="007E77D5">
            <w:pPr>
              <w:rPr>
                <w:rFonts w:cstheme="minorHAnsi"/>
                <w:sz w:val="20"/>
                <w:szCs w:val="20"/>
                <w:lang w:val="en-US"/>
              </w:rPr>
            </w:pPr>
            <w:r w:rsidRPr="00125441">
              <w:rPr>
                <w:rFonts w:cstheme="minorHAnsi"/>
                <w:sz w:val="20"/>
                <w:szCs w:val="20"/>
                <w:lang w:val="en-US"/>
              </w:rPr>
              <w:t>Coef.</w:t>
            </w:r>
          </w:p>
        </w:tc>
        <w:tc>
          <w:tcPr>
            <w:tcW w:w="1656" w:type="dxa"/>
          </w:tcPr>
          <w:p w14:paraId="0CF9AE3E" w14:textId="77777777" w:rsidR="003A4A54" w:rsidRPr="00125441" w:rsidRDefault="003A4A54" w:rsidP="007E77D5">
            <w:pPr>
              <w:rPr>
                <w:rFonts w:cstheme="minorHAnsi"/>
                <w:sz w:val="20"/>
                <w:szCs w:val="20"/>
                <w:lang w:val="en-US"/>
              </w:rPr>
            </w:pPr>
            <w:r w:rsidRPr="00125441">
              <w:rPr>
                <w:rFonts w:cstheme="minorHAnsi"/>
                <w:sz w:val="20"/>
                <w:szCs w:val="20"/>
                <w:lang w:val="en-US"/>
              </w:rPr>
              <w:t>Robust Std. Err.</w:t>
            </w:r>
          </w:p>
        </w:tc>
        <w:tc>
          <w:tcPr>
            <w:tcW w:w="1656" w:type="dxa"/>
          </w:tcPr>
          <w:p w14:paraId="619E2623" w14:textId="77777777" w:rsidR="003A4A54" w:rsidRPr="00125441" w:rsidRDefault="003A4A54" w:rsidP="007E77D5">
            <w:pPr>
              <w:rPr>
                <w:rFonts w:cstheme="minorHAnsi"/>
                <w:sz w:val="20"/>
                <w:szCs w:val="20"/>
                <w:lang w:val="en-US"/>
              </w:rPr>
            </w:pPr>
            <w:r w:rsidRPr="00125441">
              <w:rPr>
                <w:rFonts w:cstheme="minorHAnsi"/>
                <w:sz w:val="20"/>
                <w:szCs w:val="20"/>
                <w:lang w:val="en-US"/>
              </w:rPr>
              <w:t>Significance (p-value)</w:t>
            </w:r>
          </w:p>
        </w:tc>
        <w:tc>
          <w:tcPr>
            <w:tcW w:w="1656" w:type="dxa"/>
          </w:tcPr>
          <w:p w14:paraId="0B29ED9A" w14:textId="77777777" w:rsidR="003A4A54" w:rsidRPr="00125441" w:rsidRDefault="003A4A54" w:rsidP="007E77D5">
            <w:pPr>
              <w:rPr>
                <w:rFonts w:cstheme="minorHAnsi"/>
                <w:sz w:val="20"/>
                <w:szCs w:val="20"/>
                <w:lang w:val="en-US"/>
              </w:rPr>
            </w:pPr>
            <w:r w:rsidRPr="00125441">
              <w:rPr>
                <w:rFonts w:cstheme="minorHAnsi"/>
                <w:sz w:val="20"/>
                <w:szCs w:val="20"/>
                <w:lang w:val="en-US"/>
              </w:rPr>
              <w:t>95% Conf. Interval</w:t>
            </w:r>
          </w:p>
        </w:tc>
      </w:tr>
      <w:tr w:rsidR="003A4A54" w:rsidRPr="00125441" w14:paraId="474767D3" w14:textId="77777777" w:rsidTr="007E77D5">
        <w:tc>
          <w:tcPr>
            <w:tcW w:w="2616" w:type="dxa"/>
          </w:tcPr>
          <w:p w14:paraId="50BE4A16" w14:textId="7F3A09C8" w:rsidR="003A4A54" w:rsidRPr="00C8093E" w:rsidRDefault="003A4A54" w:rsidP="007E77D5">
            <w:pPr>
              <w:rPr>
                <w:rFonts w:cstheme="minorHAnsi"/>
                <w:sz w:val="20"/>
                <w:szCs w:val="20"/>
                <w:lang w:val="en-US"/>
              </w:rPr>
            </w:pPr>
            <w:r w:rsidRPr="00C8093E">
              <w:rPr>
                <w:rFonts w:cstheme="minorHAnsi"/>
                <w:sz w:val="20"/>
                <w:szCs w:val="20"/>
                <w:lang w:val="en-US"/>
              </w:rPr>
              <w:t xml:space="preserve">First lag of the </w:t>
            </w:r>
            <w:r w:rsidR="00B63DC3">
              <w:rPr>
                <w:rFonts w:cstheme="minorHAnsi"/>
                <w:sz w:val="20"/>
                <w:szCs w:val="20"/>
                <w:lang w:val="en-US"/>
              </w:rPr>
              <w:t>n</w:t>
            </w:r>
            <w:r w:rsidRPr="00C8093E">
              <w:rPr>
                <w:rFonts w:cstheme="minorHAnsi"/>
                <w:sz w:val="20"/>
                <w:szCs w:val="20"/>
                <w:lang w:val="en-US"/>
              </w:rPr>
              <w:t>umber of Trussell Trust food parcels per 1,000 WA population</w:t>
            </w:r>
          </w:p>
        </w:tc>
        <w:tc>
          <w:tcPr>
            <w:tcW w:w="1656" w:type="dxa"/>
            <w:vAlign w:val="center"/>
          </w:tcPr>
          <w:p w14:paraId="2F2D1F6F" w14:textId="77777777" w:rsidR="003A4A54" w:rsidRPr="00C8093E" w:rsidRDefault="003A4A54" w:rsidP="007E77D5">
            <w:pPr>
              <w:jc w:val="center"/>
              <w:rPr>
                <w:rFonts w:cstheme="minorHAnsi"/>
                <w:sz w:val="20"/>
                <w:szCs w:val="20"/>
              </w:rPr>
            </w:pPr>
            <w:r>
              <w:rPr>
                <w:color w:val="000000"/>
                <w:lang w:val="en-US"/>
              </w:rPr>
              <w:t>0.41</w:t>
            </w:r>
          </w:p>
        </w:tc>
        <w:tc>
          <w:tcPr>
            <w:tcW w:w="1656" w:type="dxa"/>
            <w:vAlign w:val="center"/>
          </w:tcPr>
          <w:p w14:paraId="711BBF4F" w14:textId="77777777" w:rsidR="003A4A54" w:rsidRPr="00C8093E" w:rsidRDefault="003A4A54" w:rsidP="007E77D5">
            <w:pPr>
              <w:jc w:val="center"/>
              <w:rPr>
                <w:rFonts w:cstheme="minorHAnsi"/>
                <w:sz w:val="20"/>
                <w:szCs w:val="20"/>
              </w:rPr>
            </w:pPr>
            <w:r>
              <w:rPr>
                <w:color w:val="000000"/>
                <w:lang w:val="en-US"/>
              </w:rPr>
              <w:t>0.04</w:t>
            </w:r>
          </w:p>
        </w:tc>
        <w:tc>
          <w:tcPr>
            <w:tcW w:w="1656" w:type="dxa"/>
            <w:vAlign w:val="center"/>
          </w:tcPr>
          <w:p w14:paraId="50873FAC" w14:textId="77777777" w:rsidR="003A4A54" w:rsidRPr="00C8093E" w:rsidRDefault="003A4A54" w:rsidP="007E77D5">
            <w:pPr>
              <w:jc w:val="center"/>
              <w:rPr>
                <w:rFonts w:cstheme="minorHAnsi"/>
                <w:sz w:val="20"/>
                <w:szCs w:val="20"/>
              </w:rPr>
            </w:pPr>
            <w:r>
              <w:rPr>
                <w:color w:val="000000"/>
                <w:lang w:val="en-US"/>
              </w:rPr>
              <w:t>0.000</w:t>
            </w:r>
          </w:p>
        </w:tc>
        <w:tc>
          <w:tcPr>
            <w:tcW w:w="1656" w:type="dxa"/>
            <w:vAlign w:val="center"/>
          </w:tcPr>
          <w:p w14:paraId="6FA27AA1" w14:textId="77777777" w:rsidR="003A4A54" w:rsidRPr="00C8093E" w:rsidRDefault="003A4A54" w:rsidP="007E77D5">
            <w:pPr>
              <w:jc w:val="center"/>
              <w:rPr>
                <w:rFonts w:cstheme="minorHAnsi"/>
                <w:sz w:val="20"/>
                <w:szCs w:val="20"/>
              </w:rPr>
            </w:pPr>
            <w:r>
              <w:rPr>
                <w:color w:val="000000"/>
                <w:lang w:val="en-US"/>
              </w:rPr>
              <w:t>0.33,0.49</w:t>
            </w:r>
          </w:p>
        </w:tc>
      </w:tr>
      <w:tr w:rsidR="003A4A54" w:rsidRPr="00125441" w14:paraId="2AFDBAF3" w14:textId="77777777" w:rsidTr="007E77D5">
        <w:tc>
          <w:tcPr>
            <w:tcW w:w="2616" w:type="dxa"/>
          </w:tcPr>
          <w:p w14:paraId="1966F4E1" w14:textId="71BD090F" w:rsidR="003A4A54" w:rsidRPr="00C8093E" w:rsidRDefault="003A4A54" w:rsidP="007E77D5">
            <w:pPr>
              <w:rPr>
                <w:rFonts w:cstheme="minorHAnsi"/>
                <w:sz w:val="20"/>
                <w:szCs w:val="20"/>
                <w:lang w:val="en-US"/>
              </w:rPr>
            </w:pPr>
            <w:r w:rsidRPr="00C8093E">
              <w:rPr>
                <w:rFonts w:cstheme="minorHAnsi"/>
                <w:sz w:val="20"/>
                <w:szCs w:val="20"/>
                <w:lang w:val="en-US"/>
              </w:rPr>
              <w:t>Number of the Trussell Trust food bank</w:t>
            </w:r>
            <w:r w:rsidR="001C737A">
              <w:rPr>
                <w:rFonts w:cstheme="minorHAnsi"/>
                <w:sz w:val="20"/>
                <w:szCs w:val="20"/>
                <w:lang w:val="en-US"/>
              </w:rPr>
              <w:t xml:space="preserve"> centre</w:t>
            </w:r>
            <w:r w:rsidRPr="00C8093E">
              <w:rPr>
                <w:rFonts w:cstheme="minorHAnsi"/>
                <w:sz w:val="20"/>
                <w:szCs w:val="20"/>
                <w:lang w:val="en-US"/>
              </w:rPr>
              <w:t>s per 1,000 WA* population</w:t>
            </w:r>
          </w:p>
        </w:tc>
        <w:tc>
          <w:tcPr>
            <w:tcW w:w="1656" w:type="dxa"/>
            <w:vAlign w:val="center"/>
          </w:tcPr>
          <w:p w14:paraId="1DCD0C72" w14:textId="77777777" w:rsidR="003A4A54" w:rsidRPr="00C8093E" w:rsidRDefault="003A4A54" w:rsidP="007E77D5">
            <w:pPr>
              <w:jc w:val="center"/>
              <w:rPr>
                <w:rFonts w:cstheme="minorHAnsi"/>
                <w:sz w:val="20"/>
                <w:szCs w:val="20"/>
                <w:lang w:val="en-US"/>
              </w:rPr>
            </w:pPr>
            <w:r>
              <w:rPr>
                <w:color w:val="000000"/>
                <w:lang w:val="en-US"/>
              </w:rPr>
              <w:t>103.98</w:t>
            </w:r>
          </w:p>
        </w:tc>
        <w:tc>
          <w:tcPr>
            <w:tcW w:w="1656" w:type="dxa"/>
            <w:vAlign w:val="center"/>
          </w:tcPr>
          <w:p w14:paraId="5E632770" w14:textId="77777777" w:rsidR="003A4A54" w:rsidRPr="00C8093E" w:rsidRDefault="003A4A54" w:rsidP="007E77D5">
            <w:pPr>
              <w:jc w:val="center"/>
              <w:rPr>
                <w:rFonts w:cstheme="minorHAnsi"/>
                <w:sz w:val="20"/>
                <w:szCs w:val="20"/>
                <w:lang w:val="en-US"/>
              </w:rPr>
            </w:pPr>
            <w:r>
              <w:rPr>
                <w:color w:val="000000"/>
                <w:lang w:val="en-US"/>
              </w:rPr>
              <w:t>52.76</w:t>
            </w:r>
          </w:p>
        </w:tc>
        <w:tc>
          <w:tcPr>
            <w:tcW w:w="1656" w:type="dxa"/>
            <w:vAlign w:val="center"/>
          </w:tcPr>
          <w:p w14:paraId="1CECCC1B" w14:textId="77777777" w:rsidR="003A4A54" w:rsidRPr="00C8093E" w:rsidRDefault="003A4A54" w:rsidP="007E77D5">
            <w:pPr>
              <w:jc w:val="center"/>
              <w:rPr>
                <w:rFonts w:cstheme="minorHAnsi"/>
                <w:sz w:val="20"/>
                <w:szCs w:val="20"/>
                <w:lang w:val="en-US"/>
              </w:rPr>
            </w:pPr>
            <w:r>
              <w:rPr>
                <w:color w:val="000000"/>
                <w:lang w:val="en-US"/>
              </w:rPr>
              <w:t>0.049</w:t>
            </w:r>
          </w:p>
        </w:tc>
        <w:tc>
          <w:tcPr>
            <w:tcW w:w="1656" w:type="dxa"/>
            <w:vAlign w:val="center"/>
          </w:tcPr>
          <w:p w14:paraId="435EE82C" w14:textId="77777777" w:rsidR="003A4A54" w:rsidRPr="00C8093E" w:rsidRDefault="003A4A54" w:rsidP="007E77D5">
            <w:pPr>
              <w:jc w:val="center"/>
              <w:rPr>
                <w:rFonts w:cstheme="minorHAnsi"/>
                <w:sz w:val="20"/>
                <w:szCs w:val="20"/>
                <w:lang w:val="en-US"/>
              </w:rPr>
            </w:pPr>
            <w:r>
              <w:rPr>
                <w:color w:val="000000"/>
                <w:lang w:val="en-US"/>
              </w:rPr>
              <w:t>0.56,207.39</w:t>
            </w:r>
          </w:p>
        </w:tc>
      </w:tr>
      <w:tr w:rsidR="003A4A54" w:rsidRPr="00125441" w14:paraId="6A6BE02A" w14:textId="77777777" w:rsidTr="007E77D5">
        <w:tc>
          <w:tcPr>
            <w:tcW w:w="2616" w:type="dxa"/>
          </w:tcPr>
          <w:p w14:paraId="62F9C362" w14:textId="77777777" w:rsidR="003A4A54" w:rsidRPr="00C8093E" w:rsidRDefault="003A4A54" w:rsidP="007E77D5">
            <w:pPr>
              <w:rPr>
                <w:rFonts w:cstheme="minorHAnsi"/>
                <w:sz w:val="20"/>
                <w:szCs w:val="20"/>
                <w:lang w:val="en-US"/>
              </w:rPr>
            </w:pPr>
            <w:r w:rsidRPr="00C8093E">
              <w:rPr>
                <w:rFonts w:cstheme="minorHAnsi"/>
                <w:sz w:val="20"/>
                <w:szCs w:val="20"/>
                <w:lang w:val="en-US"/>
              </w:rPr>
              <w:t>Real value of main income replacement benefit**</w:t>
            </w:r>
          </w:p>
        </w:tc>
        <w:tc>
          <w:tcPr>
            <w:tcW w:w="1656" w:type="dxa"/>
            <w:vAlign w:val="center"/>
          </w:tcPr>
          <w:p w14:paraId="22C96EE7" w14:textId="77777777" w:rsidR="003A4A54" w:rsidRPr="00C8093E" w:rsidRDefault="003A4A54" w:rsidP="007E77D5">
            <w:pPr>
              <w:jc w:val="center"/>
              <w:rPr>
                <w:rFonts w:cstheme="minorHAnsi"/>
                <w:sz w:val="20"/>
                <w:szCs w:val="20"/>
                <w:lang w:val="en-US"/>
              </w:rPr>
            </w:pPr>
            <w:r>
              <w:rPr>
                <w:color w:val="000000"/>
                <w:lang w:val="en-US"/>
              </w:rPr>
              <w:t>-0.86</w:t>
            </w:r>
          </w:p>
        </w:tc>
        <w:tc>
          <w:tcPr>
            <w:tcW w:w="1656" w:type="dxa"/>
            <w:vAlign w:val="center"/>
          </w:tcPr>
          <w:p w14:paraId="24B067C4" w14:textId="77777777" w:rsidR="003A4A54" w:rsidRPr="00C8093E" w:rsidRDefault="003A4A54" w:rsidP="007E77D5">
            <w:pPr>
              <w:jc w:val="center"/>
              <w:rPr>
                <w:rFonts w:cstheme="minorHAnsi"/>
                <w:sz w:val="20"/>
                <w:szCs w:val="20"/>
                <w:lang w:val="en-US"/>
              </w:rPr>
            </w:pPr>
            <w:r>
              <w:rPr>
                <w:color w:val="000000"/>
                <w:lang w:val="en-US"/>
              </w:rPr>
              <w:t>0.54</w:t>
            </w:r>
          </w:p>
        </w:tc>
        <w:tc>
          <w:tcPr>
            <w:tcW w:w="1656" w:type="dxa"/>
            <w:vAlign w:val="center"/>
          </w:tcPr>
          <w:p w14:paraId="1E89877F" w14:textId="77777777" w:rsidR="003A4A54" w:rsidRPr="00C8093E" w:rsidRDefault="003A4A54" w:rsidP="007E77D5">
            <w:pPr>
              <w:jc w:val="center"/>
              <w:rPr>
                <w:rFonts w:cstheme="minorHAnsi"/>
                <w:sz w:val="20"/>
                <w:szCs w:val="20"/>
                <w:lang w:val="en-US"/>
              </w:rPr>
            </w:pPr>
            <w:r>
              <w:rPr>
                <w:color w:val="000000"/>
                <w:lang w:val="en-US"/>
              </w:rPr>
              <w:t>0.109</w:t>
            </w:r>
          </w:p>
        </w:tc>
        <w:tc>
          <w:tcPr>
            <w:tcW w:w="1656" w:type="dxa"/>
            <w:vAlign w:val="center"/>
          </w:tcPr>
          <w:p w14:paraId="1D1FDCF2" w14:textId="77777777" w:rsidR="003A4A54" w:rsidRPr="00C8093E" w:rsidRDefault="003A4A54" w:rsidP="007E77D5">
            <w:pPr>
              <w:jc w:val="center"/>
              <w:rPr>
                <w:rFonts w:cstheme="minorHAnsi"/>
                <w:sz w:val="20"/>
                <w:szCs w:val="20"/>
                <w:lang w:val="en-US"/>
              </w:rPr>
            </w:pPr>
            <w:r>
              <w:rPr>
                <w:color w:val="000000"/>
                <w:lang w:val="en-US"/>
              </w:rPr>
              <w:t>-1.92,0.19</w:t>
            </w:r>
          </w:p>
        </w:tc>
      </w:tr>
      <w:tr w:rsidR="003A4A54" w:rsidRPr="00125441" w14:paraId="5F95365E" w14:textId="77777777" w:rsidTr="007E77D5">
        <w:tc>
          <w:tcPr>
            <w:tcW w:w="2616" w:type="dxa"/>
          </w:tcPr>
          <w:p w14:paraId="4783AA90" w14:textId="77777777" w:rsidR="003A4A54" w:rsidRPr="00C8093E" w:rsidRDefault="003A4A54" w:rsidP="007E77D5">
            <w:pPr>
              <w:rPr>
                <w:rFonts w:cstheme="minorHAnsi"/>
                <w:sz w:val="20"/>
                <w:szCs w:val="20"/>
                <w:lang w:val="en-US"/>
              </w:rPr>
            </w:pPr>
            <w:r w:rsidRPr="00C8093E">
              <w:rPr>
                <w:rFonts w:cstheme="minorHAnsi"/>
                <w:sz w:val="20"/>
                <w:szCs w:val="20"/>
                <w:lang w:val="en-US"/>
              </w:rPr>
              <w:t>Percent of WA population on out-of-work benefits</w:t>
            </w:r>
          </w:p>
        </w:tc>
        <w:tc>
          <w:tcPr>
            <w:tcW w:w="1656" w:type="dxa"/>
            <w:vAlign w:val="center"/>
          </w:tcPr>
          <w:p w14:paraId="21332118" w14:textId="77777777" w:rsidR="003A4A54" w:rsidRPr="00D308A8" w:rsidRDefault="003A4A54" w:rsidP="007E77D5">
            <w:pPr>
              <w:jc w:val="center"/>
              <w:rPr>
                <w:rFonts w:cstheme="minorHAnsi"/>
                <w:sz w:val="20"/>
                <w:szCs w:val="20"/>
                <w:highlight w:val="yellow"/>
                <w:lang w:val="en-US"/>
              </w:rPr>
            </w:pPr>
            <w:r>
              <w:rPr>
                <w:color w:val="000000"/>
                <w:lang w:val="en-US"/>
              </w:rPr>
              <w:t>4.78</w:t>
            </w:r>
          </w:p>
        </w:tc>
        <w:tc>
          <w:tcPr>
            <w:tcW w:w="1656" w:type="dxa"/>
            <w:vAlign w:val="center"/>
          </w:tcPr>
          <w:p w14:paraId="418953D6" w14:textId="77777777" w:rsidR="003A4A54" w:rsidRPr="00C8093E" w:rsidRDefault="003A4A54" w:rsidP="007E77D5">
            <w:pPr>
              <w:jc w:val="center"/>
              <w:rPr>
                <w:rFonts w:cstheme="minorHAnsi"/>
                <w:sz w:val="20"/>
                <w:szCs w:val="20"/>
                <w:lang w:val="en-US"/>
              </w:rPr>
            </w:pPr>
            <w:r>
              <w:rPr>
                <w:color w:val="000000"/>
                <w:lang w:val="en-US"/>
              </w:rPr>
              <w:t>5.58</w:t>
            </w:r>
          </w:p>
        </w:tc>
        <w:tc>
          <w:tcPr>
            <w:tcW w:w="1656" w:type="dxa"/>
            <w:vAlign w:val="center"/>
          </w:tcPr>
          <w:p w14:paraId="4C620279" w14:textId="77777777" w:rsidR="003A4A54" w:rsidRPr="00D308A8" w:rsidRDefault="003A4A54" w:rsidP="007E77D5">
            <w:pPr>
              <w:jc w:val="center"/>
              <w:rPr>
                <w:rFonts w:cstheme="minorHAnsi"/>
                <w:sz w:val="20"/>
                <w:szCs w:val="20"/>
                <w:highlight w:val="yellow"/>
                <w:lang w:val="en-US"/>
              </w:rPr>
            </w:pPr>
            <w:r>
              <w:rPr>
                <w:color w:val="000000"/>
                <w:lang w:val="en-US"/>
              </w:rPr>
              <w:t>0.391</w:t>
            </w:r>
          </w:p>
        </w:tc>
        <w:tc>
          <w:tcPr>
            <w:tcW w:w="1656" w:type="dxa"/>
            <w:vAlign w:val="center"/>
          </w:tcPr>
          <w:p w14:paraId="6705AB9B" w14:textId="77777777" w:rsidR="003A4A54" w:rsidRPr="00C8093E" w:rsidRDefault="003A4A54" w:rsidP="007E77D5">
            <w:pPr>
              <w:jc w:val="center"/>
              <w:rPr>
                <w:rFonts w:cstheme="minorHAnsi"/>
                <w:sz w:val="20"/>
                <w:szCs w:val="20"/>
                <w:lang w:val="en-US"/>
              </w:rPr>
            </w:pPr>
            <w:r>
              <w:rPr>
                <w:color w:val="000000"/>
                <w:lang w:val="en-US"/>
              </w:rPr>
              <w:t>-6.16,15.73</w:t>
            </w:r>
          </w:p>
        </w:tc>
      </w:tr>
      <w:tr w:rsidR="003A4A54" w:rsidRPr="00125441" w14:paraId="3074977D" w14:textId="77777777" w:rsidTr="007E77D5">
        <w:tc>
          <w:tcPr>
            <w:tcW w:w="2616" w:type="dxa"/>
          </w:tcPr>
          <w:p w14:paraId="7A53A4EA" w14:textId="77777777" w:rsidR="003A4A54" w:rsidRPr="00C8093E" w:rsidRDefault="003A4A54" w:rsidP="007E77D5">
            <w:pPr>
              <w:rPr>
                <w:rFonts w:cstheme="minorHAnsi"/>
                <w:sz w:val="20"/>
                <w:szCs w:val="20"/>
                <w:lang w:val="en-US"/>
              </w:rPr>
            </w:pPr>
            <w:r w:rsidRPr="0002583A">
              <w:rPr>
                <w:rFonts w:cstheme="minorHAnsi"/>
                <w:sz w:val="20"/>
                <w:szCs w:val="20"/>
                <w:lang w:val="en-US"/>
              </w:rPr>
              <w:t>Interaction of the two preceding variables</w:t>
            </w:r>
          </w:p>
        </w:tc>
        <w:tc>
          <w:tcPr>
            <w:tcW w:w="1656" w:type="dxa"/>
            <w:vAlign w:val="center"/>
          </w:tcPr>
          <w:p w14:paraId="75EA8D01" w14:textId="77777777" w:rsidR="003A4A54" w:rsidRPr="0002583A" w:rsidRDefault="003A4A54" w:rsidP="007E77D5">
            <w:pPr>
              <w:jc w:val="center"/>
              <w:rPr>
                <w:rFonts w:cstheme="minorHAnsi"/>
                <w:sz w:val="20"/>
                <w:szCs w:val="20"/>
                <w:highlight w:val="yellow"/>
              </w:rPr>
            </w:pPr>
            <w:r>
              <w:rPr>
                <w:color w:val="000000"/>
                <w:lang w:val="en-US"/>
              </w:rPr>
              <w:t>-0.08</w:t>
            </w:r>
          </w:p>
        </w:tc>
        <w:tc>
          <w:tcPr>
            <w:tcW w:w="1656" w:type="dxa"/>
            <w:vAlign w:val="center"/>
          </w:tcPr>
          <w:p w14:paraId="42306410" w14:textId="77777777" w:rsidR="003A4A54" w:rsidRPr="00C8093E" w:rsidRDefault="003A4A54" w:rsidP="007E77D5">
            <w:pPr>
              <w:jc w:val="center"/>
              <w:rPr>
                <w:rFonts w:cstheme="minorHAnsi"/>
                <w:sz w:val="20"/>
                <w:szCs w:val="20"/>
              </w:rPr>
            </w:pPr>
            <w:r>
              <w:rPr>
                <w:color w:val="000000"/>
                <w:lang w:val="en-US"/>
              </w:rPr>
              <w:t>0.07</w:t>
            </w:r>
          </w:p>
        </w:tc>
        <w:tc>
          <w:tcPr>
            <w:tcW w:w="1656" w:type="dxa"/>
            <w:vAlign w:val="center"/>
          </w:tcPr>
          <w:p w14:paraId="557B87A9" w14:textId="77777777" w:rsidR="003A4A54" w:rsidRPr="0002583A" w:rsidRDefault="003A4A54" w:rsidP="007E77D5">
            <w:pPr>
              <w:jc w:val="center"/>
              <w:rPr>
                <w:rFonts w:cstheme="minorHAnsi"/>
                <w:sz w:val="20"/>
                <w:szCs w:val="20"/>
                <w:highlight w:val="yellow"/>
              </w:rPr>
            </w:pPr>
            <w:r>
              <w:rPr>
                <w:color w:val="000000"/>
                <w:lang w:val="en-US"/>
              </w:rPr>
              <w:t>0.283</w:t>
            </w:r>
          </w:p>
        </w:tc>
        <w:tc>
          <w:tcPr>
            <w:tcW w:w="1656" w:type="dxa"/>
            <w:vAlign w:val="center"/>
          </w:tcPr>
          <w:p w14:paraId="7F105407" w14:textId="77777777" w:rsidR="003A4A54" w:rsidRPr="00C8093E" w:rsidRDefault="003A4A54" w:rsidP="007E77D5">
            <w:pPr>
              <w:jc w:val="center"/>
              <w:rPr>
                <w:rFonts w:cstheme="minorHAnsi"/>
                <w:sz w:val="20"/>
                <w:szCs w:val="20"/>
              </w:rPr>
            </w:pPr>
            <w:r>
              <w:rPr>
                <w:color w:val="000000"/>
                <w:lang w:val="en-US"/>
              </w:rPr>
              <w:t>-0.22,0.06</w:t>
            </w:r>
          </w:p>
        </w:tc>
      </w:tr>
      <w:tr w:rsidR="003A4A54" w:rsidRPr="00125441" w14:paraId="0003959A" w14:textId="77777777" w:rsidTr="007E77D5">
        <w:tc>
          <w:tcPr>
            <w:tcW w:w="2616" w:type="dxa"/>
          </w:tcPr>
          <w:p w14:paraId="03E47580" w14:textId="77777777" w:rsidR="003A4A54" w:rsidRPr="00C8093E" w:rsidRDefault="003A4A54" w:rsidP="007E77D5">
            <w:pPr>
              <w:rPr>
                <w:rFonts w:cstheme="minorHAnsi"/>
                <w:sz w:val="20"/>
                <w:szCs w:val="20"/>
                <w:lang w:val="en-US"/>
              </w:rPr>
            </w:pPr>
            <w:r w:rsidRPr="00C8093E">
              <w:rPr>
                <w:rFonts w:cstheme="minorHAnsi"/>
                <w:sz w:val="20"/>
                <w:szCs w:val="20"/>
                <w:lang w:val="en-US"/>
              </w:rPr>
              <w:t>Percent of WA population who are unemployed</w:t>
            </w:r>
          </w:p>
        </w:tc>
        <w:tc>
          <w:tcPr>
            <w:tcW w:w="1656" w:type="dxa"/>
            <w:vAlign w:val="center"/>
          </w:tcPr>
          <w:p w14:paraId="6E7C4FDE" w14:textId="77777777" w:rsidR="003A4A54" w:rsidRPr="00D308A8" w:rsidRDefault="003A4A54" w:rsidP="007E77D5">
            <w:pPr>
              <w:jc w:val="center"/>
              <w:rPr>
                <w:rFonts w:cstheme="minorHAnsi"/>
                <w:sz w:val="20"/>
                <w:szCs w:val="20"/>
                <w:highlight w:val="yellow"/>
                <w:lang w:val="en-US"/>
              </w:rPr>
            </w:pPr>
            <w:r>
              <w:rPr>
                <w:color w:val="000000"/>
                <w:lang w:val="en-US"/>
              </w:rPr>
              <w:t>-0.22</w:t>
            </w:r>
          </w:p>
        </w:tc>
        <w:tc>
          <w:tcPr>
            <w:tcW w:w="1656" w:type="dxa"/>
            <w:vAlign w:val="center"/>
          </w:tcPr>
          <w:p w14:paraId="3210E379" w14:textId="77777777" w:rsidR="003A4A54" w:rsidRPr="00C8093E" w:rsidRDefault="003A4A54" w:rsidP="007E77D5">
            <w:pPr>
              <w:jc w:val="center"/>
              <w:rPr>
                <w:rFonts w:cstheme="minorHAnsi"/>
                <w:sz w:val="20"/>
                <w:szCs w:val="20"/>
                <w:lang w:val="en-US"/>
              </w:rPr>
            </w:pPr>
            <w:r>
              <w:rPr>
                <w:color w:val="000000"/>
                <w:lang w:val="en-US"/>
              </w:rPr>
              <w:t>0.88</w:t>
            </w:r>
          </w:p>
        </w:tc>
        <w:tc>
          <w:tcPr>
            <w:tcW w:w="1656" w:type="dxa"/>
            <w:vAlign w:val="center"/>
          </w:tcPr>
          <w:p w14:paraId="4CF35B1E" w14:textId="77777777" w:rsidR="003A4A54" w:rsidRPr="00D308A8" w:rsidRDefault="003A4A54" w:rsidP="007E77D5">
            <w:pPr>
              <w:jc w:val="center"/>
              <w:rPr>
                <w:rFonts w:cstheme="minorHAnsi"/>
                <w:sz w:val="20"/>
                <w:szCs w:val="20"/>
                <w:highlight w:val="yellow"/>
                <w:lang w:val="en-US"/>
              </w:rPr>
            </w:pPr>
            <w:r>
              <w:rPr>
                <w:color w:val="000000"/>
                <w:lang w:val="en-US"/>
              </w:rPr>
              <w:t>0.804</w:t>
            </w:r>
          </w:p>
        </w:tc>
        <w:tc>
          <w:tcPr>
            <w:tcW w:w="1656" w:type="dxa"/>
            <w:vAlign w:val="center"/>
          </w:tcPr>
          <w:p w14:paraId="2EFB76A6" w14:textId="77777777" w:rsidR="003A4A54" w:rsidRPr="00C8093E" w:rsidRDefault="003A4A54" w:rsidP="007E77D5">
            <w:pPr>
              <w:jc w:val="center"/>
              <w:rPr>
                <w:rFonts w:cstheme="minorHAnsi"/>
                <w:sz w:val="20"/>
                <w:szCs w:val="20"/>
                <w:lang w:val="en-US"/>
              </w:rPr>
            </w:pPr>
            <w:r>
              <w:rPr>
                <w:color w:val="000000"/>
                <w:lang w:val="en-US"/>
              </w:rPr>
              <w:t>-1.94,1.50</w:t>
            </w:r>
          </w:p>
        </w:tc>
      </w:tr>
      <w:tr w:rsidR="003A4A54" w:rsidRPr="00125441" w14:paraId="66C0CC15" w14:textId="77777777" w:rsidTr="007E77D5">
        <w:tc>
          <w:tcPr>
            <w:tcW w:w="2616" w:type="dxa"/>
          </w:tcPr>
          <w:p w14:paraId="248ED983" w14:textId="77777777" w:rsidR="003A4A54" w:rsidRPr="00C8093E" w:rsidRDefault="003A4A54" w:rsidP="007E77D5">
            <w:pPr>
              <w:rPr>
                <w:rFonts w:cstheme="minorHAnsi"/>
                <w:sz w:val="20"/>
                <w:szCs w:val="20"/>
                <w:lang w:val="en-US"/>
              </w:rPr>
            </w:pPr>
            <w:r w:rsidRPr="00C8093E">
              <w:rPr>
                <w:rFonts w:cstheme="minorHAnsi"/>
                <w:sz w:val="20"/>
                <w:szCs w:val="20"/>
                <w:lang w:val="en-US"/>
              </w:rPr>
              <w:t>Percent of claimants of WA benefits who are on UC</w:t>
            </w:r>
          </w:p>
        </w:tc>
        <w:tc>
          <w:tcPr>
            <w:tcW w:w="1656" w:type="dxa"/>
            <w:vAlign w:val="center"/>
          </w:tcPr>
          <w:p w14:paraId="173B42A5" w14:textId="77777777" w:rsidR="003A4A54" w:rsidRPr="00C8093E" w:rsidRDefault="003A4A54" w:rsidP="007E77D5">
            <w:pPr>
              <w:jc w:val="center"/>
              <w:rPr>
                <w:rFonts w:cstheme="minorHAnsi"/>
                <w:sz w:val="20"/>
                <w:szCs w:val="20"/>
                <w:lang w:val="en-US"/>
              </w:rPr>
            </w:pPr>
            <w:r>
              <w:rPr>
                <w:color w:val="000000"/>
                <w:lang w:val="en-US"/>
              </w:rPr>
              <w:t>0.29</w:t>
            </w:r>
          </w:p>
        </w:tc>
        <w:tc>
          <w:tcPr>
            <w:tcW w:w="1656" w:type="dxa"/>
            <w:vAlign w:val="center"/>
          </w:tcPr>
          <w:p w14:paraId="57788340" w14:textId="77777777" w:rsidR="003A4A54" w:rsidRPr="00C8093E" w:rsidRDefault="003A4A54" w:rsidP="007E77D5">
            <w:pPr>
              <w:jc w:val="center"/>
              <w:rPr>
                <w:rFonts w:cstheme="minorHAnsi"/>
                <w:sz w:val="20"/>
                <w:szCs w:val="20"/>
                <w:lang w:val="en-US"/>
              </w:rPr>
            </w:pPr>
            <w:r>
              <w:rPr>
                <w:color w:val="000000"/>
                <w:lang w:val="en-US"/>
              </w:rPr>
              <w:t>0.04</w:t>
            </w:r>
          </w:p>
        </w:tc>
        <w:tc>
          <w:tcPr>
            <w:tcW w:w="1656" w:type="dxa"/>
            <w:vAlign w:val="center"/>
          </w:tcPr>
          <w:p w14:paraId="45502580" w14:textId="77777777" w:rsidR="003A4A54" w:rsidRPr="00C8093E" w:rsidRDefault="003A4A54" w:rsidP="007E77D5">
            <w:pPr>
              <w:jc w:val="center"/>
              <w:rPr>
                <w:rFonts w:cstheme="minorHAnsi"/>
                <w:sz w:val="20"/>
                <w:szCs w:val="20"/>
                <w:lang w:val="en-US"/>
              </w:rPr>
            </w:pPr>
            <w:r>
              <w:rPr>
                <w:color w:val="000000"/>
                <w:lang w:val="en-US"/>
              </w:rPr>
              <w:t>0.000</w:t>
            </w:r>
          </w:p>
        </w:tc>
        <w:tc>
          <w:tcPr>
            <w:tcW w:w="1656" w:type="dxa"/>
            <w:vAlign w:val="center"/>
          </w:tcPr>
          <w:p w14:paraId="2EBB693B" w14:textId="77777777" w:rsidR="003A4A54" w:rsidRPr="00C8093E" w:rsidRDefault="003A4A54" w:rsidP="007E77D5">
            <w:pPr>
              <w:jc w:val="center"/>
              <w:rPr>
                <w:rFonts w:cstheme="minorHAnsi"/>
                <w:sz w:val="20"/>
                <w:szCs w:val="20"/>
                <w:lang w:val="en-US"/>
              </w:rPr>
            </w:pPr>
            <w:r>
              <w:rPr>
                <w:color w:val="000000"/>
                <w:lang w:val="en-US"/>
              </w:rPr>
              <w:t>0.21,0.37</w:t>
            </w:r>
          </w:p>
        </w:tc>
      </w:tr>
      <w:tr w:rsidR="003A4A54" w:rsidRPr="00125441" w14:paraId="1A18C014" w14:textId="77777777" w:rsidTr="007E77D5">
        <w:tc>
          <w:tcPr>
            <w:tcW w:w="2616" w:type="dxa"/>
          </w:tcPr>
          <w:p w14:paraId="0D621EB1" w14:textId="77777777" w:rsidR="003A4A54" w:rsidRPr="00C8093E" w:rsidRDefault="003A4A54" w:rsidP="007E77D5">
            <w:pPr>
              <w:rPr>
                <w:rFonts w:cstheme="minorHAnsi"/>
                <w:sz w:val="20"/>
                <w:szCs w:val="20"/>
                <w:lang w:val="en-US"/>
              </w:rPr>
            </w:pPr>
            <w:r w:rsidRPr="00C8093E">
              <w:rPr>
                <w:rFonts w:cstheme="minorHAnsi"/>
                <w:sz w:val="20"/>
                <w:szCs w:val="20"/>
                <w:lang w:val="en-US"/>
              </w:rPr>
              <w:t>Number of JSA and ESA sanctions per 1,000 WA population</w:t>
            </w:r>
          </w:p>
        </w:tc>
        <w:tc>
          <w:tcPr>
            <w:tcW w:w="1656" w:type="dxa"/>
            <w:vAlign w:val="center"/>
          </w:tcPr>
          <w:p w14:paraId="084036B5" w14:textId="77777777" w:rsidR="003A4A54" w:rsidRPr="00C8093E" w:rsidRDefault="003A4A54" w:rsidP="007E77D5">
            <w:pPr>
              <w:jc w:val="center"/>
              <w:rPr>
                <w:rFonts w:cstheme="minorHAnsi"/>
                <w:sz w:val="20"/>
                <w:szCs w:val="20"/>
                <w:lang w:val="en-US"/>
              </w:rPr>
            </w:pPr>
            <w:r>
              <w:rPr>
                <w:color w:val="000000"/>
                <w:lang w:val="en-US"/>
              </w:rPr>
              <w:t>0.22</w:t>
            </w:r>
          </w:p>
        </w:tc>
        <w:tc>
          <w:tcPr>
            <w:tcW w:w="1656" w:type="dxa"/>
            <w:vAlign w:val="center"/>
          </w:tcPr>
          <w:p w14:paraId="227F7F65" w14:textId="77777777" w:rsidR="003A4A54" w:rsidRPr="00C8093E" w:rsidRDefault="003A4A54" w:rsidP="007E77D5">
            <w:pPr>
              <w:jc w:val="center"/>
              <w:rPr>
                <w:rFonts w:cstheme="minorHAnsi"/>
                <w:sz w:val="20"/>
                <w:szCs w:val="20"/>
                <w:lang w:val="en-US"/>
              </w:rPr>
            </w:pPr>
            <w:r>
              <w:rPr>
                <w:color w:val="000000"/>
                <w:lang w:val="en-US"/>
              </w:rPr>
              <w:t>0.07</w:t>
            </w:r>
          </w:p>
        </w:tc>
        <w:tc>
          <w:tcPr>
            <w:tcW w:w="1656" w:type="dxa"/>
            <w:vAlign w:val="center"/>
          </w:tcPr>
          <w:p w14:paraId="1046FDAB" w14:textId="77777777" w:rsidR="003A4A54" w:rsidRPr="00C8093E" w:rsidRDefault="003A4A54" w:rsidP="007E77D5">
            <w:pPr>
              <w:jc w:val="center"/>
              <w:rPr>
                <w:rFonts w:cstheme="minorHAnsi"/>
                <w:sz w:val="20"/>
                <w:szCs w:val="20"/>
                <w:lang w:val="en-US"/>
              </w:rPr>
            </w:pPr>
            <w:r>
              <w:rPr>
                <w:color w:val="000000"/>
                <w:lang w:val="en-US"/>
              </w:rPr>
              <w:t>0.002</w:t>
            </w:r>
          </w:p>
        </w:tc>
        <w:tc>
          <w:tcPr>
            <w:tcW w:w="1656" w:type="dxa"/>
            <w:vAlign w:val="center"/>
          </w:tcPr>
          <w:p w14:paraId="0E7E3089" w14:textId="77777777" w:rsidR="003A4A54" w:rsidRPr="00C8093E" w:rsidRDefault="003A4A54" w:rsidP="007E77D5">
            <w:pPr>
              <w:jc w:val="center"/>
              <w:rPr>
                <w:rFonts w:cstheme="minorHAnsi"/>
                <w:sz w:val="20"/>
                <w:szCs w:val="20"/>
                <w:lang w:val="en-US"/>
              </w:rPr>
            </w:pPr>
            <w:r>
              <w:rPr>
                <w:color w:val="000000"/>
                <w:lang w:val="en-US"/>
              </w:rPr>
              <w:t>0.08,0.35</w:t>
            </w:r>
          </w:p>
        </w:tc>
      </w:tr>
      <w:tr w:rsidR="003A4A54" w:rsidRPr="00125441" w14:paraId="17A29C57" w14:textId="77777777" w:rsidTr="007E77D5">
        <w:tc>
          <w:tcPr>
            <w:tcW w:w="2616" w:type="dxa"/>
          </w:tcPr>
          <w:p w14:paraId="428D7D9B" w14:textId="77777777" w:rsidR="003A4A54" w:rsidRPr="00C8093E" w:rsidRDefault="003A4A54" w:rsidP="007E77D5">
            <w:pPr>
              <w:rPr>
                <w:rFonts w:cstheme="minorHAnsi"/>
                <w:sz w:val="20"/>
                <w:szCs w:val="20"/>
                <w:lang w:val="en-US"/>
              </w:rPr>
            </w:pPr>
            <w:r w:rsidRPr="00C8093E">
              <w:rPr>
                <w:rFonts w:cstheme="minorHAnsi"/>
                <w:sz w:val="20"/>
                <w:szCs w:val="20"/>
                <w:lang w:val="en-US"/>
              </w:rPr>
              <w:t>Number of households affected by ‘bedroom tax’ per 1,000 WA population</w:t>
            </w:r>
          </w:p>
        </w:tc>
        <w:tc>
          <w:tcPr>
            <w:tcW w:w="1656" w:type="dxa"/>
            <w:vAlign w:val="center"/>
          </w:tcPr>
          <w:p w14:paraId="491881F1" w14:textId="77777777" w:rsidR="003A4A54" w:rsidRPr="00C8093E" w:rsidRDefault="003A4A54" w:rsidP="007E77D5">
            <w:pPr>
              <w:jc w:val="center"/>
              <w:rPr>
                <w:rFonts w:cstheme="minorHAnsi"/>
                <w:sz w:val="20"/>
                <w:szCs w:val="20"/>
                <w:lang w:val="en-US"/>
              </w:rPr>
            </w:pPr>
            <w:r>
              <w:rPr>
                <w:color w:val="000000"/>
                <w:lang w:val="en-US"/>
              </w:rPr>
              <w:t>0.56</w:t>
            </w:r>
          </w:p>
        </w:tc>
        <w:tc>
          <w:tcPr>
            <w:tcW w:w="1656" w:type="dxa"/>
            <w:vAlign w:val="center"/>
          </w:tcPr>
          <w:p w14:paraId="4C3DE433" w14:textId="77777777" w:rsidR="003A4A54" w:rsidRPr="00C8093E" w:rsidRDefault="003A4A54" w:rsidP="007E77D5">
            <w:pPr>
              <w:jc w:val="center"/>
              <w:rPr>
                <w:rFonts w:cstheme="minorHAnsi"/>
                <w:sz w:val="20"/>
                <w:szCs w:val="20"/>
                <w:lang w:val="en-US"/>
              </w:rPr>
            </w:pPr>
            <w:r>
              <w:rPr>
                <w:color w:val="000000"/>
                <w:lang w:val="en-US"/>
              </w:rPr>
              <w:t>0.11</w:t>
            </w:r>
          </w:p>
        </w:tc>
        <w:tc>
          <w:tcPr>
            <w:tcW w:w="1656" w:type="dxa"/>
            <w:vAlign w:val="center"/>
          </w:tcPr>
          <w:p w14:paraId="7D6856B5" w14:textId="77777777" w:rsidR="003A4A54" w:rsidRPr="00C8093E" w:rsidRDefault="003A4A54" w:rsidP="007E77D5">
            <w:pPr>
              <w:jc w:val="center"/>
              <w:rPr>
                <w:rFonts w:cstheme="minorHAnsi"/>
                <w:sz w:val="20"/>
                <w:szCs w:val="20"/>
                <w:lang w:val="en-US"/>
              </w:rPr>
            </w:pPr>
            <w:r>
              <w:rPr>
                <w:color w:val="000000"/>
                <w:lang w:val="en-US"/>
              </w:rPr>
              <w:t>0.000</w:t>
            </w:r>
          </w:p>
        </w:tc>
        <w:tc>
          <w:tcPr>
            <w:tcW w:w="1656" w:type="dxa"/>
            <w:vAlign w:val="center"/>
          </w:tcPr>
          <w:p w14:paraId="26D36A52" w14:textId="77777777" w:rsidR="003A4A54" w:rsidRPr="00C8093E" w:rsidRDefault="003A4A54" w:rsidP="007E77D5">
            <w:pPr>
              <w:jc w:val="center"/>
              <w:rPr>
                <w:rFonts w:cstheme="minorHAnsi"/>
                <w:sz w:val="20"/>
                <w:szCs w:val="20"/>
                <w:lang w:val="en-US"/>
              </w:rPr>
            </w:pPr>
            <w:r>
              <w:rPr>
                <w:color w:val="000000"/>
                <w:lang w:val="en-US"/>
              </w:rPr>
              <w:t>0.35,0.77</w:t>
            </w:r>
          </w:p>
        </w:tc>
      </w:tr>
    </w:tbl>
    <w:p w14:paraId="54547332" w14:textId="77777777" w:rsidR="003A4A54" w:rsidRDefault="003A4A54" w:rsidP="003A4A54">
      <w:pPr>
        <w:rPr>
          <w:rFonts w:cstheme="minorHAnsi"/>
          <w:sz w:val="20"/>
          <w:szCs w:val="20"/>
          <w:lang w:val="en-US"/>
        </w:rPr>
      </w:pPr>
      <w:r w:rsidRPr="00CC42DC">
        <w:rPr>
          <w:rFonts w:cstheme="minorHAnsi"/>
          <w:sz w:val="20"/>
          <w:szCs w:val="20"/>
          <w:lang w:val="en-US"/>
        </w:rPr>
        <w:t>Observations = 2,</w:t>
      </w:r>
      <w:r>
        <w:rPr>
          <w:rFonts w:cstheme="minorHAnsi"/>
          <w:sz w:val="20"/>
          <w:szCs w:val="20"/>
          <w:lang w:val="en-US"/>
        </w:rPr>
        <w:t>163</w:t>
      </w:r>
    </w:p>
    <w:p w14:paraId="46D42AD7" w14:textId="4AA777DB" w:rsidR="003A4A54" w:rsidRPr="00CC42DC" w:rsidRDefault="003A4A54" w:rsidP="003A4A54">
      <w:pPr>
        <w:rPr>
          <w:rFonts w:cstheme="minorHAnsi"/>
          <w:sz w:val="20"/>
          <w:szCs w:val="20"/>
          <w:lang w:val="en-US"/>
        </w:rPr>
      </w:pPr>
      <w:r>
        <w:rPr>
          <w:rFonts w:cstheme="minorHAnsi"/>
          <w:sz w:val="20"/>
          <w:szCs w:val="20"/>
          <w:lang w:val="en-US"/>
        </w:rPr>
        <w:t xml:space="preserve">Wald chi2: 1165.78, Prob &gt; chi2: 0.000 </w:t>
      </w:r>
    </w:p>
    <w:p w14:paraId="547C669A" w14:textId="77777777" w:rsidR="003A4A54" w:rsidRPr="00CC42DC" w:rsidRDefault="003A4A54" w:rsidP="003A4A54">
      <w:pPr>
        <w:rPr>
          <w:sz w:val="20"/>
          <w:szCs w:val="20"/>
          <w:lang w:eastAsia="en-GB"/>
        </w:rPr>
      </w:pPr>
      <w:r w:rsidRPr="00CC42DC">
        <w:rPr>
          <w:sz w:val="20"/>
          <w:szCs w:val="20"/>
          <w:lang w:eastAsia="en-GB"/>
        </w:rPr>
        <w:t xml:space="preserve">* WA: working age </w:t>
      </w:r>
    </w:p>
    <w:p w14:paraId="4378FC62" w14:textId="77777777" w:rsidR="003A4A54" w:rsidRDefault="003A4A54" w:rsidP="003A4A54">
      <w:pPr>
        <w:rPr>
          <w:sz w:val="20"/>
          <w:szCs w:val="20"/>
          <w:lang w:eastAsia="en-GB"/>
        </w:rPr>
      </w:pPr>
      <w:r w:rsidRPr="00715A0A">
        <w:rPr>
          <w:sz w:val="20"/>
          <w:szCs w:val="20"/>
          <w:lang w:eastAsia="en-GB"/>
        </w:rPr>
        <w:t>** UC/JSA/ESA/IS standard or personal allowance for people aged 25 or above. Weekly value adjusted for inflation. Reference year: 2011.</w:t>
      </w:r>
    </w:p>
    <w:p w14:paraId="13771EA9" w14:textId="62C17B98" w:rsidR="003A4A54" w:rsidRDefault="003A4A54" w:rsidP="003A4A54"/>
    <w:p w14:paraId="33AF6198" w14:textId="0242FFB6" w:rsidR="003F38FC" w:rsidRPr="003F38FC" w:rsidRDefault="003F38FC" w:rsidP="003A4A54">
      <w:pPr>
        <w:rPr>
          <w:b/>
          <w:bCs/>
        </w:rPr>
      </w:pPr>
      <w:r w:rsidRPr="003F38FC">
        <w:rPr>
          <w:b/>
          <w:bCs/>
        </w:rPr>
        <w:t>References</w:t>
      </w:r>
    </w:p>
    <w:p w14:paraId="36F8673D" w14:textId="77777777" w:rsidR="003F38FC" w:rsidRPr="003F38FC" w:rsidRDefault="003F38FC" w:rsidP="003F38FC">
      <w:pPr>
        <w:pStyle w:val="Bibliography"/>
        <w:rPr>
          <w:rFonts w:ascii="Calibri" w:cs="Calibri"/>
        </w:rPr>
      </w:pPr>
      <w:r>
        <w:fldChar w:fldCharType="begin"/>
      </w:r>
      <w:r>
        <w:instrText xml:space="preserve"> ADDIN ZOTERO_BIBL {"uncited":[],"omitted":[],"custom":[]} CSL_BIBLIOGRAPHY </w:instrText>
      </w:r>
      <w:r>
        <w:fldChar w:fldCharType="separate"/>
      </w:r>
      <w:r w:rsidRPr="003F38FC">
        <w:rPr>
          <w:rFonts w:ascii="Calibri" w:cs="Calibri"/>
        </w:rPr>
        <w:t xml:space="preserve">[1] </w:t>
      </w:r>
      <w:r w:rsidRPr="003F38FC">
        <w:rPr>
          <w:rFonts w:ascii="Calibri" w:cs="Calibri"/>
        </w:rPr>
        <w:tab/>
        <w:t xml:space="preserve">Arellano M, Bond S. Some Tests of Specification for Panel Data: Monte Carlo Evidence and an Application to Employment Equations. </w:t>
      </w:r>
      <w:r w:rsidRPr="003F38FC">
        <w:rPr>
          <w:rFonts w:ascii="Calibri" w:cs="Calibri"/>
          <w:i/>
          <w:iCs/>
        </w:rPr>
        <w:t>Rev Econ Stud</w:t>
      </w:r>
      <w:r w:rsidRPr="003F38FC">
        <w:rPr>
          <w:rFonts w:ascii="Calibri" w:cs="Calibri"/>
        </w:rPr>
        <w:t xml:space="preserve"> 1991; 58: 277–297.</w:t>
      </w:r>
    </w:p>
    <w:p w14:paraId="729D6EFE" w14:textId="77777777" w:rsidR="003F38FC" w:rsidRPr="003F38FC" w:rsidRDefault="003F38FC" w:rsidP="003F38FC">
      <w:pPr>
        <w:pStyle w:val="Bibliography"/>
        <w:rPr>
          <w:rFonts w:ascii="Calibri" w:cs="Calibri"/>
        </w:rPr>
      </w:pPr>
      <w:r w:rsidRPr="003F38FC">
        <w:rPr>
          <w:rFonts w:ascii="Calibri" w:cs="Calibri"/>
        </w:rPr>
        <w:t xml:space="preserve">[2] </w:t>
      </w:r>
      <w:r w:rsidRPr="003F38FC">
        <w:rPr>
          <w:rFonts w:ascii="Calibri" w:cs="Calibri"/>
        </w:rPr>
        <w:tab/>
        <w:t xml:space="preserve">Leszczensky L, Wolbring T. How to Deal With Reverse Causality Using Panel Data? Recommendations for Researchers Based on a Simulation Study. </w:t>
      </w:r>
      <w:r w:rsidRPr="003F38FC">
        <w:rPr>
          <w:rFonts w:ascii="Calibri" w:cs="Calibri"/>
          <w:i/>
          <w:iCs/>
        </w:rPr>
        <w:t>Sociol Methods Res</w:t>
      </w:r>
      <w:r w:rsidRPr="003F38FC">
        <w:rPr>
          <w:rFonts w:ascii="Calibri" w:cs="Calibri"/>
        </w:rPr>
        <w:t xml:space="preserve"> 2019; 004912411988247.</w:t>
      </w:r>
    </w:p>
    <w:p w14:paraId="5BDFF1D0" w14:textId="56F21547" w:rsidR="003239CE" w:rsidRDefault="003F38FC">
      <w:r>
        <w:fldChar w:fldCharType="end"/>
      </w:r>
    </w:p>
    <w:sectPr w:rsidR="003239CE" w:rsidSect="00244A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54"/>
    <w:rsid w:val="00050506"/>
    <w:rsid w:val="001C737A"/>
    <w:rsid w:val="00244A02"/>
    <w:rsid w:val="003239CE"/>
    <w:rsid w:val="003A4A54"/>
    <w:rsid w:val="003F38FC"/>
    <w:rsid w:val="004A3B64"/>
    <w:rsid w:val="006F00C1"/>
    <w:rsid w:val="007236BA"/>
    <w:rsid w:val="007836D5"/>
    <w:rsid w:val="0091067A"/>
    <w:rsid w:val="00A44F4D"/>
    <w:rsid w:val="00B63DC3"/>
    <w:rsid w:val="00BA4601"/>
    <w:rsid w:val="00CA43EE"/>
    <w:rsid w:val="00DF0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83C78A9"/>
  <w14:defaultImageDpi w14:val="32767"/>
  <w15:chartTrackingRefBased/>
  <w15:docId w15:val="{0EC78015-C36B-0545-A160-6842F749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A4A54"/>
    <w:pPr>
      <w:spacing w:after="160" w:line="259" w:lineRule="auto"/>
    </w:pPr>
    <w:rPr>
      <w:sz w:val="22"/>
      <w:szCs w:val="22"/>
    </w:rPr>
  </w:style>
  <w:style w:type="paragraph" w:styleId="Heading2">
    <w:name w:val="heading 2"/>
    <w:basedOn w:val="Normal"/>
    <w:next w:val="Normal"/>
    <w:link w:val="Heading2Char"/>
    <w:uiPriority w:val="9"/>
    <w:unhideWhenUsed/>
    <w:qFormat/>
    <w:rsid w:val="003A4A54"/>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4A54"/>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3A4A54"/>
    <w:pPr>
      <w:keepNext/>
      <w:spacing w:after="200" w:line="240" w:lineRule="auto"/>
      <w:jc w:val="both"/>
    </w:pPr>
    <w:rPr>
      <w:i/>
      <w:iCs/>
      <w:color w:val="44546A" w:themeColor="text2"/>
      <w:sz w:val="18"/>
      <w:szCs w:val="18"/>
    </w:rPr>
  </w:style>
  <w:style w:type="character" w:styleId="CommentReference">
    <w:name w:val="annotation reference"/>
    <w:basedOn w:val="DefaultParagraphFont"/>
    <w:uiPriority w:val="99"/>
    <w:semiHidden/>
    <w:unhideWhenUsed/>
    <w:rsid w:val="003A4A54"/>
    <w:rPr>
      <w:sz w:val="16"/>
      <w:szCs w:val="16"/>
    </w:rPr>
  </w:style>
  <w:style w:type="paragraph" w:styleId="CommentText">
    <w:name w:val="annotation text"/>
    <w:basedOn w:val="Normal"/>
    <w:link w:val="CommentTextChar"/>
    <w:uiPriority w:val="99"/>
    <w:semiHidden/>
    <w:unhideWhenUsed/>
    <w:rsid w:val="003A4A54"/>
    <w:pPr>
      <w:spacing w:line="240" w:lineRule="auto"/>
    </w:pPr>
    <w:rPr>
      <w:sz w:val="20"/>
      <w:szCs w:val="20"/>
    </w:rPr>
  </w:style>
  <w:style w:type="character" w:customStyle="1" w:styleId="CommentTextChar">
    <w:name w:val="Comment Text Char"/>
    <w:basedOn w:val="DefaultParagraphFont"/>
    <w:link w:val="CommentText"/>
    <w:uiPriority w:val="99"/>
    <w:semiHidden/>
    <w:rsid w:val="003A4A54"/>
    <w:rPr>
      <w:sz w:val="20"/>
      <w:szCs w:val="20"/>
    </w:rPr>
  </w:style>
  <w:style w:type="paragraph" w:styleId="Revision">
    <w:name w:val="Revision"/>
    <w:hidden/>
    <w:uiPriority w:val="99"/>
    <w:semiHidden/>
    <w:rsid w:val="00B63DC3"/>
    <w:rPr>
      <w:sz w:val="22"/>
      <w:szCs w:val="22"/>
    </w:rPr>
  </w:style>
  <w:style w:type="paragraph" w:styleId="Bibliography">
    <w:name w:val="Bibliography"/>
    <w:basedOn w:val="Normal"/>
    <w:next w:val="Normal"/>
    <w:uiPriority w:val="37"/>
    <w:unhideWhenUsed/>
    <w:rsid w:val="003F38FC"/>
    <w:pPr>
      <w:tabs>
        <w:tab w:val="left" w:pos="500"/>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925</Words>
  <Characters>5274</Characters>
  <Application>Microsoft Office Word</Application>
  <DocSecurity>0</DocSecurity>
  <Lines>43</Lines>
  <Paragraphs>12</Paragraphs>
  <ScaleCrop>false</ScaleCrop>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Sosenko</dc:creator>
  <cp:keywords/>
  <dc:description/>
  <cp:lastModifiedBy>Filip Sosenko</cp:lastModifiedBy>
  <cp:revision>3</cp:revision>
  <dcterms:created xsi:type="dcterms:W3CDTF">2022-04-14T10:29:00Z</dcterms:created>
  <dcterms:modified xsi:type="dcterms:W3CDTF">2022-05-10T08:54:00Z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id="sy0GY4d9"/&gt;&lt;style id="http://www.zotero.org/styles/sage-vancouver-brackets" hasBibliography="1" bibliographyStyleHasBeenSet="1"/&gt;&lt;prefs&gt;&lt;pref name="fieldType" value="Field"/&gt;&lt;pref name="automat</vt:lpwstr>
  </property>
  <property fmtid="{D5CDD505-2E9C-101B-9397-08002B2CF9AE}" pid="3" name="ZOTERO_PREF_2">
    <vt:lpwstr>icJournalAbbreviations" value="true"/&gt;&lt;/prefs&gt;&lt;/data&gt;</vt:lpwstr>
  </property>
</Properties>
</file>