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b/>
          <w:bCs/>
          <w:sz w:val="20"/>
          <w:szCs w:val="20"/>
          <w:lang w:val="en-US"/>
        </w:rPr>
      </w:pPr>
      <w:r>
        <w:rPr>
          <w:rFonts w:ascii="Times New Roman" w:hAnsi="Times New Roman" w:cs="Times New Roman"/>
          <w:b/>
          <w:bCs/>
          <w:sz w:val="20"/>
          <w:szCs w:val="20"/>
          <w:lang w:val="en-US"/>
        </w:rPr>
        <w:t>Additional file</w:t>
      </w:r>
      <w:r>
        <w:rPr>
          <w:rFonts w:hint="default" w:ascii="Times New Roman" w:hAnsi="Times New Roman" w:cs="Times New Roman"/>
          <w:b/>
          <w:bCs/>
          <w:sz w:val="20"/>
          <w:szCs w:val="20"/>
          <w:lang w:val="en-US"/>
        </w:rPr>
        <w:t xml:space="preserve"> 11</w:t>
      </w:r>
      <w:r>
        <w:rPr>
          <w:rFonts w:ascii="Times New Roman" w:hAnsi="Times New Roman" w:cs="Times New Roman"/>
          <w:b/>
          <w:bCs/>
          <w:sz w:val="20"/>
          <w:szCs w:val="20"/>
          <w:lang w:val="en-US"/>
        </w:rPr>
        <w:t>:</w:t>
      </w:r>
      <w:r>
        <w:rPr>
          <w:rFonts w:hint="default" w:ascii="Times New Roman" w:hAnsi="Times New Roman" w:cs="Times New Roman"/>
          <w:b/>
          <w:bCs/>
          <w:sz w:val="20"/>
          <w:szCs w:val="20"/>
          <w:lang w:val="en-US"/>
        </w:rPr>
        <w:t xml:space="preserve"> </w:t>
      </w:r>
      <w:r>
        <w:rPr>
          <w:rFonts w:hint="default" w:ascii="Times New Roman" w:hAnsi="Times New Roman" w:cs="Times New Roman"/>
          <w:sz w:val="20"/>
          <w:szCs w:val="20"/>
          <w:lang w:val="en-US"/>
        </w:rPr>
        <w:t>Alternative calculations of  the i</w:t>
      </w:r>
      <w:r>
        <w:rPr>
          <w:rFonts w:ascii="Times New Roman" w:hAnsi="Times New Roman" w:cs="Times New Roman"/>
          <w:sz w:val="20"/>
          <w:szCs w:val="20"/>
          <w:lang w:val="en-US"/>
        </w:rPr>
        <w:t xml:space="preserve">ncidence of further impoverishment </w:t>
      </w:r>
      <w:r>
        <w:rPr>
          <w:rFonts w:ascii="Times New Roman" w:hAnsi="Times New Roman" w:cs="Times New Roman"/>
          <w:sz w:val="20"/>
          <w:szCs w:val="20"/>
          <w:vertAlign w:val="superscript"/>
          <w:lang w:val="en-US"/>
        </w:rPr>
        <w:t>a</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 xml:space="preserve"> due to OOP expenses</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 xml:space="preserve">, </w:t>
      </w:r>
      <w:r>
        <w:rPr>
          <w:rFonts w:ascii="Times New Roman" w:hAnsi="Times New Roman" w:cs="Times New Roman"/>
          <w:sz w:val="20"/>
          <w:szCs w:val="20"/>
          <w:lang w:val="en-US"/>
        </w:rPr>
        <w:t xml:space="preserve">normative food, </w:t>
      </w:r>
      <w:r>
        <w:rPr>
          <w:rFonts w:hint="default" w:ascii="Times New Roman" w:hAnsi="Times New Roman" w:cs="Times New Roman"/>
          <w:sz w:val="20"/>
          <w:szCs w:val="20"/>
          <w:lang w:val="en-US"/>
        </w:rPr>
        <w:t>housing (</w:t>
      </w:r>
      <w:r>
        <w:rPr>
          <w:rFonts w:ascii="Times New Roman" w:hAnsi="Times New Roman" w:cs="Times New Roman"/>
          <w:sz w:val="20"/>
          <w:szCs w:val="20"/>
          <w:lang w:val="en-US"/>
        </w:rPr>
        <w:t>rent</w:t>
      </w:r>
      <w:r>
        <w:rPr>
          <w:rFonts w:hint="default" w:ascii="Times New Roman" w:hAnsi="Times New Roman" w:cs="Times New Roman"/>
          <w:sz w:val="20"/>
          <w:szCs w:val="20"/>
          <w:lang w:val="en-US"/>
        </w:rPr>
        <w:t>)</w:t>
      </w:r>
      <w:r>
        <w:rPr>
          <w:rFonts w:ascii="Times New Roman" w:hAnsi="Times New Roman" w:cs="Times New Roman"/>
          <w:sz w:val="20"/>
          <w:szCs w:val="20"/>
          <w:lang w:val="en-US"/>
        </w:rPr>
        <w:t>, and utilities method</w:t>
      </w:r>
      <w:r>
        <w:rPr>
          <w:rFonts w:hint="default" w:ascii="Times New Roman" w:hAnsi="Times New Roman" w:cs="Times New Roman"/>
          <w:sz w:val="20"/>
          <w:szCs w:val="20"/>
          <w:lang w:val="en-US"/>
        </w:rPr>
        <w:t xml:space="preserve"> </w:t>
      </w:r>
      <w:r>
        <w:rPr>
          <w:rFonts w:ascii="Times New Roman" w:hAnsi="Times New Roman" w:cs="Times New Roman"/>
          <w:sz w:val="20"/>
          <w:szCs w:val="20"/>
          <w:lang w:val="en-US"/>
        </w:rPr>
        <w:t xml:space="preserve">(OOP </w:t>
      </w:r>
      <w:r>
        <w:rPr>
          <w:rFonts w:hint="default" w:ascii="Times New Roman" w:hAnsi="Times New Roman" w:cs="Times New Roman"/>
          <w:sz w:val="20"/>
          <w:szCs w:val="20"/>
          <w:lang w:val="en-US"/>
        </w:rPr>
        <w:t>expenses</w:t>
      </w: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b/>
          <w:bCs/>
          <w:sz w:val="20"/>
          <w:szCs w:val="20"/>
          <w:lang w:val="en-US"/>
        </w:rPr>
      </w:pP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Alternative measurement approach A </w:t>
      </w:r>
      <w:r>
        <w:rPr>
          <w:rFonts w:hint="default" w:ascii="Times New Roman" w:hAnsi="Times New Roman" w:cs="Times New Roman"/>
          <w:b w:val="0"/>
          <w:bCs w:val="0"/>
          <w:sz w:val="20"/>
          <w:szCs w:val="20"/>
          <w:lang w:val="en-US"/>
        </w:rPr>
        <w:t>[using</w:t>
      </w:r>
      <w:r>
        <w:rPr>
          <w:rFonts w:hint="default" w:ascii="Times New Roman" w:hAnsi="Times New Roman" w:cs="Times New Roman"/>
          <w:b/>
          <w:bCs/>
          <w:sz w:val="20"/>
          <w:szCs w:val="20"/>
          <w:lang w:val="en-US"/>
        </w:rPr>
        <w:t xml:space="preserve"> </w:t>
      </w:r>
      <w:r>
        <w:rPr>
          <w:rFonts w:ascii="Times New Roman" w:hAnsi="Times New Roman" w:cs="Times New Roman"/>
          <w:sz w:val="20"/>
          <w:szCs w:val="20"/>
          <w:lang w:val="en-US"/>
        </w:rPr>
        <w:t xml:space="preserve">OOP </w:t>
      </w:r>
      <w:r>
        <w:rPr>
          <w:rFonts w:hint="default" w:ascii="Times New Roman" w:hAnsi="Times New Roman" w:cs="Times New Roman"/>
          <w:sz w:val="20"/>
          <w:szCs w:val="20"/>
          <w:lang w:val="en-US"/>
        </w:rPr>
        <w:t>expenses (as a separate variable and as a component of total consumption expenditure) from the survey’s</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health</w:t>
      </w:r>
      <w:r>
        <w:rPr>
          <w:rFonts w:ascii="Times New Roman" w:hAnsi="Times New Roman" w:cs="Times New Roman"/>
          <w:sz w:val="20"/>
          <w:szCs w:val="20"/>
          <w:lang w:val="en-US"/>
        </w:rPr>
        <w:t xml:space="preserve"> module</w:t>
      </w:r>
      <w:r>
        <w:rPr>
          <w:rFonts w:hint="default" w:ascii="Times New Roman" w:hAnsi="Times New Roman" w:cs="Times New Roman"/>
          <w:sz w:val="20"/>
          <w:szCs w:val="20"/>
          <w:lang w:val="en-US"/>
        </w:rPr>
        <w:t>]</w:t>
      </w: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0"/>
          <w:szCs w:val="20"/>
          <w:lang w:val="en-US"/>
        </w:rPr>
      </w:pPr>
    </w:p>
    <w:p/>
    <w:tbl>
      <w:tblPr>
        <w:tblStyle w:val="3"/>
        <w:tblW w:w="4725" w:type="pct"/>
        <w:tblInd w:w="0" w:type="dxa"/>
        <w:tblLayout w:type="fixed"/>
        <w:tblCellMar>
          <w:top w:w="0" w:type="dxa"/>
          <w:left w:w="108" w:type="dxa"/>
          <w:bottom w:w="0" w:type="dxa"/>
          <w:right w:w="108" w:type="dxa"/>
        </w:tblCellMar>
      </w:tblPr>
      <w:tblGrid>
        <w:gridCol w:w="2464"/>
        <w:gridCol w:w="1211"/>
        <w:gridCol w:w="1211"/>
        <w:gridCol w:w="1216"/>
        <w:gridCol w:w="1212"/>
        <w:gridCol w:w="1211"/>
        <w:gridCol w:w="1216"/>
        <w:gridCol w:w="1211"/>
        <w:gridCol w:w="1211"/>
        <w:gridCol w:w="1232"/>
      </w:tblGrid>
      <w:tr>
        <w:tblPrEx>
          <w:tblCellMar>
            <w:top w:w="0" w:type="dxa"/>
            <w:left w:w="108" w:type="dxa"/>
            <w:bottom w:w="0" w:type="dxa"/>
            <w:right w:w="108" w:type="dxa"/>
          </w:tblCellMar>
        </w:tblPrEx>
        <w:trPr>
          <w:trHeight w:val="90" w:hRule="atLeast"/>
          <w:tblHeader/>
        </w:trPr>
        <w:tc>
          <w:tcPr>
            <w:tcW w:w="919" w:type="pct"/>
            <w:vMerge w:val="restart"/>
            <w:tcBorders>
              <w:top w:val="single" w:color="000000" w:sz="4" w:space="0"/>
              <w:left w:val="single" w:color="000000" w:sz="4" w:space="0"/>
              <w:right w:val="single" w:color="000000" w:sz="4" w:space="0"/>
            </w:tcBorders>
            <w:shd w:val="clear" w:color="auto" w:fill="FFFFFF" w:themeFill="background1"/>
            <w:noWrap/>
            <w:vAlign w:val="center"/>
          </w:tcPr>
          <w:p>
            <w:pPr>
              <w:spacing w:line="240" w:lineRule="auto"/>
              <w:textAlignment w:val="bottom"/>
              <w:rPr>
                <w:rFonts w:ascii="Times New Roman" w:hAnsi="Times New Roman" w:cs="Times New Roman"/>
                <w:b w:val="0"/>
                <w:bCs w:val="0"/>
                <w:color w:val="000000"/>
                <w:sz w:val="18"/>
                <w:szCs w:val="18"/>
              </w:rPr>
            </w:pPr>
          </w:p>
        </w:tc>
        <w:tc>
          <w:tcPr>
            <w:tcW w:w="3638" w:type="dxa"/>
            <w:gridSpan w:val="3"/>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line="240" w:lineRule="auto"/>
              <w:jc w:val="center"/>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Households affected by non-</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58" w:type="pct"/>
            <w:gridSpan w:val="3"/>
            <w:tcBorders>
              <w:top w:val="single" w:color="000000" w:sz="4" w:space="0"/>
              <w:left w:val="single" w:color="auto" w:sz="4" w:space="0"/>
              <w:bottom w:val="single" w:color="000000" w:sz="4" w:space="0"/>
              <w:right w:val="single" w:color="auto" w:sz="4" w:space="0"/>
            </w:tcBorders>
            <w:shd w:val="clear" w:color="auto" w:fill="FFFFFF" w:themeFill="background1"/>
            <w:noWrap/>
            <w:vAlign w:val="center"/>
          </w:tcPr>
          <w:p>
            <w:pPr>
              <w:spacing w:line="240" w:lineRule="auto"/>
              <w:jc w:val="center"/>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 xml:space="preserve">Households affected by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63" w:type="pct"/>
            <w:gridSpan w:val="3"/>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line="240" w:lineRule="auto"/>
              <w:jc w:val="center"/>
              <w:rPr>
                <w:rFonts w:hint="default" w:ascii="Times New Roman" w:hAnsi="Times New Roman" w:cs="Times New Roman"/>
                <w:b w:val="0"/>
                <w:bCs w:val="0"/>
                <w:color w:val="000000"/>
                <w:sz w:val="18"/>
                <w:szCs w:val="18"/>
                <w:lang w:val="en-US"/>
              </w:rPr>
            </w:pPr>
            <w:r>
              <w:rPr>
                <w:rFonts w:ascii="Times New Roman" w:hAnsi="Times New Roman" w:eastAsia="SimSun" w:cs="Times New Roman"/>
                <w:b w:val="0"/>
                <w:bCs w:val="0"/>
                <w:color w:val="000000"/>
                <w:sz w:val="18"/>
                <w:szCs w:val="18"/>
                <w:lang w:bidi="ar"/>
              </w:rPr>
              <w:t xml:space="preserve">Households affected by both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&amp; non-</w:t>
            </w:r>
            <w:r>
              <w:rPr>
                <w:rFonts w:ascii="Times New Roman" w:hAnsi="Times New Roman" w:eastAsia="SimSun" w:cs="Times New Roman"/>
                <w:b w:val="0"/>
                <w:bCs w:val="0"/>
                <w:color w:val="000000"/>
                <w:sz w:val="18"/>
                <w:szCs w:val="18"/>
                <w:lang w:val="en-US" w:bidi="ar"/>
              </w:rPr>
              <w:t>NCD</w:t>
            </w:r>
          </w:p>
        </w:tc>
      </w:tr>
      <w:tr>
        <w:tblPrEx>
          <w:tblCellMar>
            <w:top w:w="0" w:type="dxa"/>
            <w:left w:w="108" w:type="dxa"/>
            <w:bottom w:w="0" w:type="dxa"/>
            <w:right w:w="108" w:type="dxa"/>
          </w:tblCellMar>
        </w:tblPrEx>
        <w:trPr>
          <w:trHeight w:val="90" w:hRule="atLeast"/>
          <w:tblHeader/>
        </w:trPr>
        <w:tc>
          <w:tcPr>
            <w:tcW w:w="919" w:type="pct"/>
            <w:vMerge w:val="continue"/>
            <w:tcBorders>
              <w:left w:val="single" w:color="000000" w:sz="4" w:space="0"/>
              <w:bottom w:val="single" w:color="000000" w:sz="4" w:space="0"/>
              <w:right w:val="single" w:color="000000" w:sz="4" w:space="0"/>
            </w:tcBorders>
            <w:shd w:val="clear" w:color="auto" w:fill="FFFFFF" w:themeFill="background1"/>
            <w:noWrap/>
            <w:vAlign w:val="center"/>
          </w:tcPr>
          <w:p>
            <w:pPr>
              <w:spacing w:line="240" w:lineRule="auto"/>
              <w:textAlignment w:val="bottom"/>
              <w:rPr>
                <w:rFonts w:ascii="Times New Roman" w:hAnsi="Times New Roman" w:cs="Times New Roman"/>
                <w:b w:val="0"/>
                <w:bCs w:val="0"/>
                <w:color w:val="000000"/>
                <w:sz w:val="18"/>
                <w:szCs w:val="18"/>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eastAsia="Times New Roman" w:cs="Times New Roman"/>
                <w:b w:val="0"/>
                <w:bCs w:val="0"/>
                <w:color w:val="000000"/>
                <w:sz w:val="18"/>
                <w:szCs w:val="18"/>
                <w:lang w:bidi="ar"/>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121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1216"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1212" w:type="dxa"/>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121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1216"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1211" w:type="dxa"/>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121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123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tblCellMar>
            <w:top w:w="0" w:type="dxa"/>
            <w:left w:w="108" w:type="dxa"/>
            <w:bottom w:w="0" w:type="dxa"/>
            <w:right w:w="108" w:type="dxa"/>
          </w:tblCellMar>
        </w:tblPrEx>
        <w:trPr>
          <w:trHeight w:val="90" w:hRule="atLeast"/>
        </w:trPr>
        <w:tc>
          <w:tcPr>
            <w:tcW w:w="919" w:type="pct"/>
            <w:tcBorders>
              <w:top w:val="single" w:color="000000" w:sz="4" w:space="0"/>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p>
        </w:tc>
        <w:tc>
          <w:tcPr>
            <w:tcW w:w="1211" w:type="dxa"/>
            <w:tcBorders>
              <w:top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1211" w:type="dxa"/>
            <w:tcBorders>
              <w:top w:val="single" w:color="000000" w:sz="4" w:space="0"/>
            </w:tcBorders>
            <w:shd w:val="clear" w:color="auto" w:fill="auto"/>
            <w:noWrap/>
            <w:vAlign w:val="center"/>
          </w:tcPr>
          <w:p>
            <w:pPr>
              <w:spacing w:line="240" w:lineRule="auto"/>
              <w:jc w:val="center"/>
              <w:textAlignment w:val="center"/>
            </w:pPr>
          </w:p>
        </w:tc>
        <w:tc>
          <w:tcPr>
            <w:tcW w:w="1216" w:type="dxa"/>
            <w:tcBorders>
              <w:top w:val="single" w:color="000000" w:sz="4" w:space="0"/>
              <w:right w:val="single" w:color="auto" w:sz="4" w:space="0"/>
            </w:tcBorders>
            <w:shd w:val="clear" w:color="auto" w:fill="auto"/>
            <w:noWrap/>
            <w:vAlign w:val="center"/>
          </w:tcPr>
          <w:p>
            <w:pPr>
              <w:spacing w:line="240" w:lineRule="auto"/>
              <w:jc w:val="center"/>
              <w:textAlignment w:val="center"/>
            </w:pPr>
          </w:p>
        </w:tc>
        <w:tc>
          <w:tcPr>
            <w:tcW w:w="452" w:type="pct"/>
            <w:tcBorders>
              <w:top w:val="single" w:color="000000" w:sz="4" w:space="0"/>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51" w:type="pct"/>
            <w:tcBorders>
              <w:top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53" w:type="pct"/>
            <w:tcBorders>
              <w:top w:val="single" w:color="000000" w:sz="4" w:space="0"/>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51" w:type="pct"/>
            <w:tcBorders>
              <w:top w:val="single" w:color="000000" w:sz="4" w:space="0"/>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51" w:type="pct"/>
            <w:tcBorders>
              <w:top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c>
          <w:tcPr>
            <w:tcW w:w="459" w:type="pct"/>
            <w:tcBorders>
              <w:top w:val="single" w:color="000000" w:sz="4" w:space="0"/>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Overall</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8.5</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(0.5)</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9.3</w:t>
            </w:r>
          </w:p>
          <w:p>
            <w:pPr>
              <w:spacing w:line="240" w:lineRule="auto"/>
              <w:jc w:val="center"/>
              <w:textAlignment w:val="center"/>
            </w:pPr>
            <w:r>
              <w:rPr>
                <w:rFonts w:ascii="Times New Roman" w:hAnsi="Times New Roman" w:eastAsia="SimSun" w:cs="Times New Roman"/>
                <w:color w:val="000000"/>
                <w:sz w:val="18"/>
                <w:szCs w:val="18"/>
                <w:lang w:bidi="ar"/>
              </w:rPr>
              <w:t>(0.7)</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Consumption expenditure quintile</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cs="Times New Roman"/>
                <w:b w:val="0"/>
                <w:bCs w:val="0"/>
                <w:color w:val="000000"/>
                <w:sz w:val="18"/>
                <w:szCs w:val="18"/>
                <w:vertAlign w:val="superscript"/>
                <w:lang w:val="en-US"/>
              </w:rPr>
            </w:pPr>
            <w:r>
              <w:rPr>
                <w:rFonts w:ascii="Times New Roman" w:hAnsi="Times New Roman" w:eastAsia="SimSun" w:cs="Times New Roman"/>
                <w:b w:val="0"/>
                <w:bCs w:val="0"/>
                <w:color w:val="000000"/>
                <w:sz w:val="18"/>
                <w:szCs w:val="18"/>
                <w:lang w:bidi="ar"/>
              </w:rPr>
              <w:t>Lowest</w:t>
            </w:r>
            <w:r>
              <w:rPr>
                <w:rFonts w:hint="default" w:ascii="Times New Roman" w:hAnsi="Times New Roman" w:eastAsia="SimSun" w:cs="Times New Roman"/>
                <w:b w:val="0"/>
                <w:bCs w:val="0"/>
                <w:color w:val="000000"/>
                <w:sz w:val="18"/>
                <w:szCs w:val="18"/>
                <w:lang w:val="en-US" w:bidi="ar"/>
              </w:rPr>
              <w:t xml:space="preserve"> </w:t>
            </w:r>
            <w:r>
              <w:rPr>
                <w:rFonts w:hint="default" w:ascii="Times New Roman" w:hAnsi="Times New Roman" w:eastAsia="SimSun" w:cs="Times New Roman"/>
                <w:b w:val="0"/>
                <w:bCs w:val="0"/>
                <w:color w:val="000000"/>
                <w:sz w:val="18"/>
                <w:szCs w:val="18"/>
                <w:vertAlign w:val="superscript"/>
                <w:lang w:val="en-US" w:bidi="ar"/>
              </w:rPr>
              <w:t>b</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43.9</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(2.2)</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42.9</w:t>
            </w:r>
          </w:p>
          <w:p>
            <w:pPr>
              <w:spacing w:line="240" w:lineRule="auto"/>
              <w:jc w:val="center"/>
              <w:textAlignment w:val="center"/>
            </w:pPr>
            <w:r>
              <w:rPr>
                <w:rFonts w:ascii="Times New Roman" w:hAnsi="Times New Roman" w:eastAsia="SimSun" w:cs="Times New Roman"/>
                <w:color w:val="000000"/>
                <w:sz w:val="18"/>
                <w:szCs w:val="18"/>
                <w:lang w:bidi="ar"/>
              </w:rPr>
              <w:t>(2.4)</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26.9</w:t>
            </w:r>
          </w:p>
          <w:p>
            <w:pPr>
              <w:spacing w:line="240" w:lineRule="auto"/>
              <w:jc w:val="center"/>
              <w:textAlignment w:val="center"/>
            </w:pPr>
            <w:r>
              <w:rPr>
                <w:rFonts w:ascii="Times New Roman" w:hAnsi="Times New Roman" w:eastAsia="SimSun" w:cs="Times New Roman"/>
                <w:color w:val="000000"/>
                <w:sz w:val="18"/>
                <w:szCs w:val="18"/>
                <w:lang w:bidi="ar"/>
              </w:rPr>
              <w:t>(1.3)</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42.1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(2.7)</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Area of residence</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Rural</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9.9</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(0.7)</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10.8</w:t>
            </w:r>
          </w:p>
          <w:p>
            <w:pPr>
              <w:spacing w:line="240" w:lineRule="auto"/>
              <w:jc w:val="center"/>
              <w:textAlignment w:val="center"/>
            </w:pPr>
            <w:r>
              <w:rPr>
                <w:rFonts w:ascii="Times New Roman" w:hAnsi="Times New Roman" w:eastAsia="SimSun" w:cs="Times New Roman"/>
                <w:color w:val="000000"/>
                <w:sz w:val="18"/>
                <w:szCs w:val="18"/>
                <w:lang w:bidi="ar"/>
              </w:rPr>
              <w:t>(0.9)</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7.1</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Urban</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3.7</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(0.5)</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 head's education</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 education</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12.6</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13.6</w:t>
            </w:r>
          </w:p>
          <w:p>
            <w:pPr>
              <w:spacing w:line="240" w:lineRule="auto"/>
              <w:jc w:val="center"/>
              <w:textAlignment w:val="center"/>
            </w:pPr>
            <w:r>
              <w:rPr>
                <w:rFonts w:ascii="Times New Roman" w:hAnsi="Times New Roman" w:eastAsia="SimSun" w:cs="Times New Roman"/>
                <w:color w:val="000000"/>
                <w:sz w:val="18"/>
                <w:szCs w:val="18"/>
                <w:lang w:bidi="ar"/>
              </w:rPr>
              <w:t>(1.1)</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8.5</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Below secondary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4.0</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(0.7)</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40" w:lineRule="auto"/>
              <w:jc w:val="center"/>
              <w:textAlignment w:val="center"/>
            </w:pPr>
            <w:r>
              <w:rPr>
                <w:rFonts w:ascii="Times New Roman" w:hAnsi="Times New Roman" w:eastAsia="SimSun" w:cs="Times New Roman"/>
                <w:color w:val="000000"/>
                <w:sz w:val="18"/>
                <w:szCs w:val="18"/>
                <w:lang w:bidi="ar"/>
              </w:rPr>
              <w:t>(0.8)</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cs="Times New Roman"/>
                <w:b w:val="0"/>
                <w:bCs w:val="0"/>
                <w:color w:val="000000"/>
                <w:sz w:val="18"/>
                <w:szCs w:val="18"/>
                <w:lang w:val="en-US"/>
              </w:rPr>
            </w:pPr>
            <w:r>
              <w:rPr>
                <w:rFonts w:ascii="Times New Roman" w:hAnsi="Times New Roman" w:eastAsia="SimSun" w:cs="Times New Roman"/>
                <w:b w:val="0"/>
                <w:bCs w:val="0"/>
                <w:color w:val="000000"/>
                <w:sz w:val="18"/>
                <w:szCs w:val="18"/>
                <w:lang w:val="en-US" w:bidi="ar"/>
              </w:rPr>
              <w:t>Secondary or above</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bidi="ar"/>
              </w:rPr>
              <w:t>(0.5)</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p>
            <w:pPr>
              <w:spacing w:line="240" w:lineRule="auto"/>
              <w:jc w:val="center"/>
              <w:textAlignment w:val="center"/>
            </w:pPr>
            <w:r>
              <w:rPr>
                <w:rFonts w:ascii="Times New Roman" w:hAnsi="Times New Roman" w:eastAsia="SimSun" w:cs="Times New Roman"/>
                <w:color w:val="000000"/>
                <w:sz w:val="18"/>
                <w:szCs w:val="18"/>
                <w:lang w:bidi="ar"/>
              </w:rPr>
              <w:t>(0.8)</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pPr>
            <w:r>
              <w:rPr>
                <w:rFonts w:ascii="Times New Roman" w:hAnsi="Times New Roman" w:eastAsia="SimSun" w:cs="Times New Roman"/>
                <w:color w:val="000000"/>
                <w:sz w:val="18"/>
                <w:szCs w:val="18"/>
                <w:lang w:bidi="ar"/>
              </w:rPr>
              <w:t>(0.2)</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(0.2)</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Illness of main income earner</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7.9</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(0.6)</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9.6</w:t>
            </w:r>
          </w:p>
          <w:p>
            <w:pPr>
              <w:spacing w:line="240" w:lineRule="auto"/>
              <w:jc w:val="center"/>
              <w:textAlignment w:val="center"/>
            </w:pPr>
            <w:r>
              <w:rPr>
                <w:rFonts w:ascii="Times New Roman" w:hAnsi="Times New Roman" w:eastAsia="SimSun" w:cs="Times New Roman"/>
                <w:color w:val="000000"/>
                <w:sz w:val="18"/>
                <w:szCs w:val="18"/>
                <w:lang w:bidi="ar"/>
              </w:rPr>
              <w:t>(0.9)</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5.4</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Yes</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10.4</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(1.3)</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8.6</w:t>
            </w:r>
          </w:p>
          <w:p>
            <w:pPr>
              <w:spacing w:line="240" w:lineRule="auto"/>
              <w:jc w:val="center"/>
              <w:textAlignment w:val="center"/>
            </w:pPr>
            <w:r>
              <w:rPr>
                <w:rFonts w:ascii="Times New Roman" w:hAnsi="Times New Roman" w:eastAsia="SimSun" w:cs="Times New Roman"/>
                <w:color w:val="000000"/>
                <w:sz w:val="18"/>
                <w:szCs w:val="18"/>
                <w:lang w:bidi="ar"/>
              </w:rPr>
              <w:t>(1.2)</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6.0</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 xml:space="preserve">Age </w:t>
            </w:r>
            <w:r>
              <w:rPr>
                <w:rFonts w:hint="default" w:ascii="Times New Roman" w:hAnsi="Times New Roman" w:eastAsia="SimSun" w:cs="Times New Roman"/>
                <w:b w:val="0"/>
                <w:bCs w:val="0"/>
                <w:color w:val="000000"/>
                <w:sz w:val="18"/>
                <w:szCs w:val="18"/>
                <w:lang w:val="en-US" w:bidi="ar"/>
              </w:rPr>
              <w:t xml:space="preserve">composition </w:t>
            </w:r>
            <w:r>
              <w:rPr>
                <w:rFonts w:ascii="Times New Roman" w:hAnsi="Times New Roman" w:eastAsia="SimSun" w:cs="Times New Roman"/>
                <w:b w:val="0"/>
                <w:bCs w:val="0"/>
                <w:color w:val="000000"/>
                <w:sz w:val="18"/>
                <w:szCs w:val="18"/>
                <w:lang w:bidi="ar"/>
              </w:rPr>
              <w:t xml:space="preserve">of </w:t>
            </w:r>
            <w:r>
              <w:rPr>
                <w:rFonts w:ascii="Times New Roman" w:hAnsi="Times New Roman" w:eastAsia="SimSun" w:cs="Times New Roman"/>
                <w:b w:val="0"/>
                <w:bCs w:val="0"/>
                <w:color w:val="000000"/>
                <w:sz w:val="18"/>
                <w:szCs w:val="18"/>
                <w:lang w:val="en-US" w:bidi="ar"/>
              </w:rPr>
              <w:t>ill members</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2464" w:type="dxa"/>
            <w:tcBorders>
              <w:left w:val="single" w:color="000000" w:sz="4" w:space="0"/>
            </w:tcBorders>
            <w:shd w:val="clear" w:color="auto" w:fill="auto"/>
            <w:noWrap/>
            <w:vAlign w:val="center"/>
          </w:tcPr>
          <w:p>
            <w:pPr>
              <w:spacing w:after="0" w:line="240" w:lineRule="auto"/>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 xml:space="preserve">Children </w:t>
            </w:r>
            <w:r>
              <w:rPr>
                <w:rFonts w:hint="default" w:ascii="Times New Roman" w:hAnsi="Times New Roman" w:eastAsia="Times New Roman" w:cs="Times New Roman"/>
                <w:b w:val="0"/>
                <w:bCs w:val="0"/>
                <w:color w:val="000000"/>
                <w:sz w:val="18"/>
                <w:szCs w:val="18"/>
                <w:lang w:val="en-US"/>
              </w:rPr>
              <w:t xml:space="preserve">(&lt;18 years) </w:t>
            </w:r>
            <w:r>
              <w:rPr>
                <w:rFonts w:ascii="Times New Roman" w:hAnsi="Times New Roman" w:eastAsia="Times New Roman" w:cs="Times New Roman"/>
                <w:b w:val="0"/>
                <w:bCs w:val="0"/>
                <w:color w:val="000000"/>
                <w:sz w:val="18"/>
                <w:szCs w:val="18"/>
                <w:lang w:val="en-US"/>
              </w:rPr>
              <w:t>only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8.4</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(0.8)</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11.9</w:t>
            </w:r>
          </w:p>
          <w:p>
            <w:pPr>
              <w:spacing w:line="240" w:lineRule="auto"/>
              <w:jc w:val="center"/>
              <w:textAlignment w:val="center"/>
            </w:pPr>
            <w:r>
              <w:rPr>
                <w:rFonts w:ascii="Times New Roman" w:hAnsi="Times New Roman" w:eastAsia="SimSun" w:cs="Times New Roman"/>
                <w:color w:val="000000"/>
                <w:sz w:val="18"/>
                <w:szCs w:val="18"/>
                <w:lang w:bidi="ar"/>
              </w:rPr>
              <w:t>(1.2)</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5.5</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(4.8)</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r>
      <w:tr>
        <w:tblPrEx>
          <w:tblCellMar>
            <w:top w:w="0" w:type="dxa"/>
            <w:left w:w="108" w:type="dxa"/>
            <w:bottom w:w="0" w:type="dxa"/>
            <w:right w:w="108" w:type="dxa"/>
          </w:tblCellMar>
        </w:tblPrEx>
        <w:trPr>
          <w:trHeight w:val="90" w:hRule="atLeast"/>
        </w:trPr>
        <w:tc>
          <w:tcPr>
            <w:tcW w:w="2464" w:type="dxa"/>
            <w:tcBorders>
              <w:left w:val="single" w:color="000000" w:sz="4" w:space="0"/>
            </w:tcBorders>
            <w:shd w:val="clear" w:color="auto" w:fill="auto"/>
            <w:noWrap/>
            <w:vAlign w:val="center"/>
          </w:tcPr>
          <w:p>
            <w:pPr>
              <w:spacing w:after="0" w:line="240" w:lineRule="auto"/>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2464" w:type="dxa"/>
            <w:tcBorders>
              <w:left w:val="single" w:color="000000" w:sz="4" w:space="0"/>
            </w:tcBorders>
            <w:shd w:val="clear" w:color="auto" w:fill="auto"/>
            <w:noWrap/>
            <w:vAlign w:val="center"/>
          </w:tcPr>
          <w:p>
            <w:pPr>
              <w:spacing w:after="0" w:line="240" w:lineRule="auto"/>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 xml:space="preserve">Non-elderly adults </w:t>
            </w:r>
            <w:r>
              <w:rPr>
                <w:rFonts w:hint="default" w:ascii="Times New Roman" w:hAnsi="Times New Roman" w:eastAsia="Times New Roman" w:cs="Times New Roman"/>
                <w:b w:val="0"/>
                <w:bCs w:val="0"/>
                <w:color w:val="000000"/>
                <w:sz w:val="18"/>
                <w:szCs w:val="18"/>
                <w:lang w:val="en-US"/>
              </w:rPr>
              <w:t xml:space="preserve">(18-60 years) </w:t>
            </w:r>
            <w:r>
              <w:rPr>
                <w:rFonts w:ascii="Times New Roman" w:hAnsi="Times New Roman" w:eastAsia="Times New Roman" w:cs="Times New Roman"/>
                <w:b w:val="0"/>
                <w:bCs w:val="0"/>
                <w:color w:val="000000"/>
                <w:sz w:val="18"/>
                <w:szCs w:val="18"/>
                <w:lang w:val="en-US"/>
              </w:rPr>
              <w:t>only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7.6</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7.4</w:t>
            </w:r>
          </w:p>
          <w:p>
            <w:pPr>
              <w:spacing w:line="240" w:lineRule="auto"/>
              <w:jc w:val="center"/>
              <w:textAlignment w:val="center"/>
            </w:pPr>
            <w:r>
              <w:rPr>
                <w:rFonts w:ascii="Times New Roman" w:hAnsi="Times New Roman" w:eastAsia="SimSun" w:cs="Times New Roman"/>
                <w:color w:val="000000"/>
                <w:sz w:val="18"/>
                <w:szCs w:val="18"/>
                <w:lang w:bidi="ar"/>
              </w:rPr>
              <w:t>(0.9)</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4.9</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r>
      <w:tr>
        <w:tblPrEx>
          <w:tblCellMar>
            <w:top w:w="0" w:type="dxa"/>
            <w:left w:w="108" w:type="dxa"/>
            <w:bottom w:w="0" w:type="dxa"/>
            <w:right w:w="108" w:type="dxa"/>
          </w:tblCellMar>
        </w:tblPrEx>
        <w:trPr>
          <w:trHeight w:val="90" w:hRule="atLeast"/>
        </w:trPr>
        <w:tc>
          <w:tcPr>
            <w:tcW w:w="2464" w:type="dxa"/>
            <w:tcBorders>
              <w:left w:val="single" w:color="000000" w:sz="4" w:space="0"/>
            </w:tcBorders>
            <w:shd w:val="clear" w:color="auto" w:fill="auto"/>
            <w:noWrap/>
            <w:vAlign w:val="center"/>
          </w:tcPr>
          <w:p>
            <w:pPr>
              <w:spacing w:after="0" w:line="240" w:lineRule="auto"/>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2464" w:type="dxa"/>
            <w:tcBorders>
              <w:left w:val="single" w:color="000000" w:sz="4" w:space="0"/>
            </w:tcBorders>
            <w:shd w:val="clear" w:color="auto" w:fill="auto"/>
            <w:noWrap/>
            <w:vAlign w:val="center"/>
          </w:tcPr>
          <w:p>
            <w:pPr>
              <w:spacing w:after="0" w:line="240" w:lineRule="auto"/>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 xml:space="preserve">Elderly </w:t>
            </w:r>
            <w:r>
              <w:rPr>
                <w:rFonts w:hint="default" w:ascii="Times New Roman" w:hAnsi="Times New Roman" w:eastAsia="Times New Roman" w:cs="Times New Roman"/>
                <w:b w:val="0"/>
                <w:bCs w:val="0"/>
                <w:color w:val="000000"/>
                <w:sz w:val="18"/>
                <w:szCs w:val="18"/>
                <w:lang w:val="en-US"/>
              </w:rPr>
              <w:t xml:space="preserve">(&gt;60 years) </w:t>
            </w:r>
            <w:r>
              <w:rPr>
                <w:rFonts w:ascii="Times New Roman" w:hAnsi="Times New Roman" w:eastAsia="Times New Roman" w:cs="Times New Roman"/>
                <w:b w:val="0"/>
                <w:bCs w:val="0"/>
                <w:color w:val="000000"/>
                <w:sz w:val="18"/>
                <w:szCs w:val="18"/>
                <w:lang w:val="en-US"/>
              </w:rPr>
              <w:t>only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14.3</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(2.9)</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16.8</w:t>
            </w:r>
          </w:p>
          <w:p>
            <w:pPr>
              <w:spacing w:line="240" w:lineRule="auto"/>
              <w:jc w:val="center"/>
              <w:textAlignment w:val="center"/>
            </w:pPr>
            <w:r>
              <w:rPr>
                <w:rFonts w:ascii="Times New Roman" w:hAnsi="Times New Roman" w:eastAsia="SimSun" w:cs="Times New Roman"/>
                <w:color w:val="000000"/>
                <w:sz w:val="18"/>
                <w:szCs w:val="18"/>
                <w:lang w:bidi="ar"/>
              </w:rPr>
              <w:t>(3.9)</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14.2</w:t>
            </w:r>
          </w:p>
          <w:p>
            <w:pPr>
              <w:spacing w:line="240" w:lineRule="auto"/>
              <w:jc w:val="center"/>
              <w:textAlignment w:val="center"/>
            </w:pPr>
            <w:r>
              <w:rPr>
                <w:rFonts w:ascii="Times New Roman" w:hAnsi="Times New Roman" w:eastAsia="SimSun" w:cs="Times New Roman"/>
                <w:color w:val="000000"/>
                <w:sz w:val="18"/>
                <w:szCs w:val="18"/>
                <w:lang w:bidi="ar"/>
              </w:rPr>
              <w:t>(2.0)</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non-elderly adults</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8.7</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(1.5)</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6.1</w:t>
            </w:r>
          </w:p>
          <w:p>
            <w:pPr>
              <w:spacing w:line="240" w:lineRule="auto"/>
              <w:jc w:val="center"/>
              <w:textAlignment w:val="center"/>
            </w:pPr>
            <w:r>
              <w:rPr>
                <w:rFonts w:ascii="Times New Roman" w:hAnsi="Times New Roman" w:eastAsia="SimSun" w:cs="Times New Roman"/>
                <w:color w:val="000000"/>
                <w:sz w:val="18"/>
                <w:szCs w:val="18"/>
                <w:lang w:bidi="ar"/>
              </w:rPr>
              <w:t>(1.2)</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4.9</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Non-elderly adults and elderly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bidi="ar"/>
              </w:rPr>
              <w:t>(1.8)</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7.9</w:t>
            </w:r>
          </w:p>
          <w:p>
            <w:pPr>
              <w:spacing w:line="240" w:lineRule="auto"/>
              <w:jc w:val="center"/>
              <w:textAlignment w:val="center"/>
            </w:pPr>
            <w:r>
              <w:rPr>
                <w:rFonts w:ascii="Times New Roman" w:hAnsi="Times New Roman" w:eastAsia="SimSun" w:cs="Times New Roman"/>
                <w:color w:val="000000"/>
                <w:sz w:val="18"/>
                <w:szCs w:val="18"/>
                <w:lang w:bidi="ar"/>
              </w:rPr>
              <w:t>(4.7)</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7.4</w:t>
            </w:r>
          </w:p>
          <w:p>
            <w:pPr>
              <w:spacing w:line="240" w:lineRule="auto"/>
              <w:jc w:val="center"/>
              <w:textAlignment w:val="center"/>
            </w:pPr>
            <w:r>
              <w:rPr>
                <w:rFonts w:ascii="Times New Roman" w:hAnsi="Times New Roman" w:eastAsia="SimSun" w:cs="Times New Roman"/>
                <w:color w:val="000000"/>
                <w:sz w:val="18"/>
                <w:szCs w:val="18"/>
                <w:lang w:bidi="ar"/>
              </w:rPr>
              <w:t>(3.0)</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elderly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12.9</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val="en-US" w:bidi="ar"/>
              </w:rPr>
              <w:t>(</w:t>
            </w:r>
            <w:r>
              <w:rPr>
                <w:rFonts w:hint="default" w:ascii="Times New Roman" w:hAnsi="Times New Roman" w:eastAsia="SimSun" w:cs="Times New Roman"/>
                <w:color w:val="000000"/>
                <w:sz w:val="18"/>
                <w:szCs w:val="18"/>
                <w:lang w:val="en-US" w:bidi="ar"/>
              </w:rPr>
              <w:t>0.7</w:t>
            </w:r>
            <w:r>
              <w:rPr>
                <w:rFonts w:ascii="Times New Roman" w:hAnsi="Times New Roman" w:eastAsia="SimSun" w:cs="Times New Roman"/>
                <w:color w:val="000000"/>
                <w:sz w:val="18"/>
                <w:szCs w:val="18"/>
                <w:lang w:val="en-US" w:bidi="ar"/>
              </w:rPr>
              <w:t>)</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pPr>
            <w:r>
              <w:rPr>
                <w:rFonts w:ascii="Times New Roman" w:hAnsi="Times New Roman" w:eastAsia="SimSun" w:cs="Times New Roman"/>
                <w:color w:val="000000"/>
                <w:sz w:val="18"/>
                <w:szCs w:val="18"/>
                <w:lang w:val="en-US" w:bidi="ar"/>
              </w:rPr>
              <w:t>(n/o)</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9.8</w:t>
            </w:r>
          </w:p>
          <w:p>
            <w:pPr>
              <w:spacing w:line="240" w:lineRule="auto"/>
              <w:jc w:val="center"/>
              <w:textAlignment w:val="center"/>
            </w:pPr>
            <w:r>
              <w:rPr>
                <w:rFonts w:ascii="Times New Roman" w:hAnsi="Times New Roman" w:eastAsia="SimSun" w:cs="Times New Roman"/>
                <w:color w:val="000000"/>
                <w:sz w:val="18"/>
                <w:szCs w:val="18"/>
                <w:lang w:bidi="ar"/>
              </w:rPr>
              <w:t>(4.9)</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(5.0)</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6.9</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w:t>
            </w:r>
            <w:r>
              <w:rPr>
                <w:rFonts w:hint="default" w:ascii="Times New Roman" w:hAnsi="Times New Roman" w:eastAsia="SimSun" w:cs="Times New Roman"/>
                <w:color w:val="000000"/>
                <w:sz w:val="18"/>
                <w:szCs w:val="18"/>
                <w:lang w:val="en-US" w:bidi="ar"/>
              </w:rPr>
              <w:t>0.3</w:t>
            </w:r>
            <w:r>
              <w:rPr>
                <w:rFonts w:ascii="Times New Roman" w:hAnsi="Times New Roman" w:eastAsia="SimSun" w:cs="Times New Roman"/>
                <w:color w:val="000000"/>
                <w:sz w:val="18"/>
                <w:szCs w:val="18"/>
                <w:lang w:val="en-US" w:bidi="ar"/>
              </w:rPr>
              <w:t>)</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 xml:space="preserve">Gender </w:t>
            </w:r>
            <w:r>
              <w:rPr>
                <w:rFonts w:hint="default" w:ascii="Times New Roman" w:hAnsi="Times New Roman" w:eastAsia="SimSun" w:cs="Times New Roman"/>
                <w:b w:val="0"/>
                <w:bCs w:val="0"/>
                <w:color w:val="000000"/>
                <w:sz w:val="18"/>
                <w:szCs w:val="18"/>
                <w:lang w:val="en-US" w:bidi="ar"/>
              </w:rPr>
              <w:t xml:space="preserve">composition </w:t>
            </w:r>
            <w:r>
              <w:rPr>
                <w:rFonts w:ascii="Times New Roman" w:hAnsi="Times New Roman" w:eastAsia="SimSun" w:cs="Times New Roman"/>
                <w:b w:val="0"/>
                <w:bCs w:val="0"/>
                <w:color w:val="000000"/>
                <w:sz w:val="18"/>
                <w:szCs w:val="18"/>
                <w:lang w:bidi="ar"/>
              </w:rPr>
              <w:t xml:space="preserve">of </w:t>
            </w:r>
            <w:r>
              <w:rPr>
                <w:rFonts w:ascii="Times New Roman" w:hAnsi="Times New Roman" w:eastAsia="SimSun" w:cs="Times New Roman"/>
                <w:b w:val="0"/>
                <w:bCs w:val="0"/>
                <w:color w:val="000000"/>
                <w:sz w:val="18"/>
                <w:szCs w:val="18"/>
                <w:lang w:val="en-US" w:bidi="ar"/>
              </w:rPr>
              <w:t>ill members</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only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8.5</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10.4</w:t>
            </w:r>
          </w:p>
          <w:p>
            <w:pPr>
              <w:spacing w:line="240" w:lineRule="auto"/>
              <w:jc w:val="center"/>
              <w:textAlignment w:val="center"/>
            </w:pPr>
            <w:r>
              <w:rPr>
                <w:rFonts w:ascii="Times New Roman" w:hAnsi="Times New Roman" w:eastAsia="SimSun" w:cs="Times New Roman"/>
                <w:color w:val="000000"/>
                <w:sz w:val="18"/>
                <w:szCs w:val="18"/>
                <w:lang w:bidi="ar"/>
              </w:rPr>
              <w:t>(1.2)</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Female only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9.7</w:t>
            </w:r>
          </w:p>
          <w:p>
            <w:pPr>
              <w:spacing w:line="240" w:lineRule="auto"/>
              <w:jc w:val="center"/>
              <w:textAlignment w:val="center"/>
            </w:pPr>
            <w:r>
              <w:rPr>
                <w:rFonts w:ascii="Times New Roman" w:hAnsi="Times New Roman" w:eastAsia="SimSun" w:cs="Times New Roman"/>
                <w:color w:val="000000"/>
                <w:sz w:val="18"/>
                <w:szCs w:val="18"/>
                <w:lang w:bidi="ar"/>
              </w:rPr>
              <w:t>(1.1)</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40" w:lineRule="auto"/>
              <w:jc w:val="center"/>
              <w:textAlignment w:val="center"/>
            </w:pPr>
            <w:r>
              <w:rPr>
                <w:rFonts w:ascii="Times New Roman" w:hAnsi="Times New Roman" w:eastAsia="SimSun" w:cs="Times New Roman"/>
                <w:color w:val="000000"/>
                <w:sz w:val="18"/>
                <w:szCs w:val="18"/>
                <w:lang w:bidi="ar"/>
              </w:rPr>
              <w:t>(0.5)</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and female</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7.1</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(1.2)</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6.2</w:t>
            </w:r>
          </w:p>
          <w:p>
            <w:pPr>
              <w:spacing w:line="240" w:lineRule="auto"/>
              <w:jc w:val="center"/>
              <w:textAlignment w:val="center"/>
            </w:pPr>
            <w:r>
              <w:rPr>
                <w:rFonts w:ascii="Times New Roman" w:hAnsi="Times New Roman" w:eastAsia="SimSun" w:cs="Times New Roman"/>
                <w:color w:val="000000"/>
                <w:sz w:val="18"/>
                <w:szCs w:val="18"/>
                <w:lang w:bidi="ar"/>
              </w:rPr>
              <w:t>(1.1)</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4.6</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 xml:space="preserve">Number of </w:t>
            </w:r>
            <w:r>
              <w:rPr>
                <w:rFonts w:ascii="Times New Roman" w:hAnsi="Times New Roman" w:eastAsia="SimSun" w:cs="Times New Roman"/>
                <w:b w:val="0"/>
                <w:bCs w:val="0"/>
                <w:color w:val="000000"/>
                <w:sz w:val="18"/>
                <w:szCs w:val="18"/>
                <w:lang w:val="en-US" w:bidi="ar"/>
              </w:rPr>
              <w:t>ill members</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8.6</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(0.7)</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10.3</w:t>
            </w:r>
          </w:p>
          <w:p>
            <w:pPr>
              <w:spacing w:line="240" w:lineRule="auto"/>
              <w:jc w:val="center"/>
              <w:textAlignment w:val="center"/>
            </w:pPr>
            <w:r>
              <w:rPr>
                <w:rFonts w:ascii="Times New Roman" w:hAnsi="Times New Roman" w:eastAsia="SimSun" w:cs="Times New Roman"/>
                <w:color w:val="000000"/>
                <w:sz w:val="18"/>
                <w:szCs w:val="18"/>
                <w:lang w:bidi="ar"/>
              </w:rPr>
              <w:t>(0.9)</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8.3</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7.2</w:t>
            </w:r>
          </w:p>
          <w:p>
            <w:pPr>
              <w:spacing w:line="240" w:lineRule="auto"/>
              <w:jc w:val="center"/>
              <w:textAlignment w:val="center"/>
            </w:pPr>
            <w:r>
              <w:rPr>
                <w:rFonts w:ascii="Times New Roman" w:hAnsi="Times New Roman" w:eastAsia="SimSun" w:cs="Times New Roman"/>
                <w:color w:val="000000"/>
                <w:sz w:val="18"/>
                <w:szCs w:val="18"/>
                <w:lang w:bidi="ar"/>
              </w:rPr>
              <w:t>(1.0)</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5.0</w:t>
            </w:r>
          </w:p>
          <w:p>
            <w:pPr>
              <w:spacing w:line="240" w:lineRule="auto"/>
              <w:jc w:val="center"/>
              <w:textAlignment w:val="center"/>
            </w:pPr>
            <w:r>
              <w:rPr>
                <w:rFonts w:ascii="Times New Roman" w:hAnsi="Times New Roman" w:eastAsia="SimSun" w:cs="Times New Roman"/>
                <w:color w:val="000000"/>
                <w:sz w:val="18"/>
                <w:szCs w:val="18"/>
                <w:lang w:bidi="ar"/>
              </w:rPr>
              <w:t>(0.6)</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3.0</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hint="default"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Comorbidity</w:t>
            </w:r>
            <w:r>
              <w:rPr>
                <w:rFonts w:hint="default" w:ascii="Times New Roman" w:hAnsi="Times New Roman" w:eastAsia="SimSun" w:cs="Times New Roman"/>
                <w:b w:val="0"/>
                <w:bCs w:val="0"/>
                <w:color w:val="000000"/>
                <w:sz w:val="18"/>
                <w:szCs w:val="18"/>
                <w:lang w:val="en-US" w:bidi="ar"/>
              </w:rPr>
              <w:t xml:space="preserve"> of ill members</w:t>
            </w: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 disease (no comorbidity)</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7.9</w:t>
            </w:r>
          </w:p>
          <w:p>
            <w:pPr>
              <w:spacing w:line="240"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(0.6)</w:t>
            </w:r>
          </w:p>
        </w:tc>
        <w:tc>
          <w:tcPr>
            <w:tcW w:w="1211" w:type="dxa"/>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9.4</w:t>
            </w:r>
          </w:p>
          <w:p>
            <w:pPr>
              <w:spacing w:line="240" w:lineRule="auto"/>
              <w:jc w:val="center"/>
              <w:textAlignment w:val="center"/>
            </w:pPr>
            <w:r>
              <w:rPr>
                <w:rFonts w:ascii="Times New Roman" w:hAnsi="Times New Roman" w:eastAsia="SimSun" w:cs="Times New Roman"/>
                <w:color w:val="000000"/>
                <w:sz w:val="18"/>
                <w:szCs w:val="18"/>
                <w:lang w:bidi="ar"/>
              </w:rPr>
              <w:t>(0.7)</w:t>
            </w:r>
          </w:p>
        </w:tc>
        <w:tc>
          <w:tcPr>
            <w:tcW w:w="1216" w:type="dxa"/>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40" w:lineRule="auto"/>
              <w:jc w:val="center"/>
              <w:textAlignment w:val="center"/>
            </w:pPr>
            <w:r>
              <w:rPr>
                <w:rFonts w:ascii="Times New Roman" w:hAnsi="Times New Roman" w:eastAsia="SimSun" w:cs="Times New Roman"/>
                <w:color w:val="000000"/>
                <w:sz w:val="18"/>
                <w:szCs w:val="18"/>
                <w:lang w:bidi="ar"/>
              </w:rPr>
              <w:t>(0.4)</w:t>
            </w: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6.6</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1" w:type="pct"/>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5.7</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90" w:hRule="atLeast"/>
        </w:trPr>
        <w:tc>
          <w:tcPr>
            <w:tcW w:w="919" w:type="pct"/>
            <w:tcBorders>
              <w:left w:val="single" w:color="000000" w:sz="4" w:space="0"/>
            </w:tcBorders>
            <w:shd w:val="clear" w:color="auto" w:fill="auto"/>
            <w:noWrap/>
            <w:vAlign w:val="center"/>
          </w:tcPr>
          <w:p>
            <w:pPr>
              <w:spacing w:line="240" w:lineRule="auto"/>
              <w:textAlignment w:val="bottom"/>
              <w:rPr>
                <w:rFonts w:ascii="Times New Roman" w:hAnsi="Times New Roman" w:eastAsia="SimSun" w:cs="Times New Roman"/>
                <w:b w:val="0"/>
                <w:bCs w:val="0"/>
                <w:color w:val="000000"/>
                <w:sz w:val="18"/>
                <w:szCs w:val="18"/>
                <w:lang w:bidi="ar"/>
              </w:rPr>
            </w:pPr>
          </w:p>
        </w:tc>
        <w:tc>
          <w:tcPr>
            <w:tcW w:w="1211" w:type="dxa"/>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1211" w:type="dxa"/>
            <w:shd w:val="clear" w:color="auto" w:fill="auto"/>
            <w:noWrap/>
            <w:vAlign w:val="center"/>
          </w:tcPr>
          <w:p>
            <w:pPr>
              <w:spacing w:line="240" w:lineRule="auto"/>
              <w:jc w:val="center"/>
              <w:textAlignment w:val="center"/>
            </w:pPr>
          </w:p>
        </w:tc>
        <w:tc>
          <w:tcPr>
            <w:tcW w:w="1216" w:type="dxa"/>
            <w:tcBorders>
              <w:right w:val="single" w:color="auto" w:sz="4" w:space="0"/>
            </w:tcBorders>
            <w:shd w:val="clear" w:color="auto" w:fill="auto"/>
            <w:noWrap/>
            <w:vAlign w:val="center"/>
          </w:tcPr>
          <w:p>
            <w:pPr>
              <w:spacing w:line="240" w:lineRule="auto"/>
              <w:jc w:val="center"/>
              <w:textAlignment w:val="center"/>
            </w:pPr>
          </w:p>
        </w:tc>
        <w:tc>
          <w:tcPr>
            <w:tcW w:w="452"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3" w:type="pct"/>
            <w:tcBorders>
              <w:righ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tcBorders>
              <w:left w:val="single" w:color="auto"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1" w:type="pct"/>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c>
          <w:tcPr>
            <w:tcW w:w="459" w:type="pct"/>
            <w:tcBorders>
              <w:right w:val="single" w:color="000000" w:sz="4" w:space="0"/>
            </w:tcBorders>
            <w:shd w:val="clear" w:color="auto" w:fill="auto"/>
            <w:noWrap/>
            <w:vAlign w:val="center"/>
          </w:tcPr>
          <w:p>
            <w:pPr>
              <w:spacing w:line="240" w:lineRule="auto"/>
              <w:jc w:val="center"/>
              <w:textAlignment w:val="center"/>
              <w:rPr>
                <w:rFonts w:ascii="Times New Roman" w:hAnsi="Times New Roman" w:eastAsia="SimSun" w:cs="Times New Roman"/>
                <w:color w:val="000000"/>
                <w:sz w:val="18"/>
                <w:szCs w:val="18"/>
                <w:lang w:bidi="ar"/>
              </w:rPr>
            </w:pPr>
          </w:p>
        </w:tc>
      </w:tr>
      <w:tr>
        <w:trPr>
          <w:trHeight w:val="90" w:hRule="atLeast"/>
        </w:trPr>
        <w:tc>
          <w:tcPr>
            <w:tcW w:w="919" w:type="pct"/>
            <w:tcBorders>
              <w:left w:val="single" w:color="000000" w:sz="4" w:space="0"/>
              <w:bottom w:val="single" w:color="000000" w:sz="4" w:space="0"/>
            </w:tcBorders>
            <w:shd w:val="clear" w:color="auto" w:fill="auto"/>
            <w:noWrap/>
            <w:vAlign w:val="center"/>
          </w:tcPr>
          <w:p>
            <w:pPr>
              <w:spacing w:line="240"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 diseases</w:t>
            </w:r>
          </w:p>
        </w:tc>
        <w:tc>
          <w:tcPr>
            <w:tcW w:w="1211" w:type="dxa"/>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11.6</w:t>
            </w:r>
          </w:p>
          <w:p>
            <w:pPr>
              <w:spacing w:line="240" w:lineRule="auto"/>
              <w:jc w:val="center"/>
              <w:textAlignment w:val="center"/>
              <w:rPr>
                <w:rFonts w:ascii="Times New Roman" w:hAnsi="Times New Roman" w:eastAsia="SimSun" w:cs="Times New Roman"/>
                <w:color w:val="000000"/>
                <w:sz w:val="18"/>
                <w:szCs w:val="18"/>
                <w:lang w:val="en-US" w:bidi="ar"/>
              </w:rPr>
            </w:pPr>
            <w:r>
              <w:rPr>
                <w:rFonts w:ascii="Times New Roman" w:hAnsi="Times New Roman" w:eastAsia="SimSun" w:cs="Times New Roman"/>
                <w:color w:val="000000"/>
                <w:sz w:val="18"/>
                <w:szCs w:val="18"/>
                <w:lang w:bidi="ar"/>
              </w:rPr>
              <w:t>(1.6)</w:t>
            </w:r>
          </w:p>
        </w:tc>
        <w:tc>
          <w:tcPr>
            <w:tcW w:w="1211" w:type="dxa"/>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8.1</w:t>
            </w:r>
          </w:p>
          <w:p>
            <w:pPr>
              <w:spacing w:line="240" w:lineRule="auto"/>
              <w:jc w:val="center"/>
              <w:textAlignment w:val="center"/>
            </w:pPr>
            <w:r>
              <w:rPr>
                <w:rFonts w:ascii="Times New Roman" w:hAnsi="Times New Roman" w:eastAsia="SimSun" w:cs="Times New Roman"/>
                <w:color w:val="000000"/>
                <w:sz w:val="18"/>
                <w:szCs w:val="18"/>
                <w:lang w:bidi="ar"/>
              </w:rPr>
              <w:t>(2.0)</w:t>
            </w:r>
          </w:p>
        </w:tc>
        <w:tc>
          <w:tcPr>
            <w:tcW w:w="1216" w:type="dxa"/>
            <w:tcBorders>
              <w:bottom w:val="single" w:color="000000" w:sz="4" w:space="0"/>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5.4</w:t>
            </w:r>
          </w:p>
          <w:p>
            <w:pPr>
              <w:spacing w:line="240" w:lineRule="auto"/>
              <w:jc w:val="center"/>
              <w:textAlignment w:val="center"/>
            </w:pPr>
            <w:r>
              <w:rPr>
                <w:rFonts w:ascii="Times New Roman" w:hAnsi="Times New Roman" w:eastAsia="SimSun" w:cs="Times New Roman"/>
                <w:color w:val="000000"/>
                <w:sz w:val="18"/>
                <w:szCs w:val="18"/>
                <w:lang w:bidi="ar"/>
              </w:rPr>
              <w:t>(0.7)</w:t>
            </w:r>
          </w:p>
        </w:tc>
        <w:tc>
          <w:tcPr>
            <w:tcW w:w="452" w:type="pct"/>
            <w:tcBorders>
              <w:left w:val="single" w:color="auto" w:sz="4" w:space="0"/>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40"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51" w:type="pct"/>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3" w:type="pct"/>
            <w:tcBorders>
              <w:bottom w:val="single" w:color="000000" w:sz="4" w:space="0"/>
              <w:right w:val="single" w:color="auto"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51" w:type="pct"/>
            <w:tcBorders>
              <w:left w:val="single" w:color="auto" w:sz="4" w:space="0"/>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7.3</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1" w:type="pct"/>
            <w:tcBorders>
              <w:bottom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6.8</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9" w:type="pct"/>
            <w:tcBorders>
              <w:bottom w:val="single" w:color="000000" w:sz="4" w:space="0"/>
              <w:right w:val="single" w:color="000000" w:sz="4" w:space="0"/>
            </w:tcBorders>
            <w:shd w:val="clear" w:color="auto" w:fill="auto"/>
            <w:noWrap/>
            <w:vAlign w:val="center"/>
          </w:tcPr>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40"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bl>
    <w:p>
      <w:pPr>
        <w:rPr>
          <w:rFonts w:ascii="Times New Roman" w:hAnsi="Times New Roman" w:cs="Times New Roman"/>
          <w:sz w:val="20"/>
          <w:szCs w:val="20"/>
          <w:lang w:val="en-US"/>
        </w:rPr>
      </w:pPr>
      <w:r>
        <w:rPr>
          <w:rFonts w:ascii="Times New Roman" w:hAnsi="Times New Roman" w:cs="Times New Roman"/>
          <w:sz w:val="20"/>
          <w:szCs w:val="20"/>
          <w:lang w:val="en-US"/>
        </w:rPr>
        <w:t xml:space="preserve">NCD = noncommunicable diseases, </w:t>
      </w:r>
      <w:r>
        <w:rPr>
          <w:rFonts w:hint="default" w:ascii="Times New Roman" w:hAnsi="Times New Roman" w:cs="Times New Roman"/>
          <w:sz w:val="20"/>
          <w:szCs w:val="20"/>
          <w:lang w:val="en-US"/>
        </w:rPr>
        <w:t xml:space="preserve">OOP = out-of-pocket, </w:t>
      </w:r>
      <w:r>
        <w:rPr>
          <w:rFonts w:hint="default" w:ascii="Times New Roman" w:hAnsi="Times New Roman" w:eastAsia="Times New Roman" w:cs="Times New Roman"/>
          <w:color w:val="000000"/>
          <w:sz w:val="18"/>
          <w:szCs w:val="18"/>
          <w:lang w:val="en-US" w:eastAsia="en-AU"/>
        </w:rPr>
        <w:t xml:space="preserve">CTP = capacity-to-pay, </w:t>
      </w:r>
      <w:r>
        <w:rPr>
          <w:rFonts w:ascii="Times New Roman" w:hAnsi="Times New Roman" w:cs="Times New Roman"/>
          <w:sz w:val="20"/>
          <w:szCs w:val="20"/>
          <w:lang w:val="en-US"/>
        </w:rPr>
        <w:t>n/o = no observations</w:t>
      </w:r>
    </w:p>
    <w:p>
      <w:pPr>
        <w:rPr>
          <w:rFonts w:hint="default" w:ascii="Times New Roman" w:hAnsi="Times New Roman" w:eastAsia="Times New Roman" w:cs="Times New Roman"/>
          <w:color w:val="000000"/>
          <w:sz w:val="18"/>
          <w:szCs w:val="18"/>
          <w:lang w:val="en-US" w:eastAsia="en-AU"/>
        </w:rPr>
      </w:pPr>
    </w:p>
    <w:p>
      <w:pPr>
        <w:rPr>
          <w:rFonts w:hint="default" w:ascii="Times New Roman" w:hAnsi="Times New Roman" w:cs="Times New Roman"/>
          <w:sz w:val="20"/>
          <w:szCs w:val="20"/>
          <w:lang w:val="en-US"/>
        </w:rPr>
      </w:pPr>
      <w:r>
        <w:rPr>
          <w:rFonts w:hint="default" w:ascii="Times New Roman" w:hAnsi="Times New Roman" w:eastAsia="Times New Roman" w:cs="Times New Roman"/>
          <w:color w:val="000000"/>
          <w:sz w:val="18"/>
          <w:szCs w:val="18"/>
          <w:lang w:val="en-US" w:eastAsia="en-AU"/>
        </w:rPr>
        <w:t>N</w:t>
      </w:r>
      <w:r>
        <w:rPr>
          <w:rFonts w:hint="default" w:ascii="Times New Roman" w:hAnsi="Times New Roman" w:cs="Times New Roman"/>
          <w:sz w:val="20"/>
          <w:szCs w:val="20"/>
          <w:lang w:val="en-US"/>
        </w:rPr>
        <w:t xml:space="preserve">umbers in parentheses are </w:t>
      </w:r>
      <w:r>
        <w:rPr>
          <w:rFonts w:ascii="Times New Roman" w:hAnsi="Times New Roman" w:cs="Times New Roman"/>
          <w:sz w:val="20"/>
          <w:szCs w:val="20"/>
          <w:lang w:val="en-US"/>
        </w:rPr>
        <w:t>standard error</w:t>
      </w:r>
      <w:r>
        <w:rPr>
          <w:rFonts w:hint="default" w:ascii="Times New Roman" w:hAnsi="Times New Roman" w:cs="Times New Roman"/>
          <w:sz w:val="20"/>
          <w:szCs w:val="20"/>
          <w:lang w:val="en-US"/>
        </w:rPr>
        <w:t>s</w:t>
      </w:r>
    </w:p>
    <w:p>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 xml:space="preserve">a </w:t>
      </w:r>
      <w:r>
        <w:rPr>
          <w:rFonts w:ascii="Times New Roman" w:hAnsi="Times New Roman" w:cs="Times New Roman"/>
          <w:sz w:val="20"/>
          <w:szCs w:val="20"/>
          <w:lang w:val="en-US"/>
        </w:rPr>
        <w:t xml:space="preserve">Any health expenditure by a poor household is considered further impoverishing. A household is poor when its total consumption expenditure is less than subsistence expenditure. Subsistence expenditure is defined as the average per (equivalent) person spending on food, rent, and utilities of the households between the 25th and 35th percentiles of the per (equivalent) person total consumption expenditure distribution. </w:t>
      </w:r>
    </w:p>
    <w:p>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pPr>
        <w:jc w:val="both"/>
      </w:pP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xml:space="preserve">The poorest consumption quintile consists of poor and non-poor households. No household among the second and higher quintiles is poor. Hence, the further impoverishment incidence is not available for the </w:t>
      </w:r>
      <w:r>
        <w:rPr>
          <w:rFonts w:hint="default" w:ascii="Times New Roman" w:hAnsi="Times New Roman" w:cs="Times New Roman"/>
          <w:sz w:val="20"/>
          <w:szCs w:val="20"/>
          <w:lang w:val="en-US"/>
        </w:rPr>
        <w:t xml:space="preserve">four </w:t>
      </w:r>
      <w:r>
        <w:rPr>
          <w:rFonts w:ascii="Times New Roman" w:hAnsi="Times New Roman" w:cs="Times New Roman"/>
          <w:sz w:val="20"/>
          <w:szCs w:val="20"/>
          <w:lang w:val="en-US"/>
        </w:rPr>
        <w:t xml:space="preserve">upper quintile. </w:t>
      </w:r>
    </w:p>
    <w:p>
      <w:pPr>
        <w:rPr>
          <w:rFonts w:ascii="Times New Roman" w:hAnsi="Times New Roman" w:cs="Times New Roman"/>
        </w:rPr>
      </w:pPr>
    </w:p>
    <w:p>
      <w:pPr>
        <w:rPr>
          <w:rFonts w:ascii="Times New Roman" w:hAnsi="Times New Roman" w:cs="Times New Roman"/>
          <w:sz w:val="20"/>
          <w:szCs w:val="20"/>
          <w:lang w:val="en-US"/>
        </w:rPr>
      </w:pPr>
    </w:p>
    <w:p>
      <w:pPr>
        <w:rPr>
          <w:rFonts w:ascii="Times New Roman" w:hAnsi="Times New Roman" w:cs="Times New Roman"/>
          <w:sz w:val="20"/>
          <w:szCs w:val="20"/>
          <w:lang w:val="en-US"/>
        </w:rPr>
      </w:pPr>
    </w:p>
    <w:p>
      <w:pPr>
        <w:rPr>
          <w:rFonts w:ascii="Times New Roman" w:hAnsi="Times New Roman" w:cs="Times New Roman"/>
          <w:sz w:val="20"/>
          <w:szCs w:val="20"/>
          <w:lang w:val="en-US"/>
        </w:rPr>
      </w:pPr>
    </w:p>
    <w:p>
      <w:pPr>
        <w:rPr>
          <w:rFonts w:ascii="Times New Roman" w:hAnsi="Times New Roman" w:cs="Times New Roman"/>
          <w:sz w:val="20"/>
          <w:szCs w:val="20"/>
          <w:lang w:val="en-US"/>
        </w:rPr>
      </w:pPr>
    </w:p>
    <w:p>
      <w:pPr>
        <w:rPr>
          <w:rFonts w:ascii="Times New Roman" w:hAnsi="Times New Roman" w:cs="Times New Roman"/>
          <w:sz w:val="20"/>
          <w:szCs w:val="20"/>
          <w:lang w:val="en-US"/>
        </w:rPr>
      </w:pPr>
    </w:p>
    <w:p>
      <w:pPr>
        <w:rPr>
          <w:rFonts w:ascii="Times New Roman" w:hAnsi="Times New Roman" w:cs="Times New Roman"/>
          <w:sz w:val="20"/>
          <w:szCs w:val="20"/>
          <w:lang w:val="en-US"/>
        </w:rPr>
      </w:pPr>
    </w:p>
    <w:p>
      <w:pPr>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Alternative measurement approach B</w:t>
      </w:r>
      <w:bookmarkStart w:id="0" w:name="_GoBack"/>
      <w:bookmarkEnd w:id="0"/>
      <w:r>
        <w:rPr>
          <w:rFonts w:hint="default" w:ascii="Times New Roman" w:hAnsi="Times New Roman" w:cs="Times New Roman"/>
          <w:b/>
          <w:bCs/>
          <w:sz w:val="20"/>
          <w:szCs w:val="20"/>
          <w:lang w:val="en-US"/>
        </w:rPr>
        <w:t xml:space="preserve"> </w:t>
      </w:r>
      <w:r>
        <w:rPr>
          <w:rFonts w:hint="default" w:ascii="Times New Roman" w:hAnsi="Times New Roman" w:cs="Times New Roman"/>
          <w:b w:val="0"/>
          <w:bCs w:val="0"/>
          <w:sz w:val="20"/>
          <w:szCs w:val="20"/>
          <w:lang w:val="en-US"/>
        </w:rPr>
        <w:t xml:space="preserve">[using </w:t>
      </w:r>
      <w:r>
        <w:rPr>
          <w:rFonts w:ascii="Times New Roman" w:hAnsi="Times New Roman" w:cs="Times New Roman"/>
          <w:sz w:val="20"/>
          <w:szCs w:val="20"/>
          <w:lang w:val="en-US"/>
        </w:rPr>
        <w:t xml:space="preserve">OOP </w:t>
      </w:r>
      <w:r>
        <w:rPr>
          <w:rFonts w:hint="default" w:ascii="Times New Roman" w:hAnsi="Times New Roman" w:cs="Times New Roman"/>
          <w:sz w:val="20"/>
          <w:szCs w:val="20"/>
          <w:lang w:val="en-US"/>
        </w:rPr>
        <w:t>expenses (as a separate variable) from the survey’s health module,  and the OOP component of total consumption expenditure (thus CTP) from the consumption module]</w:t>
      </w:r>
    </w:p>
    <w:p/>
    <w:p>
      <w:pPr>
        <w:rPr>
          <w:rFonts w:ascii="Times New Roman" w:hAnsi="Times New Roman" w:cs="Times New Roman"/>
        </w:rPr>
      </w:pPr>
    </w:p>
    <w:tbl>
      <w:tblPr>
        <w:tblStyle w:val="3"/>
        <w:tblW w:w="5052" w:type="pct"/>
        <w:tblInd w:w="0" w:type="dxa"/>
        <w:shd w:val="clear" w:color="auto" w:fill="FFFFFF" w:themeFill="background1"/>
        <w:tblLayout w:type="fixed"/>
        <w:tblCellMar>
          <w:top w:w="0" w:type="dxa"/>
          <w:left w:w="108" w:type="dxa"/>
          <w:bottom w:w="0" w:type="dxa"/>
          <w:right w:w="108" w:type="dxa"/>
        </w:tblCellMar>
      </w:tblPr>
      <w:tblGrid>
        <w:gridCol w:w="2674"/>
        <w:gridCol w:w="1292"/>
        <w:gridCol w:w="1292"/>
        <w:gridCol w:w="1296"/>
        <w:gridCol w:w="1291"/>
        <w:gridCol w:w="1293"/>
        <w:gridCol w:w="1296"/>
        <w:gridCol w:w="1296"/>
        <w:gridCol w:w="1296"/>
        <w:gridCol w:w="1287"/>
        <w:gridCol w:w="9"/>
      </w:tblGrid>
      <w:tr>
        <w:tblPrEx>
          <w:shd w:val="clear" w:color="auto" w:fill="FFFFFF" w:themeFill="background1"/>
          <w:tblCellMar>
            <w:top w:w="0" w:type="dxa"/>
            <w:left w:w="108" w:type="dxa"/>
            <w:bottom w:w="0" w:type="dxa"/>
            <w:right w:w="108" w:type="dxa"/>
          </w:tblCellMar>
        </w:tblPrEx>
        <w:trPr>
          <w:trHeight w:val="343" w:hRule="atLeast"/>
          <w:tblHeader/>
        </w:trPr>
        <w:tc>
          <w:tcPr>
            <w:tcW w:w="933" w:type="pct"/>
            <w:vMerge w:val="restart"/>
            <w:tcBorders>
              <w:top w:val="single" w:color="000000" w:sz="4" w:space="0"/>
              <w:left w:val="single" w:color="000000" w:sz="4" w:space="0"/>
              <w:righ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sz w:val="18"/>
                <w:szCs w:val="18"/>
                <w:lang w:eastAsia="en-US"/>
              </w:rPr>
            </w:pPr>
          </w:p>
        </w:tc>
        <w:tc>
          <w:tcPr>
            <w:tcW w:w="1354" w:type="pct"/>
            <w:gridSpan w:val="3"/>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Households affected by non-NCD only</w:t>
            </w:r>
          </w:p>
        </w:tc>
        <w:tc>
          <w:tcPr>
            <w:tcW w:w="1354" w:type="pct"/>
            <w:gridSpan w:val="3"/>
            <w:tcBorders>
              <w:top w:val="single" w:color="000000" w:sz="4" w:space="0"/>
              <w:left w:val="single" w:color="auto" w:sz="4" w:space="0"/>
              <w:bottom w:val="single" w:color="000000" w:sz="4" w:space="0"/>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sz w:val="18"/>
                <w:szCs w:val="18"/>
                <w:lang w:eastAsia="en-US"/>
              </w:rPr>
            </w:pPr>
            <w:r>
              <w:rPr>
                <w:rFonts w:ascii="Times New Roman" w:hAnsi="Times New Roman" w:eastAsia="Times New Roman" w:cs="Times New Roman"/>
                <w:b w:val="0"/>
                <w:bCs w:val="0"/>
                <w:color w:val="000000"/>
                <w:sz w:val="18"/>
                <w:szCs w:val="18"/>
                <w:lang w:eastAsia="en-US"/>
              </w:rPr>
              <w:t>Households affected by NCD only</w:t>
            </w:r>
          </w:p>
        </w:tc>
        <w:tc>
          <w:tcPr>
            <w:tcW w:w="1357" w:type="pct"/>
            <w:gridSpan w:val="4"/>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sz w:val="18"/>
                <w:szCs w:val="18"/>
                <w:lang w:eastAsia="en-US"/>
              </w:rPr>
            </w:pPr>
            <w:r>
              <w:rPr>
                <w:rFonts w:ascii="Times New Roman" w:hAnsi="Times New Roman" w:eastAsia="Times New Roman" w:cs="Times New Roman"/>
                <w:b w:val="0"/>
                <w:bCs w:val="0"/>
                <w:color w:val="000000"/>
                <w:sz w:val="18"/>
                <w:szCs w:val="18"/>
                <w:lang w:eastAsia="en-US"/>
              </w:rPr>
              <w:t>Households affected by both NCD &amp; non-NCD</w:t>
            </w:r>
          </w:p>
        </w:tc>
      </w:tr>
      <w:tr>
        <w:tblPrEx>
          <w:shd w:val="clear" w:color="auto" w:fill="FFFFFF" w:themeFill="background1"/>
          <w:tblCellMar>
            <w:top w:w="0" w:type="dxa"/>
            <w:left w:w="108" w:type="dxa"/>
            <w:bottom w:w="0" w:type="dxa"/>
            <w:right w:w="108" w:type="dxa"/>
          </w:tblCellMar>
        </w:tblPrEx>
        <w:trPr>
          <w:trHeight w:val="383" w:hRule="atLeast"/>
          <w:tblHeader/>
        </w:trPr>
        <w:tc>
          <w:tcPr>
            <w:tcW w:w="933" w:type="pct"/>
            <w:vMerge w:val="continue"/>
            <w:tcBorders>
              <w:left w:val="single" w:color="000000" w:sz="4" w:space="0"/>
              <w:bottom w:val="single" w:color="000000" w:sz="4" w:space="0"/>
              <w:righ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129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1296"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1291" w:type="dxa"/>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1293" w:type="dxa"/>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1296" w:type="dxa"/>
            <w:tcBorders>
              <w:top w:val="single" w:color="000000" w:sz="4" w:space="0"/>
              <w:left w:val="nil"/>
              <w:bottom w:val="single" w:color="000000" w:sz="4" w:space="0"/>
              <w:right w:val="single" w:color="auto"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1296" w:type="dxa"/>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1296" w:type="dxa"/>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1296" w:type="dxa"/>
            <w:gridSpan w:val="2"/>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b w:val="0"/>
                <w:bCs w:val="0"/>
              </w:rPr>
            </w:pPr>
          </w:p>
        </w:tc>
        <w:tc>
          <w:tcPr>
            <w:tcW w:w="451" w:type="pct"/>
            <w:shd w:val="clear" w:color="auto" w:fill="FFFFFF" w:themeFill="background1"/>
            <w:noWrap/>
            <w:vAlign w:val="center"/>
          </w:tcPr>
          <w:p>
            <w:pPr>
              <w:spacing w:line="240" w:lineRule="auto"/>
              <w:jc w:val="center"/>
              <w:rPr>
                <w:b w:val="0"/>
                <w:bCs w:val="0"/>
              </w:rPr>
            </w:pP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Overall</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6.7</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3.4</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6.7</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Consumption expenditure quintile</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hint="default" w:ascii="Times New Roman" w:hAnsi="Times New Roman" w:eastAsia="Times New Roman" w:cs="Times New Roman"/>
                <w:b w:val="0"/>
                <w:bCs w:val="0"/>
                <w:color w:val="000000"/>
                <w:sz w:val="18"/>
                <w:szCs w:val="18"/>
                <w:vertAlign w:val="superscript"/>
                <w:lang w:val="en-US" w:eastAsia="en-US"/>
              </w:rPr>
            </w:pPr>
            <w:r>
              <w:rPr>
                <w:rFonts w:ascii="Times New Roman" w:hAnsi="Times New Roman" w:eastAsia="Times New Roman" w:cs="Times New Roman"/>
                <w:b w:val="0"/>
                <w:bCs w:val="0"/>
                <w:color w:val="000000"/>
                <w:sz w:val="18"/>
                <w:szCs w:val="18"/>
                <w:lang w:eastAsia="en-US"/>
              </w:rPr>
              <w:t>Lowest</w:t>
            </w:r>
            <w:r>
              <w:rPr>
                <w:rFonts w:hint="default" w:ascii="Times New Roman" w:hAnsi="Times New Roman" w:eastAsia="Times New Roman" w:cs="Times New Roman"/>
                <w:b w:val="0"/>
                <w:bCs w:val="0"/>
                <w:color w:val="000000"/>
                <w:sz w:val="18"/>
                <w:szCs w:val="18"/>
                <w:lang w:val="en-US" w:eastAsia="en-US"/>
              </w:rPr>
              <w:t xml:space="preserve"> </w:t>
            </w:r>
            <w:r>
              <w:rPr>
                <w:rFonts w:hint="default" w:ascii="Times New Roman" w:hAnsi="Times New Roman" w:eastAsia="Times New Roman" w:cs="Times New Roman"/>
                <w:b w:val="0"/>
                <w:bCs w:val="0"/>
                <w:color w:val="000000"/>
                <w:sz w:val="18"/>
                <w:szCs w:val="18"/>
                <w:vertAlign w:val="superscript"/>
                <w:lang w:val="en-US" w:eastAsia="en-US"/>
              </w:rPr>
              <w:t>b</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47.3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(2.2)</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44.7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(2.3)</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31.2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(1.3)</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12.6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(2.2)</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19.9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(2.1)</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35.2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(1.4)</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45.6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(3.1)</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45.0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(2.6)</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37.8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(1.6)</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Area of residence</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Rural</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(0.7)</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12.0</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8.4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Urban</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(0.5)</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4.2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(0.7)</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2.7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(0.4)</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(0.2)</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(0.2)</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(0.3)</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Household head's education</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 education</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14.8</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(0.9)</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14.5</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(1.2)</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(0.7)</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Below secondary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5.0</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(0.8)</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6.9</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(0.9)</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5.3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Secondary or above</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(0.5)</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2.0</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(0.8)</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(0.3)</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(0.1)</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(0.3)</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(0.3)</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Illness of main income earner</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9.1</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(0.9)</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(0.4)</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Yes</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13.2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(1.4)</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(1.3)</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7.9</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(0.7)</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2.4</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5.7</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hint="default" w:ascii="Times New Roman" w:hAnsi="Times New Roman" w:eastAsia="Times New Roman" w:cs="Times New Roman"/>
                <w:b w:val="0"/>
                <w:bCs w:val="0"/>
                <w:color w:val="000000"/>
                <w:sz w:val="18"/>
                <w:szCs w:val="18"/>
                <w:lang w:val="en-US" w:eastAsia="en-US"/>
              </w:rPr>
            </w:pPr>
            <w:r>
              <w:rPr>
                <w:rFonts w:ascii="Times New Roman" w:hAnsi="Times New Roman" w:eastAsia="Times New Roman" w:cs="Times New Roman"/>
                <w:b w:val="0"/>
                <w:bCs w:val="0"/>
                <w:color w:val="000000"/>
                <w:sz w:val="18"/>
                <w:szCs w:val="18"/>
                <w:lang w:eastAsia="en-US"/>
              </w:rPr>
              <w:t>Age composition of ill member</w:t>
            </w:r>
            <w:r>
              <w:rPr>
                <w:rFonts w:hint="default" w:ascii="Times New Roman" w:hAnsi="Times New Roman" w:eastAsia="Times New Roman" w:cs="Times New Roman"/>
                <w:b w:val="0"/>
                <w:bCs w:val="0"/>
                <w:color w:val="000000"/>
                <w:sz w:val="18"/>
                <w:szCs w:val="18"/>
                <w:lang w:val="en-US" w:eastAsia="en-US"/>
              </w:rPr>
              <w:t>s</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after="0"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 xml:space="preserve">Children </w:t>
            </w:r>
            <w:r>
              <w:rPr>
                <w:rFonts w:hint="default" w:ascii="Times New Roman" w:hAnsi="Times New Roman" w:eastAsia="Times New Roman" w:cs="Times New Roman"/>
                <w:b w:val="0"/>
                <w:bCs w:val="0"/>
                <w:color w:val="000000"/>
                <w:sz w:val="18"/>
                <w:szCs w:val="18"/>
                <w:lang w:val="en-US"/>
              </w:rPr>
              <w:t xml:space="preserve">(&lt;18 years) </w:t>
            </w:r>
            <w:r>
              <w:rPr>
                <w:rFonts w:ascii="Times New Roman" w:hAnsi="Times New Roman" w:eastAsia="Times New Roman" w:cs="Times New Roman"/>
                <w:b w:val="0"/>
                <w:bCs w:val="0"/>
                <w:color w:val="000000"/>
                <w:sz w:val="18"/>
                <w:szCs w:val="18"/>
                <w:lang w:val="en-US"/>
              </w:rPr>
              <w:t>only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9.8</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(0.9)</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12.4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(1.3)</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6.0</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(1.8)</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(2.9)</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(1.7)</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(3.4)</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(4.8)</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8.4</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(1.7)</w:t>
            </w:r>
          </w:p>
        </w:tc>
      </w:tr>
      <w:tr>
        <w:tblPrEx>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after="0" w:line="240" w:lineRule="auto"/>
              <w:rPr>
                <w:rFonts w:ascii="Times New Roman" w:hAnsi="Times New Roman" w:eastAsia="Times New Roman" w:cs="Times New Roman"/>
                <w:b w:val="0"/>
                <w:bCs w:val="0"/>
                <w:color w:val="000000"/>
                <w:sz w:val="18"/>
                <w:szCs w:val="18"/>
                <w:lang w:val="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after="0" w:line="240" w:lineRule="auto"/>
              <w:ind w:left="90" w:leftChars="0" w:hanging="90" w:hangingChars="50"/>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 xml:space="preserve">Non-elderly adults </w:t>
            </w:r>
            <w:r>
              <w:rPr>
                <w:rFonts w:hint="default" w:ascii="Times New Roman" w:hAnsi="Times New Roman" w:eastAsia="Times New Roman" w:cs="Times New Roman"/>
                <w:b w:val="0"/>
                <w:bCs w:val="0"/>
                <w:color w:val="000000"/>
                <w:sz w:val="18"/>
                <w:szCs w:val="18"/>
                <w:lang w:val="en-US"/>
              </w:rPr>
              <w:t xml:space="preserve">(18-60 years) </w:t>
            </w:r>
            <w:r>
              <w:rPr>
                <w:rFonts w:ascii="Times New Roman" w:hAnsi="Times New Roman" w:eastAsia="Times New Roman" w:cs="Times New Roman"/>
                <w:b w:val="0"/>
                <w:bCs w:val="0"/>
                <w:color w:val="000000"/>
                <w:sz w:val="18"/>
                <w:szCs w:val="18"/>
                <w:lang w:val="en-US"/>
              </w:rPr>
              <w:t>only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9.6</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8.7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(1.3)</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r>
      <w:tr>
        <w:tblPrEx>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after="0" w:line="240" w:lineRule="auto"/>
              <w:ind w:left="90" w:leftChars="0" w:hanging="90" w:hangingChars="50"/>
              <w:rPr>
                <w:rFonts w:ascii="Times New Roman" w:hAnsi="Times New Roman" w:eastAsia="Times New Roman" w:cs="Times New Roman"/>
                <w:b w:val="0"/>
                <w:bCs w:val="0"/>
                <w:color w:val="000000"/>
                <w:sz w:val="18"/>
                <w:szCs w:val="18"/>
                <w:lang w:val="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tblCellMar>
            <w:top w:w="0" w:type="dxa"/>
            <w:left w:w="108" w:type="dxa"/>
            <w:bottom w:w="0" w:type="dxa"/>
            <w:right w:w="108" w:type="dxa"/>
          </w:tblCellMar>
        </w:tblPrEx>
        <w:trPr>
          <w:gridAfter w:val="1"/>
          <w:wAfter w:w="3" w:type="pct"/>
          <w:trHeight w:val="465" w:hRule="atLeast"/>
        </w:trPr>
        <w:tc>
          <w:tcPr>
            <w:tcW w:w="933" w:type="pct"/>
            <w:tcBorders>
              <w:left w:val="single" w:color="000000" w:sz="4" w:space="0"/>
            </w:tcBorders>
            <w:shd w:val="clear" w:color="auto" w:fill="FFFFFF" w:themeFill="background1"/>
            <w:noWrap/>
            <w:vAlign w:val="center"/>
          </w:tcPr>
          <w:p>
            <w:pPr>
              <w:spacing w:after="0"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val="en-US"/>
              </w:rPr>
              <w:t xml:space="preserve">Elderly </w:t>
            </w:r>
            <w:r>
              <w:rPr>
                <w:rFonts w:hint="default" w:ascii="Times New Roman" w:hAnsi="Times New Roman" w:eastAsia="Times New Roman" w:cs="Times New Roman"/>
                <w:b w:val="0"/>
                <w:bCs w:val="0"/>
                <w:color w:val="000000"/>
                <w:sz w:val="18"/>
                <w:szCs w:val="18"/>
                <w:lang w:val="en-US"/>
              </w:rPr>
              <w:t xml:space="preserve">(&gt;60 years) </w:t>
            </w:r>
            <w:r>
              <w:rPr>
                <w:rFonts w:ascii="Times New Roman" w:hAnsi="Times New Roman" w:eastAsia="Times New Roman" w:cs="Times New Roman"/>
                <w:b w:val="0"/>
                <w:bCs w:val="0"/>
                <w:color w:val="000000"/>
                <w:sz w:val="18"/>
                <w:szCs w:val="18"/>
                <w:lang w:val="en-US"/>
              </w:rPr>
              <w:t>only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17.6</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(3.2)</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17.3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(3.9)</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17.3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(2.2)</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11.4</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13.2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(4.1)</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19.8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(3.5)</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17.5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(1.9)</w:t>
            </w:r>
          </w:p>
        </w:tc>
      </w:tr>
      <w:tr>
        <w:tblPrEx>
          <w:shd w:val="clear" w:color="auto" w:fill="FFFFFF" w:themeFill="background1"/>
          <w:tblCellMar>
            <w:top w:w="0" w:type="dxa"/>
            <w:left w:w="108" w:type="dxa"/>
            <w:bottom w:w="0" w:type="dxa"/>
            <w:right w:w="108" w:type="dxa"/>
          </w:tblCellMar>
        </w:tblPrEx>
        <w:trPr>
          <w:gridAfter w:val="1"/>
          <w:wAfter w:w="3" w:type="pct"/>
          <w:trHeight w:val="247" w:hRule="atLeast"/>
        </w:trPr>
        <w:tc>
          <w:tcPr>
            <w:tcW w:w="933" w:type="pct"/>
            <w:tcBorders>
              <w:left w:val="single" w:color="000000" w:sz="4" w:space="0"/>
            </w:tcBorders>
            <w:shd w:val="clear" w:color="auto" w:fill="FFFFFF" w:themeFill="background1"/>
            <w:noWrap/>
            <w:vAlign w:val="center"/>
          </w:tcPr>
          <w:p>
            <w:pPr>
              <w:spacing w:after="0" w:line="240" w:lineRule="auto"/>
              <w:rPr>
                <w:rFonts w:ascii="Times New Roman" w:hAnsi="Times New Roman" w:eastAsia="Times New Roman" w:cs="Times New Roman"/>
                <w:b w:val="0"/>
                <w:bCs w:val="0"/>
                <w:color w:val="000000"/>
                <w:sz w:val="18"/>
                <w:szCs w:val="18"/>
                <w:lang w:val="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Children and non-elderly adults</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9.6</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(1.5)</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7.5</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(1.3)</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(0.7)</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(3.9)</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(2.1)</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Non-elderly adults and elderly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1.8</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(1.8)</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14.5</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(6.0)</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7.4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(3.0)</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(1.7)</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(2.2)</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(1.3)</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Children and elderly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12.9</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w:t>
            </w:r>
            <w:r>
              <w:rPr>
                <w:rFonts w:hint="default" w:ascii="Times New Roman" w:hAnsi="Times New Roman" w:eastAsia="Times New Roman" w:cs="Times New Roman"/>
                <w:b w:val="0"/>
                <w:bCs w:val="0"/>
                <w:color w:val="000000"/>
                <w:sz w:val="18"/>
                <w:szCs w:val="18"/>
                <w:lang w:val="en-US" w:eastAsia="en-US"/>
              </w:rPr>
              <w:t>0.7</w:t>
            </w:r>
            <w:r>
              <w:rPr>
                <w:rFonts w:ascii="Times New Roman" w:hAnsi="Times New Roman" w:eastAsia="Times New Roman" w:cs="Times New Roman"/>
                <w:b w:val="0"/>
                <w:bCs w:val="0"/>
                <w:color w:val="000000"/>
                <w:sz w:val="18"/>
                <w:szCs w:val="18"/>
                <w:lang w:eastAsia="en-US"/>
              </w:rPr>
              <w:t>)</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0.0</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(n/o)</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11.4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(5.1)</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18.7</w:t>
            </w:r>
          </w:p>
          <w:p>
            <w:pPr>
              <w:spacing w:line="240" w:lineRule="auto"/>
              <w:jc w:val="center"/>
              <w:rPr>
                <w:rFonts w:ascii="Times New Roman" w:hAnsi="Times New Roman" w:eastAsia="Times New Roman" w:cs="Times New Roman"/>
                <w:b w:val="0"/>
                <w:bCs w:val="0"/>
                <w:color w:val="000000"/>
                <w:sz w:val="16"/>
                <w:szCs w:val="16"/>
                <w:lang w:eastAsia="en-US"/>
              </w:rPr>
            </w:pPr>
            <w:r>
              <w:rPr>
                <w:rFonts w:ascii="Times New Roman" w:hAnsi="Times New Roman" w:eastAsia="Times New Roman" w:cs="Times New Roman"/>
                <w:b w:val="0"/>
                <w:bCs w:val="0"/>
                <w:color w:val="000000"/>
                <w:sz w:val="16"/>
                <w:szCs w:val="16"/>
                <w:lang w:eastAsia="en-US"/>
              </w:rPr>
              <w:t>(13.1)</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w:t>
            </w:r>
            <w:r>
              <w:rPr>
                <w:rFonts w:hint="default" w:ascii="Times New Roman" w:hAnsi="Times New Roman" w:eastAsia="Times New Roman" w:cs="Times New Roman"/>
                <w:b w:val="0"/>
                <w:bCs w:val="0"/>
                <w:color w:val="000000"/>
                <w:sz w:val="18"/>
                <w:szCs w:val="18"/>
                <w:lang w:val="en-US" w:eastAsia="en-US"/>
              </w:rPr>
              <w:t>0.3</w:t>
            </w:r>
            <w:r>
              <w:rPr>
                <w:rFonts w:ascii="Times New Roman" w:hAnsi="Times New Roman" w:eastAsia="Times New Roman" w:cs="Times New Roman"/>
                <w:b w:val="0"/>
                <w:bCs w:val="0"/>
                <w:color w:val="000000"/>
                <w:sz w:val="18"/>
                <w:szCs w:val="18"/>
                <w:lang w:eastAsia="en-US"/>
              </w:rPr>
              <w:t>)</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(2.5)</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6"/>
                <w:szCs w:val="16"/>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 xml:space="preserve">Gender composition of ill members </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6"/>
                <w:szCs w:val="16"/>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Male only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(0.9)</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11.3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(1.2)</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(1.6)</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(1.6)</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6.7</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Female only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(0.9)</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(1.1)</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6.9</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(0.5)</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8.4</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(1.9)</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(1.6)</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Male and female</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(1.4)</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7.6</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(1.1)</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6.3</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(0.7)</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2.7</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4.3</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(0.3)</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Number of ill members</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One</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10.2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(0.7)</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11.1</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(0.9)</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6.9</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(0.5)</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3.7</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12.0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(2.1)</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15.5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(2.1)</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11.5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(1.2)</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Two or more</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(1.1)</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8.7</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6.4</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(0.6)</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4.6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(0.3)</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Comorbidity</w:t>
            </w:r>
            <w:r>
              <w:rPr>
                <w:rFonts w:hint="default" w:ascii="Times New Roman" w:hAnsi="Times New Roman" w:eastAsia="Times New Roman" w:cs="Times New Roman"/>
                <w:b w:val="0"/>
                <w:bCs w:val="0"/>
                <w:color w:val="000000"/>
                <w:sz w:val="18"/>
                <w:szCs w:val="18"/>
                <w:lang w:val="en-US" w:eastAsia="en-US"/>
              </w:rPr>
              <w:t xml:space="preserve"> </w:t>
            </w:r>
            <w:r>
              <w:rPr>
                <w:rFonts w:ascii="Times New Roman" w:hAnsi="Times New Roman" w:eastAsia="Times New Roman" w:cs="Times New Roman"/>
                <w:b w:val="0"/>
                <w:bCs w:val="0"/>
                <w:color w:val="000000"/>
                <w:sz w:val="18"/>
                <w:szCs w:val="18"/>
                <w:lang w:val="en-US"/>
              </w:rPr>
              <w:t>of ill members</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One disease (no comorbidity)</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9.5</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(0.6)</w:t>
            </w:r>
          </w:p>
        </w:tc>
        <w:tc>
          <w:tcPr>
            <w:tcW w:w="451" w:type="pct"/>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10.4</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(0.8)</w:t>
            </w:r>
          </w:p>
        </w:tc>
        <w:tc>
          <w:tcPr>
            <w:tcW w:w="452" w:type="pct"/>
            <w:tcBorders>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6.6</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(0.5)</w:t>
            </w: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3.6</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7.4</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5.8</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5.9</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0"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1"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tcBorders>
              <w:lef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52" w:type="pct"/>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c>
          <w:tcPr>
            <w:tcW w:w="449" w:type="pct"/>
            <w:tcBorders>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p>
        </w:tc>
      </w:tr>
      <w:tr>
        <w:tblPrEx>
          <w:shd w:val="clear" w:color="auto" w:fill="FFFFFF" w:themeFill="background1"/>
          <w:tblCellMar>
            <w:top w:w="0" w:type="dxa"/>
            <w:left w:w="108" w:type="dxa"/>
            <w:bottom w:w="0" w:type="dxa"/>
            <w:right w:w="108" w:type="dxa"/>
          </w:tblCellMar>
        </w:tblPrEx>
        <w:trPr>
          <w:gridAfter w:val="1"/>
          <w:wAfter w:w="3" w:type="pct"/>
          <w:trHeight w:val="187" w:hRule="atLeast"/>
        </w:trPr>
        <w:tc>
          <w:tcPr>
            <w:tcW w:w="933" w:type="pct"/>
            <w:tcBorders>
              <w:left w:val="single" w:color="000000" w:sz="4" w:space="0"/>
              <w:bottom w:val="single" w:color="000000" w:sz="4" w:space="0"/>
            </w:tcBorders>
            <w:shd w:val="clear" w:color="auto" w:fill="FFFFFF" w:themeFill="background1"/>
            <w:noWrap/>
            <w:vAlign w:val="center"/>
          </w:tcPr>
          <w:p>
            <w:pPr>
              <w:spacing w:line="240" w:lineRule="auto"/>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Two or more diseases</w:t>
            </w:r>
          </w:p>
        </w:tc>
        <w:tc>
          <w:tcPr>
            <w:tcW w:w="451" w:type="pct"/>
            <w:tcBorders>
              <w:bottom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13.2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(1.7)</w:t>
            </w:r>
          </w:p>
        </w:tc>
        <w:tc>
          <w:tcPr>
            <w:tcW w:w="451" w:type="pct"/>
            <w:tcBorders>
              <w:bottom w:val="single" w:color="000000"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9.2</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(2.0)</w:t>
            </w:r>
          </w:p>
        </w:tc>
        <w:tc>
          <w:tcPr>
            <w:tcW w:w="452" w:type="pct"/>
            <w:tcBorders>
              <w:bottom w:val="single" w:color="000000" w:sz="4" w:space="0"/>
              <w:right w:val="single" w:color="auto" w:sz="4" w:space="0"/>
            </w:tcBorders>
            <w:shd w:val="clear" w:color="auto" w:fill="FFFFFF" w:themeFill="background1"/>
            <w:noWrap/>
            <w:vAlign w:val="center"/>
          </w:tcPr>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7.0</w:t>
            </w:r>
          </w:p>
          <w:p>
            <w:pPr>
              <w:spacing w:line="240" w:lineRule="auto"/>
              <w:jc w:val="center"/>
              <w:rPr>
                <w:b w:val="0"/>
                <w:bCs w:val="0"/>
              </w:rPr>
            </w:pPr>
            <w:r>
              <w:rPr>
                <w:rFonts w:ascii="Times New Roman" w:hAnsi="Times New Roman" w:eastAsia="Times New Roman" w:cs="Times New Roman"/>
                <w:b w:val="0"/>
                <w:bCs w:val="0"/>
                <w:color w:val="000000"/>
                <w:sz w:val="18"/>
                <w:szCs w:val="18"/>
                <w:lang w:eastAsia="en-US"/>
              </w:rPr>
              <w:t>(0.8)</w:t>
            </w:r>
          </w:p>
        </w:tc>
        <w:tc>
          <w:tcPr>
            <w:tcW w:w="450" w:type="pct"/>
            <w:tcBorders>
              <w:left w:val="single" w:color="auto" w:sz="4" w:space="0"/>
              <w:bottom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(n/o)</w:t>
            </w:r>
          </w:p>
        </w:tc>
        <w:tc>
          <w:tcPr>
            <w:tcW w:w="451" w:type="pct"/>
            <w:tcBorders>
              <w:bottom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2.5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(0.7)</w:t>
            </w:r>
          </w:p>
        </w:tc>
        <w:tc>
          <w:tcPr>
            <w:tcW w:w="452" w:type="pct"/>
            <w:tcBorders>
              <w:bottom w:val="single" w:color="000000" w:sz="4" w:space="0"/>
              <w:right w:val="single" w:color="auto"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5.1</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(0.5)</w:t>
            </w:r>
          </w:p>
        </w:tc>
        <w:tc>
          <w:tcPr>
            <w:tcW w:w="452" w:type="pct"/>
            <w:tcBorders>
              <w:left w:val="single" w:color="auto" w:sz="4" w:space="0"/>
              <w:bottom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8.5</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(0.9)</w:t>
            </w:r>
          </w:p>
        </w:tc>
        <w:tc>
          <w:tcPr>
            <w:tcW w:w="452" w:type="pct"/>
            <w:tcBorders>
              <w:bottom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8.2</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(0.8)</w:t>
            </w:r>
          </w:p>
        </w:tc>
        <w:tc>
          <w:tcPr>
            <w:tcW w:w="449" w:type="pct"/>
            <w:tcBorders>
              <w:bottom w:val="single" w:color="000000" w:sz="4" w:space="0"/>
              <w:right w:val="single" w:color="000000" w:sz="4" w:space="0"/>
            </w:tcBorders>
            <w:shd w:val="clear" w:color="auto" w:fill="FFFFFF" w:themeFill="background1"/>
            <w:noWrap/>
            <w:vAlign w:val="center"/>
          </w:tcPr>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6.0</w:t>
            </w:r>
          </w:p>
          <w:p>
            <w:pPr>
              <w:spacing w:line="240" w:lineRule="auto"/>
              <w:jc w:val="center"/>
              <w:rPr>
                <w:rFonts w:ascii="Times New Roman" w:hAnsi="Times New Roman" w:eastAsia="Times New Roman" w:cs="Times New Roman"/>
                <w:b w:val="0"/>
                <w:bCs w:val="0"/>
                <w:color w:val="000000"/>
                <w:sz w:val="18"/>
                <w:szCs w:val="18"/>
                <w:lang w:eastAsia="en-US"/>
              </w:rPr>
            </w:pPr>
            <w:r>
              <w:rPr>
                <w:rFonts w:ascii="Times New Roman" w:hAnsi="Times New Roman" w:eastAsia="Times New Roman" w:cs="Times New Roman"/>
                <w:b w:val="0"/>
                <w:bCs w:val="0"/>
                <w:color w:val="000000"/>
                <w:sz w:val="18"/>
                <w:szCs w:val="18"/>
                <w:lang w:eastAsia="en-US"/>
              </w:rPr>
              <w:t>(0.4)</w:t>
            </w:r>
          </w:p>
        </w:tc>
      </w:tr>
    </w:tbl>
    <w:p>
      <w:pPr>
        <w:rPr>
          <w:rFonts w:ascii="Times New Roman" w:hAnsi="Times New Roman" w:cs="Times New Roman"/>
          <w:sz w:val="20"/>
          <w:szCs w:val="20"/>
          <w:lang w:val="en-US"/>
        </w:rPr>
      </w:pPr>
      <w:r>
        <w:rPr>
          <w:rFonts w:ascii="Times New Roman" w:hAnsi="Times New Roman" w:cs="Times New Roman"/>
          <w:sz w:val="20"/>
          <w:szCs w:val="20"/>
          <w:lang w:val="en-US"/>
        </w:rPr>
        <w:t xml:space="preserve">NCD = noncommunicable diseases, </w:t>
      </w:r>
      <w:r>
        <w:rPr>
          <w:rFonts w:hint="default" w:ascii="Times New Roman" w:hAnsi="Times New Roman" w:cs="Times New Roman"/>
          <w:sz w:val="20"/>
          <w:szCs w:val="20"/>
          <w:lang w:val="en-US"/>
        </w:rPr>
        <w:t xml:space="preserve">OOP = out-of-pocket, </w:t>
      </w:r>
      <w:r>
        <w:rPr>
          <w:rFonts w:hint="default" w:ascii="Times New Roman" w:hAnsi="Times New Roman" w:eastAsia="Times New Roman" w:cs="Times New Roman"/>
          <w:color w:val="000000"/>
          <w:sz w:val="18"/>
          <w:szCs w:val="18"/>
          <w:lang w:val="en-US" w:eastAsia="en-AU"/>
        </w:rPr>
        <w:t xml:space="preserve">CTP = capacity-to-pay, </w:t>
      </w:r>
      <w:r>
        <w:rPr>
          <w:rFonts w:ascii="Times New Roman" w:hAnsi="Times New Roman" w:cs="Times New Roman"/>
          <w:sz w:val="20"/>
          <w:szCs w:val="20"/>
          <w:lang w:val="en-US"/>
        </w:rPr>
        <w:t>n/o = no observations</w:t>
      </w:r>
    </w:p>
    <w:p>
      <w:pPr>
        <w:rPr>
          <w:rFonts w:hint="default" w:ascii="Times New Roman" w:hAnsi="Times New Roman" w:eastAsia="Times New Roman" w:cs="Times New Roman"/>
          <w:color w:val="000000"/>
          <w:sz w:val="18"/>
          <w:szCs w:val="18"/>
          <w:lang w:val="en-US" w:eastAsia="en-AU"/>
        </w:rPr>
      </w:pPr>
    </w:p>
    <w:p>
      <w:pPr>
        <w:rPr>
          <w:rFonts w:hint="default" w:ascii="Times New Roman" w:hAnsi="Times New Roman" w:cs="Times New Roman"/>
          <w:sz w:val="20"/>
          <w:szCs w:val="20"/>
          <w:lang w:val="en-US"/>
        </w:rPr>
      </w:pPr>
      <w:r>
        <w:rPr>
          <w:rFonts w:hint="default" w:ascii="Times New Roman" w:hAnsi="Times New Roman" w:eastAsia="Times New Roman" w:cs="Times New Roman"/>
          <w:color w:val="000000"/>
          <w:sz w:val="18"/>
          <w:szCs w:val="18"/>
          <w:lang w:val="en-US" w:eastAsia="en-AU"/>
        </w:rPr>
        <w:t>N</w:t>
      </w:r>
      <w:r>
        <w:rPr>
          <w:rFonts w:hint="default" w:ascii="Times New Roman" w:hAnsi="Times New Roman" w:cs="Times New Roman"/>
          <w:sz w:val="20"/>
          <w:szCs w:val="20"/>
          <w:lang w:val="en-US"/>
        </w:rPr>
        <w:t xml:space="preserve">umbers in parentheses are </w:t>
      </w:r>
      <w:r>
        <w:rPr>
          <w:rFonts w:ascii="Times New Roman" w:hAnsi="Times New Roman" w:cs="Times New Roman"/>
          <w:sz w:val="20"/>
          <w:szCs w:val="20"/>
          <w:lang w:val="en-US"/>
        </w:rPr>
        <w:t>standard error</w:t>
      </w:r>
      <w:r>
        <w:rPr>
          <w:rFonts w:hint="default" w:ascii="Times New Roman" w:hAnsi="Times New Roman" w:cs="Times New Roman"/>
          <w:sz w:val="20"/>
          <w:szCs w:val="20"/>
          <w:lang w:val="en-US"/>
        </w:rPr>
        <w:t>s</w:t>
      </w:r>
    </w:p>
    <w:p>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 xml:space="preserve">a </w:t>
      </w:r>
      <w:r>
        <w:rPr>
          <w:rFonts w:ascii="Times New Roman" w:hAnsi="Times New Roman" w:cs="Times New Roman"/>
          <w:sz w:val="20"/>
          <w:szCs w:val="20"/>
          <w:lang w:val="en-US"/>
        </w:rPr>
        <w:t xml:space="preserve">Any health expenditure by a poor household is considered further impoverishing. A household is poor when its total consumption expenditure is less than subsistence expenditure. Subsistence expenditure is defined as the average per (equivalent) person spending on food, rent, and utilities of the households between the 25th and 35th percentiles of the per (equivalent) person total consumption expenditure distribution. </w:t>
      </w:r>
    </w:p>
    <w:p>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pPr>
        <w:jc w:val="both"/>
      </w:pP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xml:space="preserve">The poorest consumption quintile consists of poor and non-poor households. No household among the second and higher quintiles is poor. Hence, the further impoverishment incidence is not available for the </w:t>
      </w:r>
      <w:r>
        <w:rPr>
          <w:rFonts w:hint="default" w:ascii="Times New Roman" w:hAnsi="Times New Roman" w:cs="Times New Roman"/>
          <w:sz w:val="20"/>
          <w:szCs w:val="20"/>
          <w:lang w:val="en-US"/>
        </w:rPr>
        <w:t xml:space="preserve">four </w:t>
      </w:r>
      <w:r>
        <w:rPr>
          <w:rFonts w:ascii="Times New Roman" w:hAnsi="Times New Roman" w:cs="Times New Roman"/>
          <w:sz w:val="20"/>
          <w:szCs w:val="20"/>
          <w:lang w:val="en-US"/>
        </w:rPr>
        <w:t xml:space="preserve">upper quintile. </w:t>
      </w:r>
    </w:p>
    <w:p/>
    <w:sectPr>
      <w:footerReference r:id="rId3" w:type="default"/>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FC177E"/>
    <w:rsid w:val="285634FA"/>
    <w:rsid w:val="37A83755"/>
    <w:rsid w:val="3A45658B"/>
    <w:rsid w:val="43230814"/>
    <w:rsid w:val="5FB546DE"/>
    <w:rsid w:val="72A07907"/>
    <w:rsid w:val="73B43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2022-08-27T05:36:00Z</dcterms:created>
  <dc:creator>tasli</dc:creator>
  <cp:lastModifiedBy>Taslima Rahman</cp:lastModifiedBy>
  <dcterms:modified xsi:type="dcterms:W3CDTF">2022-08-29T14:02:44Z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7443AA12AC3C492489BEC06AE45E55D6</vt:lpwstr>
  </property>
</Properties>
</file>