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sz w:val="20"/>
          <w:szCs w:val="20"/>
          <w:lang w:val="en-US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/>
        </w:rPr>
        <w:t>Additional file 5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: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>Alternative calculation of b</w:t>
      </w:r>
      <w:r>
        <w:rPr>
          <w:rFonts w:ascii="Times New Roman" w:hAnsi="Times New Roman" w:cs="Times New Roman"/>
          <w:sz w:val="20"/>
          <w:szCs w:val="20"/>
          <w:lang w:val="en-US"/>
        </w:rPr>
        <w:t>ackground characteristics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 xml:space="preserve"> of households affected by NCD only, non-NCD only and both NCD and non-NCD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textAlignment w:val="auto"/>
        <w:rPr>
          <w:rFonts w:hint="default" w:ascii="Times New Roman" w:hAnsi="Times New Roman" w:cs="Times New Roman"/>
          <w:sz w:val="20"/>
          <w:szCs w:val="20"/>
          <w:lang w:val="en-US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/>
        </w:rPr>
        <w:t xml:space="preserve">Alternative measurement approach A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/>
        </w:rPr>
        <w:t>[using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OOP 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>expenses (as a separate variable and as a component of total consumption expenditure) from the survey’s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>health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module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>]</w:t>
      </w:r>
    </w:p>
    <w:tbl>
      <w:tblPr>
        <w:tblStyle w:val="3"/>
        <w:tblpPr w:leftFromText="180" w:rightFromText="180" w:vertAnchor="text" w:horzAnchor="page" w:tblpX="1588" w:tblpY="430"/>
        <w:tblOverlap w:val="never"/>
        <w:tblW w:w="485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1283"/>
        <w:gridCol w:w="1283"/>
        <w:gridCol w:w="1288"/>
        <w:gridCol w:w="1284"/>
        <w:gridCol w:w="1283"/>
        <w:gridCol w:w="1288"/>
        <w:gridCol w:w="1283"/>
        <w:gridCol w:w="1283"/>
        <w:gridCol w:w="12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tblHeader/>
        </w:trPr>
        <w:tc>
          <w:tcPr>
            <w:tcW w:w="81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13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Households affected by non-NCD only</w:t>
            </w:r>
          </w:p>
        </w:tc>
        <w:tc>
          <w:tcPr>
            <w:tcW w:w="1399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Households affected by NCD only</w:t>
            </w:r>
          </w:p>
        </w:tc>
        <w:tc>
          <w:tcPr>
            <w:tcW w:w="1391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Households affected by both NCD &amp; non-NCD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tblHeader/>
        </w:trPr>
        <w:tc>
          <w:tcPr>
            <w:tcW w:w="81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2005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2,87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2010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2,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931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2016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(n =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10,391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2005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1,6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2, 4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9,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393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2005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(n=1,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806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2,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440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10,1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60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810" w:type="pct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top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top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top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top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top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top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28.5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(0.5)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24.0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22.6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(0.5)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16.4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(0.4)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20.0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(0.5)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20.4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(0.4)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17.9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(0.4)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19.9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22.1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Consumption expenditure quintile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Lowest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19.3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21.6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20.7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17.2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17.8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18.2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15.2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15.1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13.6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2nd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22.3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22.1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21.4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18.4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16.8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18.7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16.7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18.4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17.5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3rd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21.2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20.4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20.9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18.3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18.3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19.3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20.4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20.5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19.6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4th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19.5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19.9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19.6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20.1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20.9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19.8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22.7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22.3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22.4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Highest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17.7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16.0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17.4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26.0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26.2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24.0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25.0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23.6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26.9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Area of residence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Rural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78.0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78.9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70.0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72.1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69.0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74.2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76.2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81.3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75.6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Urban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22.0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21.1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30.0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27.9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31.0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25.8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23.8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18.7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24.4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Household head's education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No education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57.3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53.5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40.4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52.1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50.9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43.8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54.1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54.0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42.0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Below secondary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29.8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33.2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46.0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30.5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29.5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39.6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31.1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31.9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43.5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Secondary or above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12.9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13.4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13.6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17.4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19.6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16.6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14.7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14.1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14.5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Illness of main income earner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76.0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72.9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74.6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56.6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57.7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58.4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42.9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44.8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46.6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24.0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27.1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25.4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43.4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42.3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41.6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57.1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55.2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53.4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Age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composition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of ill members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Children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(&lt;18 years)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only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44.9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38.5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39.6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5.5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(0.5)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(0.4)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(0.5)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(0.3)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Non-elderly adults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(18-60 years)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only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32.6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38.3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35.5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68.3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65.5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63.3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29.3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29.6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31.3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Elderly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(&gt;60 years)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only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6.0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(0.5)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4.6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(0.4)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4.1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(0.3)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16.9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19.2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20.1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7.3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6.8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Children and non-elderly adults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14.5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16.7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19.0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(0.5)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(0.4)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(0.2)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45.3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44.5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42.5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Non-elderly adults and elderly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0.9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(0.2)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1.3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(0.2)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1.0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(0.1)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6.4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6.8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8.9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(0.4)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10.8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11.9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10.3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Children and elderly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(0.2)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0.6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(0.1)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0.8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(0.1)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0.0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0.3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(0.1)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0.3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(0.1)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6.0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(0.5)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Gender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composition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of ill members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Male only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40.0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38.5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34.1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37.3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32.9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29.6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16.5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12.8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12.0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Female only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42.4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41.2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43.2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43.6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43.7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44.0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19.1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21.3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22.2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Male and female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17.6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20.3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22.6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19.1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23.3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26.5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64.4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65.9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65.8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Number of ill members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One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71.4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68.6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66.3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77.3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73.3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70.2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15.1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15.6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17.8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Two or more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28.6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31.4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33.7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22.7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26.7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29.8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84.9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84.4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82.2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Comorbidity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of ill members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One disease (no comorbidity)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83.4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90.7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76.8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97.6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(0.4)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80.2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70.3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45.2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36.5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26.5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7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10" w:type="pct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Two or more diseases</w:t>
            </w:r>
          </w:p>
        </w:tc>
        <w:tc>
          <w:tcPr>
            <w:tcW w:w="465" w:type="pct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16.6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9.3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7" w:type="pct"/>
            <w:tcBorders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23.2</w:t>
            </w:r>
          </w:p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tcBorders>
              <w:left w:val="single" w:color="auto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(0.4)</w:t>
            </w:r>
          </w:p>
        </w:tc>
        <w:tc>
          <w:tcPr>
            <w:tcW w:w="465" w:type="pct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19.8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7" w:type="pct"/>
            <w:tcBorders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29.7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left w:val="single" w:color="auto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54.8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5" w:type="pct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63.5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0" w:type="pct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73.5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</w:tr>
    </w:tbl>
    <w:p>
      <w:pPr>
        <w:rPr>
          <w:rFonts w:ascii="Calibri" w:hAnsi="Calibri" w:eastAsia="SimSun" w:cs="Times New Roman"/>
          <w:sz w:val="18"/>
          <w:szCs w:val="18"/>
          <w:lang w:val="en-US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18"/>
          <w:lang w:val="en-US" w:eastAsia="en-AU"/>
        </w:rPr>
        <w:t>NCD = noncommunicable diseases,</w:t>
      </w:r>
      <w:r>
        <w:rPr>
          <w:rFonts w:hint="default" w:ascii="Times New Roman" w:hAnsi="Times New Roman" w:eastAsia="Times New Roman" w:cs="Times New Roman"/>
          <w:color w:val="000000"/>
          <w:sz w:val="18"/>
          <w:szCs w:val="18"/>
          <w:lang w:val="en-US" w:eastAsia="en-AU"/>
        </w:rPr>
        <w:t xml:space="preserve"> OOP = out-of-pocket, CTP = capacity to-pay, </w:t>
      </w:r>
      <w:r>
        <w:rPr>
          <w:rFonts w:ascii="Times New Roman" w:hAnsi="Times New Roman"/>
          <w:sz w:val="18"/>
          <w:szCs w:val="18"/>
        </w:rPr>
        <w:t>Numbers in parentheses are standard errors</w:t>
      </w:r>
    </w:p>
    <w:p>
      <w:pPr>
        <w:rPr>
          <w:rFonts w:hint="default"/>
          <w:sz w:val="18"/>
          <w:szCs w:val="18"/>
          <w:lang w:val="en-US"/>
        </w:rPr>
      </w:pPr>
      <w:r>
        <w:rPr>
          <w:rFonts w:ascii="Times New Roman" w:hAnsi="Times New Roman" w:eastAsia="Calibri"/>
          <w:sz w:val="18"/>
          <w:szCs w:val="18"/>
        </w:rPr>
        <w:t>Total number of households</w:t>
      </w:r>
      <w:r>
        <w:rPr>
          <w:rFonts w:hint="default" w:ascii="Times New Roman" w:hAnsi="Times New Roman" w:eastAsia="Calibri"/>
          <w:sz w:val="18"/>
          <w:szCs w:val="18"/>
          <w:lang w:val="en-US"/>
        </w:rPr>
        <w:t xml:space="preserve"> included in analysis</w:t>
      </w:r>
      <w:r>
        <w:rPr>
          <w:rFonts w:ascii="Times New Roman" w:hAnsi="Times New Roman" w:eastAsia="Calibri"/>
          <w:sz w:val="18"/>
          <w:szCs w:val="18"/>
        </w:rPr>
        <w:t>: 10,0</w:t>
      </w:r>
      <w:r>
        <w:rPr>
          <w:rFonts w:hint="default" w:ascii="Times New Roman" w:hAnsi="Times New Roman" w:eastAsia="Calibri"/>
          <w:sz w:val="18"/>
          <w:szCs w:val="18"/>
          <w:lang w:val="en-US"/>
        </w:rPr>
        <w:t>75</w:t>
      </w:r>
      <w:r>
        <w:rPr>
          <w:rFonts w:ascii="Times New Roman" w:hAnsi="Times New Roman" w:eastAsia="Calibri"/>
          <w:sz w:val="18"/>
          <w:szCs w:val="18"/>
        </w:rPr>
        <w:t xml:space="preserve"> in 2005, 12,2</w:t>
      </w:r>
      <w:r>
        <w:rPr>
          <w:rFonts w:hint="default" w:ascii="Times New Roman" w:hAnsi="Times New Roman" w:eastAsia="Calibri"/>
          <w:sz w:val="18"/>
          <w:szCs w:val="18"/>
          <w:lang w:val="en-US"/>
        </w:rPr>
        <w:t>37</w:t>
      </w:r>
      <w:r>
        <w:rPr>
          <w:rFonts w:ascii="Times New Roman" w:hAnsi="Times New Roman" w:eastAsia="Calibri"/>
          <w:sz w:val="18"/>
          <w:szCs w:val="18"/>
        </w:rPr>
        <w:t xml:space="preserve"> in 2010, and 4</w:t>
      </w:r>
      <w:r>
        <w:rPr>
          <w:rFonts w:hint="default" w:ascii="Times New Roman" w:hAnsi="Times New Roman" w:eastAsia="Calibri"/>
          <w:sz w:val="18"/>
          <w:szCs w:val="18"/>
          <w:lang w:val="en-US"/>
        </w:rPr>
        <w:t>5,9</w:t>
      </w:r>
      <w:r>
        <w:rPr>
          <w:rFonts w:ascii="Times New Roman" w:hAnsi="Times New Roman" w:eastAsia="Calibri"/>
          <w:sz w:val="18"/>
          <w:szCs w:val="18"/>
        </w:rPr>
        <w:t>76 in 2016</w:t>
      </w:r>
    </w:p>
    <w:p>
      <w:pPr>
        <w:rPr>
          <w:rFonts w:ascii="Calibri" w:hAnsi="Calibri" w:eastAsia="Times New Roman" w:cs="Times New Roman"/>
          <w:lang w:val="en-US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/>
        </w:rPr>
        <w:t>Alternative measurement approach B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/>
        </w:rPr>
        <w:t xml:space="preserve">[using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OOP 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>expenses (as a separate variable) from the survey’s health module,  and the OOP component of total consumption expenditure (thus CTP) from the consumption module]</w:t>
      </w:r>
    </w:p>
    <w:tbl>
      <w:tblPr>
        <w:tblStyle w:val="3"/>
        <w:tblW w:w="5001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8"/>
        <w:gridCol w:w="1322"/>
        <w:gridCol w:w="1322"/>
        <w:gridCol w:w="1323"/>
        <w:gridCol w:w="1325"/>
        <w:gridCol w:w="1321"/>
        <w:gridCol w:w="1321"/>
        <w:gridCol w:w="1321"/>
        <w:gridCol w:w="1321"/>
        <w:gridCol w:w="130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39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Households affected by non-NCD only</w:t>
            </w:r>
          </w:p>
        </w:tc>
        <w:tc>
          <w:tcPr>
            <w:tcW w:w="1398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Households affected by NCD only</w:t>
            </w:r>
          </w:p>
        </w:tc>
        <w:tc>
          <w:tcPr>
            <w:tcW w:w="1391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Households affected by both NCD &amp; non-NCD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81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2005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2,87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2010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2,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931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2016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(n =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10,391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2005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1,6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2, 4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9,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393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2005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(n=1,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806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2,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440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10,1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60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tcBorders>
              <w:top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tcBorders>
              <w:top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top w:val="single" w:color="000000" w:sz="4" w:space="0"/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top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top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top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28.5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(0.5)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24.0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22.6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(0.5)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16.4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(0.4)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(0.5)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(0.4)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17.9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(0.4)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19.9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22.1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Consumption expenditure quintile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Lowest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21.3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23.1 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21.5 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16.2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17.0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19.1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15.9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16.3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15.3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2nd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22.6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22.7 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21.2 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17.9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16.5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19.2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17.3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19.0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18.6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3rd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20.8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19.9 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20.1 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18.9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19.0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19.9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20.4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20.7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19.4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4th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18.6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19.0 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19.9 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20.6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21.3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19.1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21.3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21.6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21.3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Highest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16.6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15.4 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17.5 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26.4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26.3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22.7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25.1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22.4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25.4 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Area of residence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Rural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78.0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(0.0)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78.9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70.0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(1.7)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72.1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69.0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74.2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76.2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81.3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75.6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Urban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22.0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(0.0)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21.1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30.0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(1.7)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27.9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31.0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25.8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23.8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18.7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24.4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Household head's education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No education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57.3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53.5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40.4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52.1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50.9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43.8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54.1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54.0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42.0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Below secondary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29.8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33.2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46.0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30.5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29.5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39.6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31.1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31.9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43.5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Secondary or above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12.9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13.4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13.6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17.4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19.6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16.6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14.7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14.1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14.5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Illness of main income earner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76.0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72.9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74.6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56.6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57.7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58.4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42.9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44.8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46.6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24.0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27.1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25.4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43.4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42.3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41.6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57.1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55.2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53.4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Age composition of ill members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2298" w:type="dxa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 xml:space="preserve">Children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(&lt;18 years)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only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44.9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38.5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39.6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5.5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(0.5)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(0.4)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(0.5)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(0.3)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2298" w:type="dxa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 xml:space="preserve">Non-elderly adults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(18-60 years)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only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2298" w:type="dxa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 xml:space="preserve">Elderly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(&gt;60 years)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only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32.6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38.3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35.5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68.3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65.5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63.3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29.3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29.6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31.3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2298" w:type="dxa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 xml:space="preserve">Children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(&lt;18 years)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only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2298" w:type="dxa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 xml:space="preserve">Non-elderly adults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(18-60 years)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only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6.0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(0.5)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4.6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(0.4)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4.1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(0.3)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16.9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19.2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7.3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6.8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Children and non-elderly adults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14.5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16.7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19.0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(0.5)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(0.4)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(0.2)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45.3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44.5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42.5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Non-elderly adults and elderly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0.9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(0.2)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1.3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(0.2)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1.0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(0.1)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6.4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6.8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8.9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(0.4)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10.8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11.9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10.3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Children and elderly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(0.2)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0.6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(0.1)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0.8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(0.1)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0.0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0.3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(0.1)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0.3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(0.1)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6.0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(0.5)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Gender composition of ill members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Male only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40.0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38.5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34.1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37.3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32.9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29.6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16.5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12.8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12.0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Female only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42.4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41.2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43.2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43.6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43.7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44.0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19.1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21.3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22.2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Male and female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17.6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20.3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22.6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19.1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23.3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26.5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64.4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65.9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65.8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Number of ill members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One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71.4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68.6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66.3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77.3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73.3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70.2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15.1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15.6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17.8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Two or more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28.6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31.4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33.7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22.7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26.7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29.8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84.9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84.4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82.2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Comorbidity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eastAsia="SimSun" w:cs="Times New Roman"/>
                <w:b w:val="0"/>
                <w:bCs w:val="0"/>
                <w:color w:val="000000"/>
                <w:sz w:val="18"/>
                <w:szCs w:val="18"/>
                <w:lang w:bidi="ar"/>
              </w:rPr>
              <w:t xml:space="preserve">of </w:t>
            </w:r>
            <w:r>
              <w:rPr>
                <w:rFonts w:ascii="Times New Roman" w:hAnsi="Times New Roman" w:eastAsia="SimSun" w:cs="Times New Roman"/>
                <w:b w:val="0"/>
                <w:bCs w:val="0"/>
                <w:color w:val="000000"/>
                <w:sz w:val="18"/>
                <w:szCs w:val="18"/>
                <w:lang w:val="en-US" w:bidi="ar"/>
              </w:rPr>
              <w:t>ill members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One disease (no comorbidity)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83.4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90.7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76.8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97.6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(0.4)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80.2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70.3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45.2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36.5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26.5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1323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6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10" w:type="pct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Two or more diseases</w:t>
            </w:r>
          </w:p>
        </w:tc>
        <w:tc>
          <w:tcPr>
            <w:tcW w:w="1322" w:type="dxa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16.6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1322" w:type="dxa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9.3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1323" w:type="dxa"/>
            <w:tcBorders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23.2</w:t>
            </w:r>
          </w:p>
          <w:p>
            <w:pPr>
              <w:spacing w:after="0" w:line="276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7" w:type="pct"/>
            <w:tcBorders>
              <w:left w:val="single" w:color="auto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2.4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(0.4)</w:t>
            </w:r>
          </w:p>
        </w:tc>
        <w:tc>
          <w:tcPr>
            <w:tcW w:w="465" w:type="pct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19.8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5" w:type="pct"/>
            <w:tcBorders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29.7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5" w:type="pct"/>
            <w:tcBorders>
              <w:left w:val="single" w:color="auto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54.8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5" w:type="pct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63.5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59" w:type="pct"/>
            <w:tcBorders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73.5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</w:tr>
    </w:tbl>
    <w:p>
      <w:pPr>
        <w:rPr>
          <w:rFonts w:ascii="Times New Roman" w:hAnsi="Times New Roman" w:eastAsia="Calibri"/>
          <w:sz w:val="20"/>
          <w:szCs w:val="20"/>
        </w:rPr>
      </w:pPr>
      <w:r>
        <w:rPr>
          <w:rFonts w:ascii="Times New Roman" w:hAnsi="Times New Roman" w:eastAsia="Calibri"/>
          <w:sz w:val="20"/>
          <w:szCs w:val="20"/>
        </w:rPr>
        <w:t>NCD = noncommunicable diseases</w:t>
      </w:r>
    </w:p>
    <w:p>
      <w:pPr>
        <w:rPr>
          <w:rFonts w:ascii="Calibri" w:hAnsi="Calibri" w:eastAsia="SimSun" w:cs="Times New Roman"/>
          <w:sz w:val="24"/>
          <w:szCs w:val="24"/>
          <w:lang w:val="en-US"/>
        </w:rPr>
      </w:pPr>
      <w:r>
        <w:rPr>
          <w:rFonts w:ascii="Times New Roman" w:hAnsi="Times New Roman"/>
          <w:sz w:val="20"/>
          <w:szCs w:val="20"/>
        </w:rPr>
        <w:t>Numbers in parentheses are standard errors</w:t>
      </w:r>
    </w:p>
    <w:p>
      <w:pPr>
        <w:rPr>
          <w:rFonts w:ascii="Times New Roman" w:hAnsi="Times New Roman" w:eastAsia="Calibri"/>
          <w:sz w:val="20"/>
          <w:szCs w:val="20"/>
          <w:lang w:val="en-US"/>
        </w:rPr>
      </w:pPr>
      <w:r>
        <w:rPr>
          <w:rFonts w:ascii="Times New Roman" w:hAnsi="Times New Roman" w:eastAsia="Calibri"/>
          <w:sz w:val="20"/>
          <w:szCs w:val="20"/>
        </w:rPr>
        <w:t>Total number of households</w:t>
      </w:r>
      <w:r>
        <w:rPr>
          <w:rFonts w:hint="default" w:ascii="Times New Roman" w:hAnsi="Times New Roman" w:eastAsia="Calibri"/>
          <w:sz w:val="20"/>
          <w:szCs w:val="20"/>
          <w:lang w:val="en-US"/>
        </w:rPr>
        <w:t xml:space="preserve"> included in analysis</w:t>
      </w:r>
      <w:r>
        <w:rPr>
          <w:rFonts w:ascii="Times New Roman" w:hAnsi="Times New Roman" w:eastAsia="Calibri"/>
          <w:sz w:val="20"/>
          <w:szCs w:val="20"/>
        </w:rPr>
        <w:t>: 10,0</w:t>
      </w:r>
      <w:r>
        <w:rPr>
          <w:rFonts w:hint="default" w:ascii="Times New Roman" w:hAnsi="Times New Roman" w:eastAsia="Calibri"/>
          <w:sz w:val="20"/>
          <w:szCs w:val="20"/>
          <w:lang w:val="en-US"/>
        </w:rPr>
        <w:t>75</w:t>
      </w:r>
      <w:r>
        <w:rPr>
          <w:rFonts w:ascii="Times New Roman" w:hAnsi="Times New Roman" w:eastAsia="Calibri"/>
          <w:sz w:val="20"/>
          <w:szCs w:val="20"/>
        </w:rPr>
        <w:t xml:space="preserve"> in 2005, 12,2</w:t>
      </w:r>
      <w:r>
        <w:rPr>
          <w:rFonts w:hint="default" w:ascii="Times New Roman" w:hAnsi="Times New Roman" w:eastAsia="Calibri"/>
          <w:sz w:val="20"/>
          <w:szCs w:val="20"/>
          <w:lang w:val="en-US"/>
        </w:rPr>
        <w:t>37</w:t>
      </w:r>
      <w:r>
        <w:rPr>
          <w:rFonts w:ascii="Times New Roman" w:hAnsi="Times New Roman" w:eastAsia="Calibri"/>
          <w:sz w:val="20"/>
          <w:szCs w:val="20"/>
        </w:rPr>
        <w:t xml:space="preserve"> in 2010, and 4</w:t>
      </w:r>
      <w:r>
        <w:rPr>
          <w:rFonts w:hint="default" w:ascii="Times New Roman" w:hAnsi="Times New Roman" w:eastAsia="Calibri"/>
          <w:sz w:val="20"/>
          <w:szCs w:val="20"/>
          <w:lang w:val="en-US"/>
        </w:rPr>
        <w:t>5,9</w:t>
      </w:r>
      <w:r>
        <w:rPr>
          <w:rFonts w:ascii="Times New Roman" w:hAnsi="Times New Roman" w:eastAsia="Calibri"/>
          <w:sz w:val="20"/>
          <w:szCs w:val="20"/>
        </w:rPr>
        <w:t>76 in 2016</w:t>
      </w:r>
    </w:p>
    <w:p/>
    <w:sectPr>
      <w:footerReference r:id="rId5" w:type="default"/>
      <w:pgSz w:w="16838" w:h="11906" w:orient="landscape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zSVju0AAAAAUBAAAP&#10;AAAAAAAAAAEAIAAAACIAAABkcnMvZG93bnJldi54bWxQSwECFAAUAAAACACHTuJAXC3l+iACAABg&#10;BAAADgAAAAAAAAABACAAAAAfAQAAZHJzL2Uyb0RvYy54bWxQSwUGAAAAAAYABgBZAQAAs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74735D"/>
    <w:rsid w:val="43811F92"/>
    <w:rsid w:val="4BC125AC"/>
    <w:rsid w:val="4DDB7EDD"/>
    <w:rsid w:val="5F704FC3"/>
    <w:rsid w:val="601E438A"/>
    <w:rsid w:val="66170E91"/>
    <w:rsid w:val="67727023"/>
    <w:rsid w:val="78FC5C5D"/>
    <w:rsid w:val="7C3A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A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Office_11.2.0.11254_F1E327BC-269C-435d-A152-05C5408002CA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2022-08-27T04:56:00Z</dcterms:created>
  <dc:creator>tasli</dc:creator>
  <cp:lastModifiedBy>Taslima Rahman</cp:lastModifiedBy>
  <dcterms:modified xsi:type="dcterms:W3CDTF">2022-08-29T13:56:58Z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10EBE2D779EC496A91E385D4711648C6</vt:lpwstr>
  </property>
</Properties>
</file>