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E6927" w14:textId="77777777" w:rsidR="008D22DF" w:rsidRDefault="008D22DF" w:rsidP="008D22DF">
      <w:pPr>
        <w:keepNext/>
        <w:keepLines/>
        <w:spacing w:after="0" w:line="480" w:lineRule="auto"/>
        <w:outlineLvl w:val="0"/>
        <w:rPr>
          <w:rFonts w:ascii="Arial Bold" w:eastAsia="Times New Roman" w:hAnsi="Arial Bold" w:cs="Times New Roman"/>
          <w:b/>
          <w:bCs/>
          <w:color w:val="000000"/>
          <w:sz w:val="24"/>
          <w:szCs w:val="28"/>
          <w:lang w:eastAsia="en-AU"/>
        </w:rPr>
      </w:pPr>
      <w:bookmarkStart w:id="0" w:name="_Toc480904146"/>
      <w:r>
        <w:rPr>
          <w:rFonts w:ascii="Arial Bold" w:eastAsia="Times New Roman" w:hAnsi="Arial Bold" w:cs="Times New Roman"/>
          <w:b/>
          <w:bCs/>
          <w:color w:val="000000"/>
          <w:sz w:val="24"/>
          <w:szCs w:val="28"/>
          <w:lang w:eastAsia="en-AU"/>
        </w:rPr>
        <w:t>Additional file 1</w:t>
      </w:r>
    </w:p>
    <w:p w14:paraId="47F3CF61" w14:textId="15D43BFF" w:rsidR="004A01B8" w:rsidRPr="004A01B8" w:rsidRDefault="004A01B8" w:rsidP="004A01B8">
      <w:pPr>
        <w:keepNext/>
        <w:keepLines/>
        <w:spacing w:after="0" w:line="480" w:lineRule="auto"/>
        <w:jc w:val="center"/>
        <w:outlineLvl w:val="0"/>
        <w:rPr>
          <w:rFonts w:ascii="Arial Bold" w:eastAsia="Times New Roman" w:hAnsi="Arial Bold" w:cs="Times New Roman"/>
          <w:b/>
          <w:bCs/>
          <w:color w:val="000000"/>
          <w:sz w:val="24"/>
          <w:szCs w:val="28"/>
          <w:lang w:eastAsia="en-AU"/>
        </w:rPr>
      </w:pPr>
      <w:r w:rsidRPr="004A01B8">
        <w:rPr>
          <w:rFonts w:ascii="Arial Bold" w:eastAsia="Times New Roman" w:hAnsi="Arial Bold" w:cs="Times New Roman"/>
          <w:b/>
          <w:bCs/>
          <w:color w:val="000000"/>
          <w:sz w:val="24"/>
          <w:szCs w:val="28"/>
          <w:lang w:eastAsia="en-AU"/>
        </w:rPr>
        <w:t xml:space="preserve"> Biochemical Sample Analysis Methods</w:t>
      </w:r>
      <w:bookmarkEnd w:id="0"/>
    </w:p>
    <w:p w14:paraId="6F679D58"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spacing w:val="-2"/>
          <w:sz w:val="20"/>
          <w:szCs w:val="20"/>
          <w:lang w:eastAsia="en-AU"/>
        </w:rPr>
      </w:pPr>
      <w:r w:rsidRPr="004A01B8">
        <w:rPr>
          <w:rFonts w:ascii="Arial" w:eastAsia="Times New Roman" w:hAnsi="Arial" w:cs="Arial"/>
          <w:b/>
          <w:spacing w:val="-2"/>
          <w:sz w:val="20"/>
          <w:szCs w:val="20"/>
          <w:lang w:eastAsia="en-AU"/>
        </w:rPr>
        <w:t>Biochemical Materials and Methods for Biological Sample Analysis</w:t>
      </w:r>
    </w:p>
    <w:p w14:paraId="750C2264"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spacing w:val="-2"/>
          <w:sz w:val="20"/>
          <w:szCs w:val="20"/>
          <w:lang w:eastAsia="en-AU"/>
        </w:rPr>
      </w:pPr>
      <w:r w:rsidRPr="004A01B8">
        <w:rPr>
          <w:rFonts w:ascii="Arial" w:eastAsia="Times New Roman" w:hAnsi="Arial" w:cs="Arial"/>
          <w:b/>
          <w:bCs/>
          <w:spacing w:val="-2"/>
          <w:sz w:val="20"/>
          <w:szCs w:val="20"/>
          <w:lang w:eastAsia="en-AU"/>
        </w:rPr>
        <w:t>1.1. Chemicals</w:t>
      </w:r>
    </w:p>
    <w:p w14:paraId="6D90460B" w14:textId="628A6590"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The following alkaloids and deuterated internal standards were obtained from Toronto Research Chemicals (Toronto, ON, Canada): (R,S)-Anabasine (AB) and (R,S)-Anabasine-2,4,5,6-d4 (AB-d4); (R,S)-Anatabine (AT) and (R,S)-Anatabine-2,4,5,6-d4 (AT-d4); (-)-Cotinine (COT); (+/-)-Nornicotine (NNIC); nicotine-N-β-glucuronide (NIC GLUC); trans-3’-hydroxycotinine (3HC). (-)-Nicotine (NIC), (+/-)-Nicotine-d4 (NIC-d4), (+/-)-Cotinine-d3 (COT-d3) and (+/-)-Nornicotine-d4 (NNIC-d4) were purchased from Sigma (</w:t>
      </w:r>
      <w:r w:rsidRPr="004A01B8">
        <w:rPr>
          <w:rFonts w:ascii="Arial" w:eastAsia="Times New Roman" w:hAnsi="Arial" w:cs="Arial"/>
          <w:color w:val="222222"/>
          <w:spacing w:val="-2"/>
          <w:sz w:val="20"/>
          <w:szCs w:val="20"/>
          <w:shd w:val="clear" w:color="auto" w:fill="FFFFFF"/>
          <w:lang w:eastAsia="en-AU"/>
        </w:rPr>
        <w:t xml:space="preserve">St. Louis, </w:t>
      </w:r>
      <w:r w:rsidRPr="004A01B8">
        <w:rPr>
          <w:rFonts w:ascii="Arial" w:eastAsia="Times New Roman" w:hAnsi="Arial" w:cs="Arial"/>
          <w:spacing w:val="-2"/>
          <w:sz w:val="20"/>
          <w:szCs w:val="20"/>
          <w:lang w:eastAsia="en-AU"/>
        </w:rPr>
        <w:t>MO, USA). Nicotine-N-β-glucuronide-methyl-d3 (NIC GLUC-d3), trans-3’-hydroxycotinine-d3 (3HC-d3), (1'S, 2'S)-Nicotine 1'-Oxide (NNO) and (+/-) trans-Nicotine-1'-oxide-methyl-d3 (NNO-d3) were obtained from Santa Cruz Biotechnology (</w:t>
      </w:r>
      <w:r w:rsidRPr="004A01B8">
        <w:rPr>
          <w:rFonts w:ascii="Arial" w:eastAsia="Times New Roman" w:hAnsi="Arial" w:cs="Arial"/>
          <w:bCs/>
          <w:color w:val="000000"/>
          <w:spacing w:val="-2"/>
          <w:sz w:val="20"/>
          <w:szCs w:val="20"/>
          <w:shd w:val="clear" w:color="auto" w:fill="FFFFFF"/>
          <w:lang w:eastAsia="en-AU"/>
        </w:rPr>
        <w:t>Santa</w:t>
      </w:r>
      <w:r w:rsidRPr="004A01B8">
        <w:rPr>
          <w:rFonts w:ascii="Arial" w:eastAsia="Times New Roman" w:hAnsi="Arial" w:cs="Arial"/>
          <w:color w:val="222222"/>
          <w:spacing w:val="-2"/>
          <w:sz w:val="20"/>
          <w:szCs w:val="20"/>
          <w:shd w:val="clear" w:color="auto" w:fill="FFFFFF"/>
          <w:lang w:eastAsia="en-AU"/>
        </w:rPr>
        <w:t> </w:t>
      </w:r>
      <w:r w:rsidRPr="004A01B8">
        <w:rPr>
          <w:rFonts w:ascii="Arial" w:eastAsia="Times New Roman" w:hAnsi="Arial" w:cs="Arial"/>
          <w:bCs/>
          <w:color w:val="000000"/>
          <w:spacing w:val="-2"/>
          <w:sz w:val="20"/>
          <w:szCs w:val="20"/>
          <w:shd w:val="clear" w:color="auto" w:fill="FFFFFF"/>
          <w:lang w:eastAsia="en-AU"/>
        </w:rPr>
        <w:t>Cruz,</w:t>
      </w:r>
      <w:r w:rsidRPr="004A01B8">
        <w:rPr>
          <w:rFonts w:ascii="Arial" w:eastAsia="Times New Roman" w:hAnsi="Arial" w:cs="Arial"/>
          <w:b/>
          <w:bCs/>
          <w:color w:val="000000"/>
          <w:spacing w:val="-2"/>
          <w:sz w:val="20"/>
          <w:szCs w:val="20"/>
          <w:shd w:val="clear" w:color="auto" w:fill="FFFFFF"/>
          <w:lang w:eastAsia="en-AU"/>
        </w:rPr>
        <w:t xml:space="preserve"> </w:t>
      </w:r>
      <w:r w:rsidRPr="004A01B8">
        <w:rPr>
          <w:rFonts w:ascii="Arial" w:eastAsia="Times New Roman" w:hAnsi="Arial" w:cs="Arial"/>
          <w:spacing w:val="-2"/>
          <w:sz w:val="20"/>
          <w:szCs w:val="20"/>
          <w:lang w:eastAsia="en-AU"/>
        </w:rPr>
        <w:t>CA, USA). The purity of all the commercially available reference compounds was ≥98%. LC–MS grade formic acid (&gt;99%) and ammonium formate (&gt;99%) were purchased from Fisher Chemical (Geel, Belgium) and Agilent Technologies (</w:t>
      </w:r>
      <w:r w:rsidRPr="004A01B8">
        <w:rPr>
          <w:rFonts w:ascii="Arial" w:eastAsia="Times New Roman" w:hAnsi="Arial" w:cs="Arial"/>
          <w:color w:val="222222"/>
          <w:spacing w:val="-2"/>
          <w:sz w:val="20"/>
          <w:szCs w:val="20"/>
          <w:shd w:val="clear" w:color="auto" w:fill="FFFFFF"/>
          <w:lang w:eastAsia="en-AU"/>
        </w:rPr>
        <w:t>Palo Alto</w:t>
      </w:r>
      <w:r w:rsidRPr="004A01B8">
        <w:rPr>
          <w:rFonts w:ascii="Arial" w:eastAsia="Times New Roman" w:hAnsi="Arial" w:cs="Arial"/>
          <w:spacing w:val="-2"/>
          <w:sz w:val="20"/>
          <w:szCs w:val="20"/>
          <w:lang w:eastAsia="en-AU"/>
        </w:rPr>
        <w:t>, CA, USA), respectively. Methanol and acetonitrile were purchased from Merck (Darmstadt, Germany) and ammonium hydroxide from Sigma. Ultra-pure water was prepared by a Millipore Milli-Q system (Milford, MA, USA). Stock solution for the alkaloid standards was prepared in methanol at a concentration of 1 mg/mL and was stored at -80°C. Working solutions were prepared by serial dilution from the stock solutions and stored at -20°C until required for an analytical run. Internal standard mixture was prepared by addition of the eight-deuterated internal standards at 1 µg/mL concentration in methanol and stored at -20°C.</w:t>
      </w:r>
    </w:p>
    <w:p w14:paraId="52DC0D9B"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spacing w:val="-2"/>
          <w:sz w:val="20"/>
          <w:szCs w:val="20"/>
          <w:lang w:eastAsia="en-AU"/>
        </w:rPr>
      </w:pPr>
      <w:r w:rsidRPr="004A01B8">
        <w:rPr>
          <w:rFonts w:ascii="Arial" w:eastAsia="Times New Roman" w:hAnsi="Arial" w:cs="Arial"/>
          <w:b/>
          <w:bCs/>
          <w:spacing w:val="-2"/>
          <w:sz w:val="20"/>
          <w:szCs w:val="20"/>
          <w:lang w:eastAsia="en-AU"/>
        </w:rPr>
        <w:t>1.2. Sample preparation</w:t>
      </w:r>
    </w:p>
    <w:p w14:paraId="5F02C5A7"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The native fluids (urine, serum, amniotic fluid and breast milk) were thawed and centrifuged at 12,000 x g for 5 min to remove solid impurities.</w:t>
      </w:r>
    </w:p>
    <w:p w14:paraId="0865896A"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i/>
          <w:iCs/>
          <w:spacing w:val="-2"/>
          <w:sz w:val="20"/>
          <w:szCs w:val="20"/>
          <w:lang w:eastAsia="en-AU"/>
        </w:rPr>
      </w:pPr>
      <w:r w:rsidRPr="004A01B8">
        <w:rPr>
          <w:rFonts w:ascii="Arial" w:eastAsia="Times New Roman" w:hAnsi="Arial" w:cs="Arial"/>
          <w:b/>
          <w:bCs/>
          <w:i/>
          <w:iCs/>
          <w:spacing w:val="-2"/>
          <w:sz w:val="20"/>
          <w:szCs w:val="20"/>
          <w:lang w:eastAsia="en-AU"/>
        </w:rPr>
        <w:t>1.2.1. Urine</w:t>
      </w:r>
    </w:p>
    <w:p w14:paraId="3A5550A5"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 xml:space="preserve">Urine (20 µL) was spiked with 5 µl of 1 µg/mL internal standard mixture and basified with 1 mL of 0.15 M aqueous-ammonium hydroxide solution. Following brief vortex, the solution was loaded onto the conditioned (1 mL methanol) and equilibrated (1 mL 0.15 M ammonium hydroxide) SampliQ Polymer SCX (30 mg, 1 mL, Agilent Technologies). The loaded cartridge was then washed with 1 mL of 2% formic acid and eluted with 2 mL of methanol and subsequently 2 mL of 3% ammonium hydroxide in methanol. The eluent collected in a 16 x 100 mm glass tube was evaporated in </w:t>
      </w:r>
      <w:r w:rsidRPr="004A01B8">
        <w:rPr>
          <w:rFonts w:ascii="Arial" w:eastAsia="Times New Roman" w:hAnsi="Arial" w:cs="Arial"/>
          <w:spacing w:val="-2"/>
          <w:sz w:val="20"/>
          <w:szCs w:val="20"/>
          <w:shd w:val="clear" w:color="auto" w:fill="FFFFFF"/>
          <w:lang w:eastAsia="en-AU"/>
        </w:rPr>
        <w:t>a </w:t>
      </w:r>
      <w:r w:rsidRPr="004A01B8">
        <w:rPr>
          <w:rFonts w:ascii="Arial" w:eastAsia="Times New Roman" w:hAnsi="Arial" w:cs="Arial"/>
          <w:bCs/>
          <w:spacing w:val="-2"/>
          <w:sz w:val="20"/>
          <w:szCs w:val="20"/>
          <w:shd w:val="clear" w:color="auto" w:fill="FFFFFF"/>
          <w:lang w:eastAsia="en-AU"/>
        </w:rPr>
        <w:t>Pierce</w:t>
      </w:r>
      <w:r w:rsidRPr="004A01B8">
        <w:rPr>
          <w:rFonts w:ascii="Arial" w:eastAsia="Times New Roman" w:hAnsi="Arial" w:cs="Arial"/>
          <w:spacing w:val="-2"/>
          <w:sz w:val="20"/>
          <w:szCs w:val="20"/>
          <w:lang w:eastAsia="en-AU"/>
        </w:rPr>
        <w:t xml:space="preserve"> </w:t>
      </w:r>
      <w:r w:rsidRPr="004A01B8">
        <w:rPr>
          <w:rFonts w:ascii="Arial" w:eastAsia="Times New Roman" w:hAnsi="Arial" w:cs="Arial"/>
          <w:bCs/>
          <w:spacing w:val="-2"/>
          <w:sz w:val="20"/>
          <w:szCs w:val="20"/>
          <w:shd w:val="clear" w:color="auto" w:fill="FFFFFF"/>
          <w:lang w:eastAsia="en-AU"/>
        </w:rPr>
        <w:t>Reacti</w:t>
      </w:r>
      <w:r w:rsidRPr="004A01B8">
        <w:rPr>
          <w:rFonts w:ascii="Arial" w:eastAsia="Times New Roman" w:hAnsi="Arial" w:cs="Arial"/>
          <w:spacing w:val="-2"/>
          <w:sz w:val="20"/>
          <w:szCs w:val="20"/>
          <w:shd w:val="clear" w:color="auto" w:fill="FFFFFF"/>
          <w:lang w:eastAsia="en-AU"/>
        </w:rPr>
        <w:t>-</w:t>
      </w:r>
      <w:r w:rsidRPr="004A01B8">
        <w:rPr>
          <w:rFonts w:ascii="Arial" w:eastAsia="Times New Roman" w:hAnsi="Arial" w:cs="Arial"/>
          <w:bCs/>
          <w:spacing w:val="-2"/>
          <w:sz w:val="20"/>
          <w:szCs w:val="20"/>
          <w:shd w:val="clear" w:color="auto" w:fill="FFFFFF"/>
          <w:lang w:eastAsia="en-AU"/>
        </w:rPr>
        <w:t>Therm III heating</w:t>
      </w:r>
      <w:r w:rsidRPr="004A01B8">
        <w:rPr>
          <w:rFonts w:ascii="Arial" w:eastAsia="Times New Roman" w:hAnsi="Arial" w:cs="Arial"/>
          <w:spacing w:val="-2"/>
          <w:sz w:val="20"/>
          <w:szCs w:val="20"/>
          <w:shd w:val="clear" w:color="auto" w:fill="FFFFFF"/>
          <w:lang w:eastAsia="en-AU"/>
        </w:rPr>
        <w:t> </w:t>
      </w:r>
      <w:r w:rsidRPr="004A01B8">
        <w:rPr>
          <w:rFonts w:ascii="Arial" w:eastAsia="Times New Roman" w:hAnsi="Arial" w:cs="Arial"/>
          <w:bCs/>
          <w:spacing w:val="-2"/>
          <w:sz w:val="20"/>
          <w:szCs w:val="20"/>
          <w:shd w:val="clear" w:color="auto" w:fill="FFFFFF"/>
          <w:lang w:eastAsia="en-AU"/>
        </w:rPr>
        <w:t>module</w:t>
      </w:r>
      <w:r w:rsidRPr="004A01B8">
        <w:rPr>
          <w:rFonts w:ascii="Arial" w:eastAsia="Times New Roman" w:hAnsi="Arial" w:cs="Arial"/>
          <w:spacing w:val="-2"/>
          <w:sz w:val="20"/>
          <w:szCs w:val="20"/>
          <w:shd w:val="clear" w:color="auto" w:fill="FFFFFF"/>
          <w:lang w:eastAsia="en-AU"/>
        </w:rPr>
        <w:t xml:space="preserve"> (Rockford, IL, USA) </w:t>
      </w:r>
      <w:r w:rsidRPr="004A01B8">
        <w:rPr>
          <w:rFonts w:ascii="Arial" w:eastAsia="Times New Roman" w:hAnsi="Arial" w:cs="Arial"/>
          <w:spacing w:val="-2"/>
          <w:sz w:val="20"/>
          <w:szCs w:val="20"/>
          <w:lang w:eastAsia="en-AU"/>
        </w:rPr>
        <w:t xml:space="preserve">to approximately 5-10 µL residual volume to avoid loss of volatile compounds such as cotinine and 3-OH cotinine. Subsequently, the residue was reconstituted in 100 µL </w:t>
      </w:r>
      <w:r w:rsidRPr="004A01B8">
        <w:rPr>
          <w:rFonts w:ascii="Arial" w:eastAsia="Times New Roman" w:hAnsi="Arial" w:cs="Arial"/>
          <w:spacing w:val="-2"/>
          <w:sz w:val="20"/>
          <w:szCs w:val="20"/>
          <w:lang w:eastAsia="en-AU"/>
        </w:rPr>
        <w:lastRenderedPageBreak/>
        <w:t>of methanol and re-centrifuged in a 1.5 mL tube for 5 min at 12,000 rpm and 1 µL of the supernatant was injected into the LC-MS/MS system.</w:t>
      </w:r>
    </w:p>
    <w:p w14:paraId="76039910"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i/>
          <w:iCs/>
          <w:spacing w:val="-2"/>
          <w:sz w:val="20"/>
          <w:szCs w:val="20"/>
          <w:lang w:eastAsia="en-AU"/>
        </w:rPr>
      </w:pPr>
      <w:r w:rsidRPr="004A01B8">
        <w:rPr>
          <w:rFonts w:ascii="Arial" w:eastAsia="Times New Roman" w:hAnsi="Arial" w:cs="Arial"/>
          <w:b/>
          <w:bCs/>
          <w:i/>
          <w:iCs/>
          <w:spacing w:val="-2"/>
          <w:sz w:val="20"/>
          <w:szCs w:val="20"/>
          <w:lang w:eastAsia="en-AU"/>
        </w:rPr>
        <w:t>1.2.2. Serum, breast milk and amniotic fluid</w:t>
      </w:r>
    </w:p>
    <w:p w14:paraId="0313F3D3"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shd w:val="clear" w:color="auto" w:fill="FFFFFF"/>
          <w:lang w:eastAsia="en-AU"/>
        </w:rPr>
      </w:pPr>
      <w:r w:rsidRPr="004A01B8">
        <w:rPr>
          <w:rFonts w:ascii="Arial" w:eastAsia="Times New Roman" w:hAnsi="Arial" w:cs="Arial"/>
          <w:spacing w:val="-2"/>
          <w:sz w:val="20"/>
          <w:szCs w:val="20"/>
          <w:lang w:eastAsia="en-AU"/>
        </w:rPr>
        <w:t xml:space="preserve">An aliquot (50 µL) of plasma, breast milk or amniotic fluid was spiked with 5 µL of 1 µg/mL internal standard mixture and then 100 µL of acetonitrile was added to the solution to aid in matrix clean-up. Following vortex-mixing and 10 min of 12,000 rpm centrifugation, the supernatant was transferred to a 16 x 100 mm glass tube and evaporated by nitrogen gas flow at 40°C for 10 min in </w:t>
      </w:r>
      <w:r w:rsidRPr="004A01B8">
        <w:rPr>
          <w:rFonts w:ascii="Arial" w:eastAsia="Times New Roman" w:hAnsi="Arial" w:cs="Arial"/>
          <w:spacing w:val="-2"/>
          <w:sz w:val="20"/>
          <w:szCs w:val="20"/>
          <w:shd w:val="clear" w:color="auto" w:fill="FFFFFF"/>
          <w:lang w:eastAsia="en-AU"/>
        </w:rPr>
        <w:t>a </w:t>
      </w:r>
      <w:r w:rsidRPr="004A01B8">
        <w:rPr>
          <w:rFonts w:ascii="Arial" w:eastAsia="Times New Roman" w:hAnsi="Arial" w:cs="Arial"/>
          <w:bCs/>
          <w:spacing w:val="-2"/>
          <w:sz w:val="20"/>
          <w:szCs w:val="20"/>
          <w:shd w:val="clear" w:color="auto" w:fill="FFFFFF"/>
          <w:lang w:eastAsia="en-AU"/>
        </w:rPr>
        <w:t>Pierce</w:t>
      </w:r>
      <w:r w:rsidRPr="004A01B8">
        <w:rPr>
          <w:rFonts w:ascii="Arial" w:eastAsia="Times New Roman" w:hAnsi="Arial" w:cs="Arial"/>
          <w:spacing w:val="-2"/>
          <w:sz w:val="20"/>
          <w:szCs w:val="20"/>
          <w:lang w:eastAsia="en-AU"/>
        </w:rPr>
        <w:t xml:space="preserve"> </w:t>
      </w:r>
      <w:r w:rsidRPr="004A01B8">
        <w:rPr>
          <w:rFonts w:ascii="Arial" w:eastAsia="Times New Roman" w:hAnsi="Arial" w:cs="Arial"/>
          <w:bCs/>
          <w:spacing w:val="-2"/>
          <w:sz w:val="20"/>
          <w:szCs w:val="20"/>
          <w:shd w:val="clear" w:color="auto" w:fill="FFFFFF"/>
          <w:lang w:eastAsia="en-AU"/>
        </w:rPr>
        <w:t>Reacti Therm</w:t>
      </w:r>
      <w:r w:rsidRPr="004A01B8">
        <w:rPr>
          <w:rFonts w:ascii="Arial" w:eastAsia="Times New Roman" w:hAnsi="Arial" w:cs="Arial"/>
          <w:spacing w:val="-2"/>
          <w:sz w:val="20"/>
          <w:szCs w:val="20"/>
          <w:shd w:val="clear" w:color="auto" w:fill="FFFFFF"/>
          <w:lang w:eastAsia="en-AU"/>
        </w:rPr>
        <w:t> III heating module</w:t>
      </w:r>
      <w:r w:rsidRPr="004A01B8">
        <w:rPr>
          <w:rFonts w:ascii="Arial" w:eastAsia="Times New Roman" w:hAnsi="Arial" w:cs="Arial"/>
          <w:spacing w:val="-2"/>
          <w:sz w:val="20"/>
          <w:szCs w:val="20"/>
          <w:lang w:eastAsia="en-AU"/>
        </w:rPr>
        <w:t>. The residue was then reconstituted in 100 µL of methanol, re-centrifuged in 1.5 mL tube for 5 min at 12,000 rpm and 1 µL of the solution was injected into LC-MS/MS system.</w:t>
      </w:r>
    </w:p>
    <w:p w14:paraId="2F7DA69E"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spacing w:val="-2"/>
          <w:sz w:val="20"/>
          <w:szCs w:val="20"/>
          <w:lang w:eastAsia="en-AU"/>
        </w:rPr>
      </w:pPr>
      <w:r w:rsidRPr="004A01B8">
        <w:rPr>
          <w:rFonts w:ascii="Arial" w:eastAsia="Times New Roman" w:hAnsi="Arial" w:cs="Arial"/>
          <w:b/>
          <w:bCs/>
          <w:spacing w:val="-2"/>
          <w:sz w:val="20"/>
          <w:szCs w:val="20"/>
          <w:lang w:eastAsia="en-AU"/>
        </w:rPr>
        <w:t>1.3. LC-MS/MS analysis</w:t>
      </w:r>
    </w:p>
    <w:p w14:paraId="026DC163" w14:textId="74621475"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 xml:space="preserve">Liquid chromatographic separation was achieved on a </w:t>
      </w:r>
      <w:r w:rsidRPr="004A01B8">
        <w:rPr>
          <w:rFonts w:ascii="Arial" w:eastAsia="Times New Roman" w:hAnsi="Arial" w:cs="Arial"/>
          <w:spacing w:val="-2"/>
          <w:sz w:val="20"/>
          <w:szCs w:val="20"/>
          <w:lang w:val="en-US" w:eastAsia="en-AU"/>
        </w:rPr>
        <w:t xml:space="preserve">Poroshell 120 HILIC column (2.1 x 150 mm, 2.7 </w:t>
      </w:r>
      <w:r w:rsidRPr="004A01B8">
        <w:rPr>
          <w:rFonts w:ascii="Arial" w:eastAsia="Times New Roman" w:hAnsi="Arial" w:cs="Arial"/>
          <w:spacing w:val="-2"/>
          <w:sz w:val="20"/>
          <w:szCs w:val="20"/>
          <w:lang w:eastAsia="en-AU"/>
        </w:rPr>
        <w:t>µ</w:t>
      </w:r>
      <w:r w:rsidRPr="004A01B8">
        <w:rPr>
          <w:rFonts w:ascii="Arial" w:eastAsia="Times New Roman" w:hAnsi="Arial" w:cs="Arial"/>
          <w:spacing w:val="-2"/>
          <w:sz w:val="20"/>
          <w:szCs w:val="20"/>
          <w:lang w:val="en-US" w:eastAsia="en-AU"/>
        </w:rPr>
        <w:t>m</w:t>
      </w:r>
      <w:r w:rsidRPr="004A01B8">
        <w:rPr>
          <w:rFonts w:ascii="Arial" w:eastAsia="Times New Roman" w:hAnsi="Arial" w:cs="Arial"/>
          <w:spacing w:val="-2"/>
          <w:sz w:val="20"/>
          <w:szCs w:val="20"/>
          <w:lang w:eastAsia="en-AU"/>
        </w:rPr>
        <w:t xml:space="preserve">) with a 1290 Infinity inline filter (0.3 µm, Agilent, Santa Clara, CA, USA) with a gradient system consisting of 10 mM ammonium formate with 0.1% formic acid (pH 3.2, A) and methanol </w:t>
      </w:r>
      <w:r w:rsidRPr="004A01B8">
        <w:rPr>
          <w:rFonts w:ascii="Arial" w:eastAsia="Times New Roman" w:hAnsi="Arial" w:cs="Arial"/>
          <w:spacing w:val="-2"/>
          <w:sz w:val="20"/>
          <w:szCs w:val="20"/>
          <w:lang w:val="en-US" w:eastAsia="en-AU"/>
        </w:rPr>
        <w:t xml:space="preserve">with </w:t>
      </w:r>
      <w:r w:rsidRPr="004A01B8">
        <w:rPr>
          <w:rFonts w:ascii="Arial" w:eastAsia="Times New Roman" w:hAnsi="Arial" w:cs="Arial"/>
          <w:spacing w:val="-2"/>
          <w:sz w:val="20"/>
          <w:szCs w:val="20"/>
          <w:lang w:eastAsia="en-AU"/>
        </w:rPr>
        <w:t>0.1% formic acid (pH 3.2, B) at a flow rate of 200 µL/min. The initial mobile phase condition was 5% A which increased linearly to 30% for 3 min followed by an increase to 40% until 5 min, then decreased back to the initial mobile phase condition of 5% A within 1 min and re-equilibrated until 30 min.</w:t>
      </w:r>
    </w:p>
    <w:p w14:paraId="47A0B01B" w14:textId="1AA8537F"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 xml:space="preserve">Chromatographic analysis for urine and plasma was carried out using a hybrid triple quadruple mass spectrometer API 3000 equipped with a turbo ion spray source, operating in positive ESI mode supported by Analyst software (AB Sciex, Darmstadt, Germany). For the MS/MS scan, the precursor ions were selected, and the products ions were generated using different collision energy; the most intense product ion was selected for the multiple reaction monitoring mode (MRM) scan (Table </w:t>
      </w:r>
      <w:r w:rsidR="00B461BD">
        <w:rPr>
          <w:rFonts w:ascii="Arial" w:eastAsia="Times New Roman" w:hAnsi="Arial" w:cs="Arial"/>
          <w:spacing w:val="-2"/>
          <w:sz w:val="20"/>
          <w:szCs w:val="20"/>
          <w:lang w:eastAsia="en-AU"/>
        </w:rPr>
        <w:t>S</w:t>
      </w:r>
      <w:r w:rsidRPr="004A01B8">
        <w:rPr>
          <w:rFonts w:ascii="Arial" w:eastAsia="Times New Roman" w:hAnsi="Arial" w:cs="Arial"/>
          <w:spacing w:val="-2"/>
          <w:sz w:val="20"/>
          <w:szCs w:val="20"/>
          <w:lang w:eastAsia="en-AU"/>
        </w:rPr>
        <w:t>1). All MRM transitions were monitored with unit mass resolution for both precursor and product ions. The turbo ion spray source was maintained using the flowing setting: ion spray voltage = 5000 V, turboprobe temperature = 300°C, heater gas flow 7 L/min, nebuliser setting (GAS1) = 15.</w:t>
      </w:r>
    </w:p>
    <w:p w14:paraId="7A90DE0A" w14:textId="73990A34"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spacing w:val="-2"/>
          <w:sz w:val="20"/>
          <w:szCs w:val="20"/>
          <w:lang w:eastAsia="en-AU"/>
        </w:rPr>
      </w:pPr>
      <w:r w:rsidRPr="004A01B8">
        <w:rPr>
          <w:rFonts w:ascii="Arial" w:eastAsia="Times New Roman" w:hAnsi="Arial" w:cs="Arial"/>
          <w:spacing w:val="-2"/>
          <w:sz w:val="20"/>
          <w:szCs w:val="20"/>
          <w:lang w:eastAsia="en-AU"/>
        </w:rPr>
        <w:t>Chromatographic analysis for breast milk and amniotic fluid was conducted using an Agilent 6460 Triple Quadrupole tandem mass spectrometer equipped with a Jet Stream source as the detector with Mass Hunter Workstation software (Agilent Technologies, Santa Clara, CA, USA). The mass spectrometer was operated in electrospray positive mode using MRM data acquisition that optimised by highest possible sensitivity for each alkaloid (Table</w:t>
      </w:r>
      <w:r w:rsidR="00CB3223">
        <w:rPr>
          <w:rFonts w:ascii="Arial" w:eastAsia="Times New Roman" w:hAnsi="Arial" w:cs="Arial"/>
          <w:spacing w:val="-2"/>
          <w:sz w:val="20"/>
          <w:szCs w:val="20"/>
          <w:lang w:eastAsia="en-AU"/>
        </w:rPr>
        <w:t xml:space="preserve"> S</w:t>
      </w:r>
      <w:r w:rsidRPr="004A01B8">
        <w:rPr>
          <w:rFonts w:ascii="Arial" w:eastAsia="Times New Roman" w:hAnsi="Arial" w:cs="Arial"/>
          <w:spacing w:val="-2"/>
          <w:sz w:val="20"/>
          <w:szCs w:val="20"/>
          <w:lang w:eastAsia="en-AU"/>
        </w:rPr>
        <w:t>2). The following ESI conditions were applied: gas flow = 5 L/min, sheath gas flow = 12 L/min, gas temperature = 300°C and sheath gas temperature = 250°C.</w:t>
      </w:r>
    </w:p>
    <w:p w14:paraId="22A31B7F" w14:textId="77777777" w:rsidR="004A01B8" w:rsidRPr="004A01B8"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jc w:val="both"/>
        <w:rPr>
          <w:rFonts w:ascii="Arial" w:eastAsia="Times New Roman" w:hAnsi="Arial" w:cs="Arial"/>
          <w:b/>
          <w:bCs/>
          <w:spacing w:val="-2"/>
          <w:sz w:val="20"/>
          <w:szCs w:val="20"/>
          <w:lang w:eastAsia="en-AU"/>
        </w:rPr>
      </w:pPr>
      <w:r w:rsidRPr="004A01B8">
        <w:rPr>
          <w:rFonts w:ascii="Arial" w:eastAsia="Times New Roman" w:hAnsi="Arial" w:cs="Arial"/>
          <w:b/>
          <w:bCs/>
          <w:spacing w:val="-2"/>
          <w:sz w:val="20"/>
          <w:szCs w:val="20"/>
          <w:lang w:eastAsia="en-AU"/>
        </w:rPr>
        <w:t>1.4. Method validation</w:t>
      </w:r>
    </w:p>
    <w:p w14:paraId="6662A655" w14:textId="361C012F"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240" w:line="360" w:lineRule="auto"/>
        <w:ind w:firstLine="567"/>
        <w:jc w:val="both"/>
        <w:rPr>
          <w:rFonts w:ascii="Arial" w:eastAsia="Times New Roman" w:hAnsi="Arial" w:cs="Arial"/>
          <w:color w:val="000000" w:themeColor="text1"/>
          <w:spacing w:val="-2"/>
          <w:sz w:val="20"/>
          <w:szCs w:val="20"/>
          <w:lang w:eastAsia="en-AU"/>
        </w:rPr>
      </w:pPr>
      <w:r w:rsidRPr="004A01B8">
        <w:rPr>
          <w:rFonts w:ascii="Arial" w:eastAsia="Times New Roman" w:hAnsi="Arial" w:cs="Arial"/>
          <w:spacing w:val="-2"/>
          <w:sz w:val="20"/>
          <w:szCs w:val="20"/>
          <w:lang w:eastAsia="en-AU"/>
        </w:rPr>
        <w:t xml:space="preserve">The linearity of the method was assessed using six serial dilutions from the alkaloid stock solution and internal standard by linear regression analysis. Each dilution was used to construct the calibration plots by plotting the peak area ratio of each alkaloid and its deuterated internal standard </w:t>
      </w:r>
      <w:r w:rsidRPr="004A01B8">
        <w:rPr>
          <w:rFonts w:ascii="Arial" w:eastAsia="Times New Roman" w:hAnsi="Arial" w:cs="Arial"/>
          <w:i/>
          <w:spacing w:val="-2"/>
          <w:sz w:val="20"/>
          <w:szCs w:val="20"/>
          <w:lang w:eastAsia="en-AU"/>
        </w:rPr>
        <w:t>versus</w:t>
      </w:r>
      <w:r w:rsidRPr="004A01B8">
        <w:rPr>
          <w:rFonts w:ascii="Arial" w:eastAsia="Times New Roman" w:hAnsi="Arial" w:cs="Arial"/>
          <w:spacing w:val="-2"/>
          <w:sz w:val="20"/>
          <w:szCs w:val="20"/>
          <w:lang w:eastAsia="en-AU"/>
        </w:rPr>
        <w:t xml:space="preserve"> the </w:t>
      </w:r>
      <w:r w:rsidRPr="004A01B8">
        <w:rPr>
          <w:rFonts w:ascii="Arial" w:eastAsia="Times New Roman" w:hAnsi="Arial" w:cs="Arial"/>
          <w:spacing w:val="-2"/>
          <w:sz w:val="20"/>
          <w:szCs w:val="20"/>
          <w:lang w:eastAsia="en-AU"/>
        </w:rPr>
        <w:lastRenderedPageBreak/>
        <w:t xml:space="preserve">concentration of alkaloid. The limits of detection (LOD) and limits of quantitation (LOQ) for each alkaloid were determined based </w:t>
      </w:r>
      <w:r w:rsidR="00D57DFF">
        <w:rPr>
          <w:rFonts w:ascii="Arial" w:eastAsia="Times New Roman" w:hAnsi="Arial" w:cs="Arial"/>
          <w:spacing w:val="-2"/>
          <w:sz w:val="20"/>
          <w:szCs w:val="20"/>
          <w:lang w:eastAsia="en-AU"/>
        </w:rPr>
        <w:t xml:space="preserve">(Table S3) </w:t>
      </w:r>
      <w:r w:rsidRPr="004A01B8">
        <w:rPr>
          <w:rFonts w:ascii="Arial" w:eastAsia="Times New Roman" w:hAnsi="Arial" w:cs="Arial"/>
          <w:spacing w:val="-2"/>
          <w:sz w:val="20"/>
          <w:szCs w:val="20"/>
          <w:lang w:eastAsia="en-AU"/>
        </w:rPr>
        <w:t xml:space="preserve">on the concentrations (as peak heights) corresponding to 3 x noise and 10 x noise respectively. </w:t>
      </w:r>
      <w:r w:rsidR="009E61F0">
        <w:rPr>
          <w:rFonts w:ascii="Arial" w:eastAsia="Times New Roman" w:hAnsi="Arial" w:cs="Arial"/>
          <w:spacing w:val="-2"/>
          <w:sz w:val="20"/>
          <w:szCs w:val="20"/>
          <w:lang w:eastAsia="en-AU"/>
        </w:rPr>
        <w:t>P</w:t>
      </w:r>
      <w:r w:rsidRPr="004A01B8">
        <w:rPr>
          <w:rFonts w:ascii="Arial" w:eastAsia="Times New Roman" w:hAnsi="Arial" w:cs="Arial"/>
          <w:spacing w:val="-2"/>
          <w:sz w:val="20"/>
          <w:szCs w:val="20"/>
          <w:lang w:eastAsia="en-AU"/>
        </w:rPr>
        <w:t xml:space="preserve">recision </w:t>
      </w:r>
      <w:r w:rsidR="009E61F0">
        <w:rPr>
          <w:rFonts w:ascii="Arial" w:eastAsia="Times New Roman" w:hAnsi="Arial" w:cs="Arial"/>
          <w:spacing w:val="-2"/>
          <w:sz w:val="20"/>
          <w:szCs w:val="20"/>
          <w:lang w:eastAsia="en-AU"/>
        </w:rPr>
        <w:t>was assessed using</w:t>
      </w:r>
      <w:r w:rsidRPr="004A01B8">
        <w:rPr>
          <w:rFonts w:ascii="Arial" w:eastAsia="Times New Roman" w:hAnsi="Arial" w:cs="Arial"/>
          <w:spacing w:val="-2"/>
          <w:sz w:val="20"/>
          <w:szCs w:val="20"/>
          <w:lang w:eastAsia="en-AU"/>
        </w:rPr>
        <w:t xml:space="preserve"> 10 individual aliquots of the fluid </w:t>
      </w:r>
      <w:r w:rsidRPr="00664B6D">
        <w:rPr>
          <w:rFonts w:ascii="Arial" w:eastAsia="Times New Roman" w:hAnsi="Arial" w:cs="Arial"/>
          <w:spacing w:val="-2"/>
          <w:sz w:val="20"/>
          <w:szCs w:val="20"/>
          <w:lang w:eastAsia="en-AU"/>
        </w:rPr>
        <w:t>samples followed by the calculation of relative standard deviation (RSD) for the peak area ratio of each alkaloid and its deuterated internal standard. Recovery was calculated as the measured concentrations divided by the expected concentrations by using six aliquots each of spiked and non-spiked fluid samples. Each aliquot of milk and serum was spiked to give an added concentration similar to the mid-point of the calibration range</w:t>
      </w:r>
      <w:r w:rsidR="00CB3223" w:rsidRPr="00664B6D">
        <w:rPr>
          <w:rFonts w:ascii="Arial" w:eastAsia="Times New Roman" w:hAnsi="Arial" w:cs="Arial"/>
          <w:spacing w:val="-2"/>
          <w:sz w:val="20"/>
          <w:szCs w:val="20"/>
          <w:lang w:eastAsia="en-AU"/>
        </w:rPr>
        <w:t>.</w:t>
      </w:r>
    </w:p>
    <w:p w14:paraId="71940ADB" w14:textId="3C621B47" w:rsidR="004A01B8" w:rsidRPr="00664B6D" w:rsidRDefault="004A01B8" w:rsidP="004A01B8">
      <w:pPr>
        <w:keepNext/>
        <w:spacing w:after="0" w:line="360" w:lineRule="auto"/>
        <w:jc w:val="both"/>
        <w:rPr>
          <w:rFonts w:ascii="Arial" w:eastAsia="Times New Roman" w:hAnsi="Arial" w:cs="Arial"/>
          <w:sz w:val="20"/>
          <w:szCs w:val="20"/>
          <w:lang w:eastAsia="en-AU"/>
        </w:rPr>
      </w:pPr>
      <w:bookmarkStart w:id="1" w:name="_Toc480962607"/>
      <w:r w:rsidRPr="00664B6D">
        <w:rPr>
          <w:rFonts w:ascii="Arial" w:eastAsia="Times New Roman" w:hAnsi="Arial" w:cs="Arial"/>
          <w:sz w:val="20"/>
          <w:szCs w:val="20"/>
          <w:lang w:eastAsia="en-AU"/>
        </w:rPr>
        <w:t xml:space="preserve">Table </w:t>
      </w:r>
      <w:r w:rsidR="00B461BD" w:rsidRPr="00664B6D">
        <w:rPr>
          <w:rFonts w:ascii="Arial" w:eastAsia="Times New Roman" w:hAnsi="Arial" w:cs="Arial"/>
          <w:sz w:val="20"/>
          <w:szCs w:val="20"/>
          <w:lang w:eastAsia="en-AU"/>
        </w:rPr>
        <w:t>S</w:t>
      </w:r>
      <w:r w:rsidRPr="00664B6D">
        <w:rPr>
          <w:rFonts w:ascii="Arial" w:eastAsia="Times New Roman" w:hAnsi="Arial" w:cs="Arial"/>
          <w:sz w:val="20"/>
          <w:szCs w:val="20"/>
          <w:lang w:eastAsia="en-AU"/>
        </w:rPr>
        <w:t xml:space="preserve">1.  </w:t>
      </w:r>
      <w:r w:rsidRPr="00664B6D">
        <w:rPr>
          <w:rFonts w:ascii="Arial" w:eastAsia="Times New Roman" w:hAnsi="Arial" w:cs="Arial"/>
          <w:iCs/>
          <w:sz w:val="20"/>
          <w:szCs w:val="20"/>
          <w:lang w:eastAsia="en-AU"/>
        </w:rPr>
        <w:t xml:space="preserve">MRM parameters for analysis of alkaloids in urine and </w:t>
      </w:r>
      <w:bookmarkEnd w:id="1"/>
      <w:r w:rsidRPr="00664B6D">
        <w:rPr>
          <w:rFonts w:ascii="Arial" w:eastAsia="Times New Roman" w:hAnsi="Arial" w:cs="Arial"/>
          <w:iCs/>
          <w:sz w:val="20"/>
          <w:szCs w:val="20"/>
          <w:lang w:eastAsia="en-AU"/>
        </w:rPr>
        <w:t>serum</w:t>
      </w:r>
    </w:p>
    <w:tbl>
      <w:tblPr>
        <w:tblpPr w:leftFromText="180" w:rightFromText="180" w:vertAnchor="text" w:horzAnchor="margin" w:tblpY="68"/>
        <w:tblW w:w="5028" w:type="pct"/>
        <w:tblLook w:val="04A0" w:firstRow="1" w:lastRow="0" w:firstColumn="1" w:lastColumn="0" w:noHBand="0" w:noVBand="1"/>
      </w:tblPr>
      <w:tblGrid>
        <w:gridCol w:w="1452"/>
        <w:gridCol w:w="1603"/>
        <w:gridCol w:w="1732"/>
        <w:gridCol w:w="2304"/>
        <w:gridCol w:w="1986"/>
      </w:tblGrid>
      <w:tr w:rsidR="004A01B8" w:rsidRPr="00664B6D" w14:paraId="2937CD44" w14:textId="77777777" w:rsidTr="00C87577">
        <w:trPr>
          <w:trHeight w:val="699"/>
        </w:trPr>
        <w:tc>
          <w:tcPr>
            <w:tcW w:w="799" w:type="pct"/>
            <w:tcBorders>
              <w:top w:val="single" w:sz="4" w:space="0" w:color="auto"/>
              <w:bottom w:val="single" w:sz="4" w:space="0" w:color="auto"/>
            </w:tcBorders>
            <w:shd w:val="clear" w:color="auto" w:fill="auto"/>
          </w:tcPr>
          <w:p w14:paraId="577156B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240" w:after="60" w:line="240" w:lineRule="auto"/>
              <w:ind w:firstLine="567"/>
              <w:jc w:val="both"/>
              <w:rPr>
                <w:rFonts w:ascii="Arial" w:eastAsia="Times New Roman" w:hAnsi="Arial" w:cs="Arial"/>
                <w:spacing w:val="-2"/>
                <w:sz w:val="20"/>
                <w:szCs w:val="20"/>
                <w:lang w:eastAsia="en-AU"/>
              </w:rPr>
            </w:pPr>
          </w:p>
        </w:tc>
        <w:tc>
          <w:tcPr>
            <w:tcW w:w="883" w:type="pct"/>
            <w:tcBorders>
              <w:top w:val="single" w:sz="4" w:space="0" w:color="auto"/>
              <w:bottom w:val="single" w:sz="4" w:space="0" w:color="auto"/>
            </w:tcBorders>
            <w:shd w:val="clear" w:color="auto" w:fill="auto"/>
            <w:vAlign w:val="center"/>
          </w:tcPr>
          <w:p w14:paraId="321783C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Analyte</w:t>
            </w:r>
          </w:p>
        </w:tc>
        <w:tc>
          <w:tcPr>
            <w:tcW w:w="954" w:type="pct"/>
            <w:tcBorders>
              <w:top w:val="single" w:sz="4" w:space="0" w:color="auto"/>
              <w:bottom w:val="single" w:sz="4" w:space="0" w:color="auto"/>
            </w:tcBorders>
            <w:shd w:val="clear" w:color="auto" w:fill="auto"/>
            <w:vAlign w:val="center"/>
          </w:tcPr>
          <w:p w14:paraId="4B26CA4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11"/>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Precursor ion (m/z)</w:t>
            </w:r>
          </w:p>
        </w:tc>
        <w:tc>
          <w:tcPr>
            <w:tcW w:w="1269" w:type="pct"/>
            <w:tcBorders>
              <w:top w:val="single" w:sz="4" w:space="0" w:color="auto"/>
              <w:bottom w:val="single" w:sz="4" w:space="0" w:color="auto"/>
            </w:tcBorders>
            <w:shd w:val="clear" w:color="auto" w:fill="auto"/>
            <w:vAlign w:val="center"/>
          </w:tcPr>
          <w:p w14:paraId="2A2AB1A1"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0" w:line="240" w:lineRule="auto"/>
              <w:ind w:firstLine="11"/>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Product ion</w:t>
            </w:r>
          </w:p>
          <w:p w14:paraId="42ED2AE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0" w:line="240" w:lineRule="auto"/>
              <w:ind w:firstLine="11"/>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(m/z)</w:t>
            </w:r>
          </w:p>
        </w:tc>
        <w:tc>
          <w:tcPr>
            <w:tcW w:w="1094" w:type="pct"/>
            <w:tcBorders>
              <w:top w:val="single" w:sz="4" w:space="0" w:color="auto"/>
              <w:bottom w:val="single" w:sz="4" w:space="0" w:color="auto"/>
            </w:tcBorders>
            <w:shd w:val="clear" w:color="auto" w:fill="auto"/>
            <w:vAlign w:val="center"/>
          </w:tcPr>
          <w:p w14:paraId="1F94C43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Collision energy (V)</w:t>
            </w:r>
          </w:p>
        </w:tc>
      </w:tr>
      <w:tr w:rsidR="004A01B8" w:rsidRPr="00664B6D" w14:paraId="35A23E57" w14:textId="77777777" w:rsidTr="00C87577">
        <w:trPr>
          <w:trHeight w:val="20"/>
        </w:trPr>
        <w:tc>
          <w:tcPr>
            <w:tcW w:w="799" w:type="pct"/>
            <w:tcBorders>
              <w:top w:val="single" w:sz="4" w:space="0" w:color="auto"/>
            </w:tcBorders>
            <w:shd w:val="clear" w:color="auto" w:fill="auto"/>
          </w:tcPr>
          <w:p w14:paraId="5CCA836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w:t>
            </w:r>
          </w:p>
        </w:tc>
        <w:tc>
          <w:tcPr>
            <w:tcW w:w="883" w:type="pct"/>
            <w:tcBorders>
              <w:top w:val="single" w:sz="4" w:space="0" w:color="auto"/>
            </w:tcBorders>
            <w:shd w:val="clear" w:color="auto" w:fill="auto"/>
          </w:tcPr>
          <w:p w14:paraId="601F7D6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AB</w:t>
            </w:r>
          </w:p>
          <w:p w14:paraId="331BA03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AB-d4</w:t>
            </w:r>
          </w:p>
        </w:tc>
        <w:tc>
          <w:tcPr>
            <w:tcW w:w="954" w:type="pct"/>
            <w:tcBorders>
              <w:top w:val="single" w:sz="4" w:space="0" w:color="auto"/>
            </w:tcBorders>
            <w:shd w:val="clear" w:color="auto" w:fill="auto"/>
          </w:tcPr>
          <w:p w14:paraId="45DEC4E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163.0</w:t>
            </w:r>
          </w:p>
          <w:p w14:paraId="0E34F17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167.0</w:t>
            </w:r>
          </w:p>
        </w:tc>
        <w:tc>
          <w:tcPr>
            <w:tcW w:w="1269" w:type="pct"/>
            <w:tcBorders>
              <w:top w:val="single" w:sz="4" w:space="0" w:color="auto"/>
            </w:tcBorders>
            <w:shd w:val="clear" w:color="auto" w:fill="auto"/>
          </w:tcPr>
          <w:p w14:paraId="201F4AE1"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92.0</w:t>
            </w:r>
          </w:p>
          <w:p w14:paraId="6B88508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96.0</w:t>
            </w:r>
          </w:p>
        </w:tc>
        <w:tc>
          <w:tcPr>
            <w:tcW w:w="1094" w:type="pct"/>
            <w:tcBorders>
              <w:top w:val="single" w:sz="4" w:space="0" w:color="auto"/>
            </w:tcBorders>
            <w:shd w:val="clear" w:color="auto" w:fill="auto"/>
          </w:tcPr>
          <w:p w14:paraId="678582F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29</w:t>
            </w:r>
          </w:p>
          <w:p w14:paraId="07FDFB6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29</w:t>
            </w:r>
          </w:p>
        </w:tc>
      </w:tr>
      <w:tr w:rsidR="004A01B8" w:rsidRPr="00664B6D" w14:paraId="46A92230" w14:textId="77777777" w:rsidTr="00C87577">
        <w:trPr>
          <w:trHeight w:val="20"/>
        </w:trPr>
        <w:tc>
          <w:tcPr>
            <w:tcW w:w="799" w:type="pct"/>
            <w:shd w:val="clear" w:color="auto" w:fill="auto"/>
          </w:tcPr>
          <w:p w14:paraId="2C3E519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w:t>
            </w:r>
          </w:p>
        </w:tc>
        <w:tc>
          <w:tcPr>
            <w:tcW w:w="883" w:type="pct"/>
            <w:shd w:val="clear" w:color="auto" w:fill="auto"/>
          </w:tcPr>
          <w:p w14:paraId="6DCDF53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AT</w:t>
            </w:r>
          </w:p>
          <w:p w14:paraId="1144F82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AT-d4</w:t>
            </w:r>
          </w:p>
        </w:tc>
        <w:tc>
          <w:tcPr>
            <w:tcW w:w="954" w:type="pct"/>
            <w:shd w:val="clear" w:color="auto" w:fill="auto"/>
          </w:tcPr>
          <w:p w14:paraId="1DF0BA6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160.9</w:t>
            </w:r>
          </w:p>
          <w:p w14:paraId="372C9B4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164.9</w:t>
            </w:r>
          </w:p>
        </w:tc>
        <w:tc>
          <w:tcPr>
            <w:tcW w:w="1269" w:type="pct"/>
            <w:shd w:val="clear" w:color="auto" w:fill="auto"/>
          </w:tcPr>
          <w:p w14:paraId="454E993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144.1</w:t>
            </w:r>
          </w:p>
          <w:p w14:paraId="7357937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148.1</w:t>
            </w:r>
          </w:p>
        </w:tc>
        <w:tc>
          <w:tcPr>
            <w:tcW w:w="1094" w:type="pct"/>
            <w:shd w:val="clear" w:color="auto" w:fill="auto"/>
          </w:tcPr>
          <w:p w14:paraId="01C10B9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w:t>
            </w:r>
          </w:p>
          <w:p w14:paraId="65E6146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w:t>
            </w:r>
          </w:p>
        </w:tc>
      </w:tr>
      <w:tr w:rsidR="004A01B8" w:rsidRPr="00664B6D" w14:paraId="056A4116" w14:textId="77777777" w:rsidTr="00C87577">
        <w:trPr>
          <w:trHeight w:val="20"/>
        </w:trPr>
        <w:tc>
          <w:tcPr>
            <w:tcW w:w="799" w:type="pct"/>
            <w:shd w:val="clear" w:color="auto" w:fill="auto"/>
          </w:tcPr>
          <w:p w14:paraId="61915E7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w:t>
            </w:r>
          </w:p>
        </w:tc>
        <w:tc>
          <w:tcPr>
            <w:tcW w:w="883" w:type="pct"/>
            <w:shd w:val="clear" w:color="auto" w:fill="auto"/>
          </w:tcPr>
          <w:p w14:paraId="20E1923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COT</w:t>
            </w:r>
          </w:p>
          <w:p w14:paraId="08B3D89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COT-d3</w:t>
            </w:r>
          </w:p>
        </w:tc>
        <w:tc>
          <w:tcPr>
            <w:tcW w:w="954" w:type="pct"/>
            <w:shd w:val="clear" w:color="auto" w:fill="auto"/>
          </w:tcPr>
          <w:p w14:paraId="76882B88"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177.0</w:t>
            </w:r>
          </w:p>
          <w:p w14:paraId="60FB001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180.0</w:t>
            </w:r>
          </w:p>
        </w:tc>
        <w:tc>
          <w:tcPr>
            <w:tcW w:w="1269" w:type="pct"/>
            <w:shd w:val="clear" w:color="auto" w:fill="auto"/>
          </w:tcPr>
          <w:p w14:paraId="183F134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p w14:paraId="46D24E2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tc>
        <w:tc>
          <w:tcPr>
            <w:tcW w:w="1094" w:type="pct"/>
            <w:shd w:val="clear" w:color="auto" w:fill="auto"/>
          </w:tcPr>
          <w:p w14:paraId="0D0BED3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35</w:t>
            </w:r>
          </w:p>
          <w:p w14:paraId="1D98AE7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35</w:t>
            </w:r>
          </w:p>
        </w:tc>
      </w:tr>
      <w:tr w:rsidR="004A01B8" w:rsidRPr="00664B6D" w14:paraId="52ECB2E8" w14:textId="77777777" w:rsidTr="00C87577">
        <w:trPr>
          <w:trHeight w:val="20"/>
        </w:trPr>
        <w:tc>
          <w:tcPr>
            <w:tcW w:w="799" w:type="pct"/>
            <w:shd w:val="clear" w:color="auto" w:fill="auto"/>
          </w:tcPr>
          <w:p w14:paraId="584F966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4</w:t>
            </w:r>
          </w:p>
        </w:tc>
        <w:tc>
          <w:tcPr>
            <w:tcW w:w="883" w:type="pct"/>
            <w:shd w:val="clear" w:color="auto" w:fill="auto"/>
          </w:tcPr>
          <w:p w14:paraId="0049A3B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NNIC</w:t>
            </w:r>
          </w:p>
          <w:p w14:paraId="241B7DF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NNIC-d4</w:t>
            </w:r>
          </w:p>
        </w:tc>
        <w:tc>
          <w:tcPr>
            <w:tcW w:w="954" w:type="pct"/>
            <w:shd w:val="clear" w:color="auto" w:fill="auto"/>
          </w:tcPr>
          <w:p w14:paraId="4DBBA98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149.1</w:t>
            </w:r>
          </w:p>
          <w:p w14:paraId="33633E2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153.1</w:t>
            </w:r>
          </w:p>
        </w:tc>
        <w:tc>
          <w:tcPr>
            <w:tcW w:w="1269" w:type="pct"/>
            <w:shd w:val="clear" w:color="auto" w:fill="auto"/>
          </w:tcPr>
          <w:p w14:paraId="0154ABD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132.0</w:t>
            </w:r>
          </w:p>
          <w:p w14:paraId="28516E7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132.0</w:t>
            </w:r>
          </w:p>
        </w:tc>
        <w:tc>
          <w:tcPr>
            <w:tcW w:w="1094" w:type="pct"/>
            <w:shd w:val="clear" w:color="auto" w:fill="auto"/>
          </w:tcPr>
          <w:p w14:paraId="57077B6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w:t>
            </w:r>
          </w:p>
          <w:p w14:paraId="5516489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w:t>
            </w:r>
          </w:p>
        </w:tc>
      </w:tr>
      <w:tr w:rsidR="004A01B8" w:rsidRPr="00664B6D" w14:paraId="321A1B28" w14:textId="77777777" w:rsidTr="00C87577">
        <w:trPr>
          <w:trHeight w:val="20"/>
        </w:trPr>
        <w:tc>
          <w:tcPr>
            <w:tcW w:w="799" w:type="pct"/>
            <w:shd w:val="clear" w:color="auto" w:fill="auto"/>
          </w:tcPr>
          <w:p w14:paraId="5D98627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5</w:t>
            </w:r>
          </w:p>
        </w:tc>
        <w:tc>
          <w:tcPr>
            <w:tcW w:w="883" w:type="pct"/>
            <w:shd w:val="clear" w:color="auto" w:fill="auto"/>
          </w:tcPr>
          <w:p w14:paraId="3A07716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 GLUC</w:t>
            </w:r>
          </w:p>
          <w:p w14:paraId="4A96A9B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 GLUC-d3</w:t>
            </w:r>
          </w:p>
        </w:tc>
        <w:tc>
          <w:tcPr>
            <w:tcW w:w="954" w:type="pct"/>
            <w:shd w:val="clear" w:color="auto" w:fill="auto"/>
          </w:tcPr>
          <w:p w14:paraId="10FA239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339.1</w:t>
            </w:r>
          </w:p>
          <w:p w14:paraId="6733CAE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342.1</w:t>
            </w:r>
          </w:p>
        </w:tc>
        <w:tc>
          <w:tcPr>
            <w:tcW w:w="1269" w:type="pct"/>
            <w:shd w:val="clear" w:color="auto" w:fill="auto"/>
          </w:tcPr>
          <w:p w14:paraId="48FB7CC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163.4</w:t>
            </w:r>
          </w:p>
          <w:p w14:paraId="72EE79A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166.4</w:t>
            </w:r>
          </w:p>
        </w:tc>
        <w:tc>
          <w:tcPr>
            <w:tcW w:w="1094" w:type="pct"/>
            <w:shd w:val="clear" w:color="auto" w:fill="auto"/>
          </w:tcPr>
          <w:p w14:paraId="41BD6DE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21</w:t>
            </w:r>
          </w:p>
          <w:p w14:paraId="1B2D40C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21</w:t>
            </w:r>
          </w:p>
        </w:tc>
      </w:tr>
      <w:tr w:rsidR="004A01B8" w:rsidRPr="00664B6D" w14:paraId="6FF02B8B" w14:textId="77777777" w:rsidTr="00C87577">
        <w:trPr>
          <w:trHeight w:val="20"/>
        </w:trPr>
        <w:tc>
          <w:tcPr>
            <w:tcW w:w="799" w:type="pct"/>
            <w:shd w:val="clear" w:color="auto" w:fill="auto"/>
          </w:tcPr>
          <w:p w14:paraId="2E90AEB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6</w:t>
            </w:r>
          </w:p>
        </w:tc>
        <w:tc>
          <w:tcPr>
            <w:tcW w:w="883" w:type="pct"/>
            <w:shd w:val="clear" w:color="auto" w:fill="auto"/>
          </w:tcPr>
          <w:p w14:paraId="7F8B6C8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3HC</w:t>
            </w:r>
          </w:p>
          <w:p w14:paraId="22CEA2C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3HC-d3</w:t>
            </w:r>
          </w:p>
        </w:tc>
        <w:tc>
          <w:tcPr>
            <w:tcW w:w="954" w:type="pct"/>
            <w:shd w:val="clear" w:color="auto" w:fill="auto"/>
          </w:tcPr>
          <w:p w14:paraId="6C466C6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193.1</w:t>
            </w:r>
          </w:p>
          <w:p w14:paraId="64B97E4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196.1</w:t>
            </w:r>
          </w:p>
        </w:tc>
        <w:tc>
          <w:tcPr>
            <w:tcW w:w="1269" w:type="pct"/>
            <w:shd w:val="clear" w:color="auto" w:fill="auto"/>
          </w:tcPr>
          <w:p w14:paraId="3B2EB2D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80.2</w:t>
            </w:r>
          </w:p>
          <w:p w14:paraId="098F2F9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80.2</w:t>
            </w:r>
          </w:p>
        </w:tc>
        <w:tc>
          <w:tcPr>
            <w:tcW w:w="1094" w:type="pct"/>
            <w:shd w:val="clear" w:color="auto" w:fill="auto"/>
          </w:tcPr>
          <w:p w14:paraId="552216D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37</w:t>
            </w:r>
          </w:p>
          <w:p w14:paraId="17D20AA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37</w:t>
            </w:r>
          </w:p>
        </w:tc>
      </w:tr>
      <w:tr w:rsidR="004A01B8" w:rsidRPr="00664B6D" w14:paraId="7A3B0E9A" w14:textId="77777777" w:rsidTr="00C87577">
        <w:trPr>
          <w:trHeight w:val="20"/>
        </w:trPr>
        <w:tc>
          <w:tcPr>
            <w:tcW w:w="799" w:type="pct"/>
            <w:shd w:val="clear" w:color="auto" w:fill="auto"/>
          </w:tcPr>
          <w:p w14:paraId="6BC3632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7</w:t>
            </w:r>
          </w:p>
        </w:tc>
        <w:tc>
          <w:tcPr>
            <w:tcW w:w="883" w:type="pct"/>
            <w:shd w:val="clear" w:color="auto" w:fill="auto"/>
          </w:tcPr>
          <w:p w14:paraId="41BF286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NNO</w:t>
            </w:r>
          </w:p>
          <w:p w14:paraId="5D7EE16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NNO-d3</w:t>
            </w:r>
          </w:p>
        </w:tc>
        <w:tc>
          <w:tcPr>
            <w:tcW w:w="954" w:type="pct"/>
            <w:shd w:val="clear" w:color="auto" w:fill="auto"/>
          </w:tcPr>
          <w:p w14:paraId="6799CCE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179.0</w:t>
            </w:r>
          </w:p>
          <w:p w14:paraId="1257E69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182.0</w:t>
            </w:r>
          </w:p>
        </w:tc>
        <w:tc>
          <w:tcPr>
            <w:tcW w:w="1269" w:type="pct"/>
            <w:shd w:val="clear" w:color="auto" w:fill="auto"/>
          </w:tcPr>
          <w:p w14:paraId="5135C25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132.1</w:t>
            </w:r>
          </w:p>
          <w:p w14:paraId="166D3FC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132.1</w:t>
            </w:r>
          </w:p>
        </w:tc>
        <w:tc>
          <w:tcPr>
            <w:tcW w:w="1094" w:type="pct"/>
            <w:shd w:val="clear" w:color="auto" w:fill="auto"/>
          </w:tcPr>
          <w:p w14:paraId="7834634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23</w:t>
            </w:r>
          </w:p>
          <w:p w14:paraId="0CD248A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23</w:t>
            </w:r>
          </w:p>
        </w:tc>
      </w:tr>
      <w:tr w:rsidR="004A01B8" w:rsidRPr="00664B6D" w14:paraId="3352691B" w14:textId="77777777" w:rsidTr="00C87577">
        <w:trPr>
          <w:trHeight w:val="20"/>
        </w:trPr>
        <w:tc>
          <w:tcPr>
            <w:tcW w:w="799" w:type="pct"/>
            <w:tcBorders>
              <w:bottom w:val="single" w:sz="4" w:space="0" w:color="auto"/>
            </w:tcBorders>
            <w:shd w:val="clear" w:color="auto" w:fill="auto"/>
          </w:tcPr>
          <w:p w14:paraId="46AC308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w:t>
            </w:r>
          </w:p>
        </w:tc>
        <w:tc>
          <w:tcPr>
            <w:tcW w:w="883" w:type="pct"/>
            <w:tcBorders>
              <w:bottom w:val="single" w:sz="4" w:space="0" w:color="auto"/>
            </w:tcBorders>
            <w:shd w:val="clear" w:color="auto" w:fill="auto"/>
          </w:tcPr>
          <w:p w14:paraId="56CE1A7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w:t>
            </w:r>
          </w:p>
          <w:p w14:paraId="3BDADB6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NIC-d4</w:t>
            </w:r>
          </w:p>
        </w:tc>
        <w:tc>
          <w:tcPr>
            <w:tcW w:w="954" w:type="pct"/>
            <w:tcBorders>
              <w:bottom w:val="single" w:sz="4" w:space="0" w:color="auto"/>
            </w:tcBorders>
            <w:shd w:val="clear" w:color="auto" w:fill="auto"/>
          </w:tcPr>
          <w:p w14:paraId="56205F9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163.1</w:t>
            </w:r>
          </w:p>
          <w:p w14:paraId="32FF841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167.2</w:t>
            </w:r>
          </w:p>
        </w:tc>
        <w:tc>
          <w:tcPr>
            <w:tcW w:w="1269" w:type="pct"/>
            <w:tcBorders>
              <w:bottom w:val="single" w:sz="4" w:space="0" w:color="auto"/>
            </w:tcBorders>
            <w:shd w:val="clear" w:color="auto" w:fill="auto"/>
          </w:tcPr>
          <w:p w14:paraId="0F7B193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130.0</w:t>
            </w:r>
          </w:p>
          <w:p w14:paraId="0083D31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134.2</w:t>
            </w:r>
          </w:p>
        </w:tc>
        <w:tc>
          <w:tcPr>
            <w:tcW w:w="1094" w:type="pct"/>
            <w:tcBorders>
              <w:bottom w:val="single" w:sz="4" w:space="0" w:color="auto"/>
            </w:tcBorders>
            <w:shd w:val="clear" w:color="auto" w:fill="auto"/>
          </w:tcPr>
          <w:p w14:paraId="5C45C6F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23</w:t>
            </w:r>
          </w:p>
          <w:p w14:paraId="7BEFA32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after="60" w:line="240" w:lineRule="auto"/>
              <w:ind w:firstLine="14"/>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23</w:t>
            </w:r>
          </w:p>
        </w:tc>
      </w:tr>
    </w:tbl>
    <w:p w14:paraId="7B970028" w14:textId="1814B102" w:rsidR="004A01B8" w:rsidRPr="00664B6D" w:rsidRDefault="00B461BD" w:rsidP="004A01B8">
      <w:pPr>
        <w:spacing w:after="120" w:line="480" w:lineRule="auto"/>
        <w:ind w:firstLine="210"/>
        <w:jc w:val="both"/>
        <w:rPr>
          <w:rFonts w:ascii="Arial" w:eastAsia="Times New Roman" w:hAnsi="Arial" w:cs="Arial"/>
          <w:sz w:val="20"/>
          <w:szCs w:val="20"/>
          <w:lang w:eastAsia="en-AU"/>
        </w:rPr>
      </w:pPr>
      <w:r w:rsidRPr="00664B6D">
        <w:rPr>
          <w:rFonts w:ascii="Arial" w:eastAsia="Times New Roman" w:hAnsi="Arial" w:cs="Arial"/>
          <w:sz w:val="20"/>
          <w:szCs w:val="20"/>
          <w:lang w:eastAsia="en-AU"/>
        </w:rPr>
        <w:t xml:space="preserve">Legend: </w:t>
      </w:r>
      <w:r w:rsidR="00CB3223" w:rsidRPr="00664B6D">
        <w:rPr>
          <w:rFonts w:ascii="Arial" w:eastAsia="Times New Roman" w:hAnsi="Arial" w:cs="Arial"/>
          <w:spacing w:val="-2"/>
          <w:sz w:val="20"/>
          <w:szCs w:val="20"/>
          <w:lang w:eastAsia="en-AU"/>
        </w:rPr>
        <w:t xml:space="preserve">Multiple reaction monitoring mode (MRM) scan - </w:t>
      </w:r>
      <w:r w:rsidRPr="00664B6D">
        <w:rPr>
          <w:rFonts w:ascii="Arial" w:eastAsia="Times New Roman" w:hAnsi="Arial" w:cs="Arial"/>
          <w:sz w:val="20"/>
          <w:szCs w:val="20"/>
          <w:lang w:eastAsia="en-AU"/>
        </w:rPr>
        <w:t xml:space="preserve">Urine and Serum </w:t>
      </w:r>
    </w:p>
    <w:p w14:paraId="6AEDE614" w14:textId="1C7E8551" w:rsidR="004A01B8" w:rsidRPr="00664B6D" w:rsidRDefault="004A01B8" w:rsidP="004A01B8">
      <w:pPr>
        <w:keepNext/>
        <w:spacing w:after="0" w:line="360" w:lineRule="auto"/>
        <w:jc w:val="both"/>
        <w:rPr>
          <w:rFonts w:ascii="Arial" w:eastAsia="Times New Roman" w:hAnsi="Arial" w:cs="Arial"/>
          <w:i/>
          <w:sz w:val="20"/>
          <w:szCs w:val="20"/>
          <w:lang w:eastAsia="en-AU"/>
        </w:rPr>
      </w:pPr>
      <w:bookmarkStart w:id="2" w:name="_Toc480962608"/>
      <w:r w:rsidRPr="00664B6D">
        <w:rPr>
          <w:rFonts w:ascii="Arial" w:eastAsia="Times New Roman" w:hAnsi="Arial" w:cs="Arial"/>
          <w:sz w:val="20"/>
          <w:szCs w:val="20"/>
          <w:lang w:eastAsia="en-AU"/>
        </w:rPr>
        <w:t xml:space="preserve">Table </w:t>
      </w:r>
      <w:r w:rsidR="00B461BD" w:rsidRPr="00664B6D">
        <w:rPr>
          <w:rFonts w:ascii="Arial" w:eastAsia="Times New Roman" w:hAnsi="Arial" w:cs="Arial"/>
          <w:sz w:val="20"/>
          <w:szCs w:val="20"/>
          <w:lang w:eastAsia="en-AU"/>
        </w:rPr>
        <w:t>S</w:t>
      </w:r>
      <w:r w:rsidRPr="00664B6D">
        <w:rPr>
          <w:rFonts w:ascii="Arial" w:eastAsia="Times New Roman" w:hAnsi="Arial" w:cs="Arial"/>
          <w:sz w:val="20"/>
          <w:szCs w:val="20"/>
          <w:lang w:eastAsia="en-AU"/>
        </w:rPr>
        <w:t xml:space="preserve">2.  </w:t>
      </w:r>
      <w:r w:rsidRPr="00664B6D">
        <w:rPr>
          <w:rFonts w:ascii="Arial" w:eastAsia="Times New Roman" w:hAnsi="Arial" w:cs="Arial"/>
          <w:iCs/>
          <w:sz w:val="20"/>
          <w:szCs w:val="20"/>
          <w:lang w:eastAsia="en-AU"/>
        </w:rPr>
        <w:t>MRM parameters for analysis of alkaloids in breast milk</w:t>
      </w:r>
      <w:bookmarkEnd w:id="2"/>
      <w:r w:rsidRPr="00664B6D">
        <w:rPr>
          <w:rFonts w:ascii="Arial" w:eastAsia="Times New Roman" w:hAnsi="Arial" w:cs="Arial"/>
          <w:iCs/>
          <w:sz w:val="20"/>
          <w:szCs w:val="20"/>
          <w:lang w:eastAsia="en-AU"/>
        </w:rPr>
        <w:t xml:space="preserve"> and amniotic fluid</w:t>
      </w:r>
    </w:p>
    <w:tbl>
      <w:tblPr>
        <w:tblW w:w="5028" w:type="pct"/>
        <w:tblLook w:val="04A0" w:firstRow="1" w:lastRow="0" w:firstColumn="1" w:lastColumn="0" w:noHBand="0" w:noVBand="1"/>
      </w:tblPr>
      <w:tblGrid>
        <w:gridCol w:w="1409"/>
        <w:gridCol w:w="1694"/>
        <w:gridCol w:w="1694"/>
        <w:gridCol w:w="2298"/>
        <w:gridCol w:w="1982"/>
      </w:tblGrid>
      <w:tr w:rsidR="004A01B8" w:rsidRPr="00664B6D" w14:paraId="6E640E3D" w14:textId="77777777" w:rsidTr="00CB3223">
        <w:tc>
          <w:tcPr>
            <w:tcW w:w="776" w:type="pct"/>
            <w:tcBorders>
              <w:top w:val="single" w:sz="4" w:space="0" w:color="auto"/>
              <w:bottom w:val="single" w:sz="4" w:space="0" w:color="auto"/>
            </w:tcBorders>
            <w:shd w:val="clear" w:color="auto" w:fill="auto"/>
          </w:tcPr>
          <w:p w14:paraId="43A08EA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p>
        </w:tc>
        <w:tc>
          <w:tcPr>
            <w:tcW w:w="933" w:type="pct"/>
            <w:tcBorders>
              <w:top w:val="single" w:sz="4" w:space="0" w:color="auto"/>
              <w:bottom w:val="single" w:sz="4" w:space="0" w:color="auto"/>
            </w:tcBorders>
            <w:shd w:val="clear" w:color="auto" w:fill="auto"/>
          </w:tcPr>
          <w:p w14:paraId="018E044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Analyte</w:t>
            </w:r>
          </w:p>
        </w:tc>
        <w:tc>
          <w:tcPr>
            <w:tcW w:w="933" w:type="pct"/>
            <w:tcBorders>
              <w:top w:val="single" w:sz="4" w:space="0" w:color="auto"/>
              <w:bottom w:val="single" w:sz="4" w:space="0" w:color="auto"/>
            </w:tcBorders>
            <w:shd w:val="clear" w:color="auto" w:fill="auto"/>
          </w:tcPr>
          <w:p w14:paraId="4046B63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Precursor ion</w:t>
            </w:r>
          </w:p>
          <w:p w14:paraId="73C92C1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(m/z)</w:t>
            </w:r>
          </w:p>
        </w:tc>
        <w:tc>
          <w:tcPr>
            <w:tcW w:w="1266" w:type="pct"/>
            <w:tcBorders>
              <w:top w:val="single" w:sz="4" w:space="0" w:color="auto"/>
              <w:bottom w:val="single" w:sz="4" w:space="0" w:color="auto"/>
            </w:tcBorders>
            <w:shd w:val="clear" w:color="auto" w:fill="auto"/>
          </w:tcPr>
          <w:p w14:paraId="07ACE73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Production</w:t>
            </w:r>
          </w:p>
          <w:p w14:paraId="0F2FDF4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(m/z)</w:t>
            </w:r>
          </w:p>
        </w:tc>
        <w:tc>
          <w:tcPr>
            <w:tcW w:w="1092" w:type="pct"/>
            <w:tcBorders>
              <w:top w:val="single" w:sz="4" w:space="0" w:color="auto"/>
              <w:bottom w:val="single" w:sz="4" w:space="0" w:color="auto"/>
            </w:tcBorders>
            <w:shd w:val="clear" w:color="auto" w:fill="auto"/>
          </w:tcPr>
          <w:p w14:paraId="3A94C77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Collision energy</w:t>
            </w:r>
          </w:p>
          <w:p w14:paraId="78B5B81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(V)</w:t>
            </w:r>
          </w:p>
        </w:tc>
      </w:tr>
      <w:tr w:rsidR="004A01B8" w:rsidRPr="00664B6D" w14:paraId="38777C33" w14:textId="77777777" w:rsidTr="00CB3223">
        <w:tc>
          <w:tcPr>
            <w:tcW w:w="776" w:type="pct"/>
            <w:tcBorders>
              <w:top w:val="single" w:sz="4" w:space="0" w:color="auto"/>
            </w:tcBorders>
            <w:shd w:val="clear" w:color="auto" w:fill="auto"/>
          </w:tcPr>
          <w:p w14:paraId="0F8329E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w:t>
            </w:r>
          </w:p>
        </w:tc>
        <w:tc>
          <w:tcPr>
            <w:tcW w:w="933" w:type="pct"/>
            <w:tcBorders>
              <w:top w:val="single" w:sz="4" w:space="0" w:color="auto"/>
            </w:tcBorders>
            <w:shd w:val="clear" w:color="auto" w:fill="auto"/>
          </w:tcPr>
          <w:p w14:paraId="35EA6FF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AB</w:t>
            </w:r>
          </w:p>
          <w:p w14:paraId="7DD6E8D1"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AB-d4</w:t>
            </w:r>
          </w:p>
        </w:tc>
        <w:tc>
          <w:tcPr>
            <w:tcW w:w="933" w:type="pct"/>
            <w:tcBorders>
              <w:top w:val="single" w:sz="4" w:space="0" w:color="auto"/>
            </w:tcBorders>
            <w:shd w:val="clear" w:color="auto" w:fill="auto"/>
          </w:tcPr>
          <w:p w14:paraId="38AE84B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163.1</w:t>
            </w:r>
          </w:p>
          <w:p w14:paraId="1A259AB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167.1</w:t>
            </w:r>
          </w:p>
        </w:tc>
        <w:tc>
          <w:tcPr>
            <w:tcW w:w="1266" w:type="pct"/>
            <w:tcBorders>
              <w:top w:val="single" w:sz="4" w:space="0" w:color="auto"/>
            </w:tcBorders>
            <w:shd w:val="clear" w:color="auto" w:fill="auto"/>
          </w:tcPr>
          <w:p w14:paraId="2FAD80E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p w14:paraId="2E37D62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84.0</w:t>
            </w:r>
          </w:p>
        </w:tc>
        <w:tc>
          <w:tcPr>
            <w:tcW w:w="1092" w:type="pct"/>
            <w:tcBorders>
              <w:top w:val="single" w:sz="4" w:space="0" w:color="auto"/>
            </w:tcBorders>
            <w:shd w:val="clear" w:color="auto" w:fill="auto"/>
          </w:tcPr>
          <w:p w14:paraId="2F1F1F5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p w14:paraId="5800F9A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tc>
      </w:tr>
      <w:tr w:rsidR="004A01B8" w:rsidRPr="00664B6D" w14:paraId="51FDD0B7" w14:textId="77777777" w:rsidTr="00CB3223">
        <w:tc>
          <w:tcPr>
            <w:tcW w:w="776" w:type="pct"/>
            <w:shd w:val="clear" w:color="auto" w:fill="auto"/>
          </w:tcPr>
          <w:p w14:paraId="5AE4914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w:t>
            </w:r>
          </w:p>
        </w:tc>
        <w:tc>
          <w:tcPr>
            <w:tcW w:w="933" w:type="pct"/>
            <w:shd w:val="clear" w:color="auto" w:fill="auto"/>
          </w:tcPr>
          <w:p w14:paraId="0DA57DE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AT</w:t>
            </w:r>
          </w:p>
          <w:p w14:paraId="20DCA49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AT-d4</w:t>
            </w:r>
          </w:p>
        </w:tc>
        <w:tc>
          <w:tcPr>
            <w:tcW w:w="933" w:type="pct"/>
            <w:shd w:val="clear" w:color="auto" w:fill="auto"/>
          </w:tcPr>
          <w:p w14:paraId="4BA4321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161.1</w:t>
            </w:r>
          </w:p>
          <w:p w14:paraId="75227D6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165.1</w:t>
            </w:r>
          </w:p>
        </w:tc>
        <w:tc>
          <w:tcPr>
            <w:tcW w:w="1266" w:type="pct"/>
            <w:shd w:val="clear" w:color="auto" w:fill="auto"/>
          </w:tcPr>
          <w:p w14:paraId="4731216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144.0</w:t>
            </w:r>
          </w:p>
          <w:p w14:paraId="42DBF9C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148.0</w:t>
            </w:r>
          </w:p>
        </w:tc>
        <w:tc>
          <w:tcPr>
            <w:tcW w:w="1092" w:type="pct"/>
            <w:shd w:val="clear" w:color="auto" w:fill="auto"/>
          </w:tcPr>
          <w:p w14:paraId="0C0A6DC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12</w:t>
            </w:r>
          </w:p>
          <w:p w14:paraId="072282B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12</w:t>
            </w:r>
          </w:p>
        </w:tc>
      </w:tr>
      <w:tr w:rsidR="004A01B8" w:rsidRPr="00664B6D" w14:paraId="41EB7277" w14:textId="77777777" w:rsidTr="00CB3223">
        <w:tc>
          <w:tcPr>
            <w:tcW w:w="776" w:type="pct"/>
            <w:shd w:val="clear" w:color="auto" w:fill="auto"/>
          </w:tcPr>
          <w:p w14:paraId="113CF0B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w:t>
            </w:r>
          </w:p>
        </w:tc>
        <w:tc>
          <w:tcPr>
            <w:tcW w:w="933" w:type="pct"/>
            <w:shd w:val="clear" w:color="auto" w:fill="auto"/>
          </w:tcPr>
          <w:p w14:paraId="69EAABF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COT</w:t>
            </w:r>
          </w:p>
          <w:p w14:paraId="6AD2F6C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COT-d3</w:t>
            </w:r>
          </w:p>
        </w:tc>
        <w:tc>
          <w:tcPr>
            <w:tcW w:w="933" w:type="pct"/>
            <w:shd w:val="clear" w:color="auto" w:fill="auto"/>
          </w:tcPr>
          <w:p w14:paraId="3A51C29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177.1</w:t>
            </w:r>
          </w:p>
          <w:p w14:paraId="6DA2678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180.1</w:t>
            </w:r>
          </w:p>
        </w:tc>
        <w:tc>
          <w:tcPr>
            <w:tcW w:w="1266" w:type="pct"/>
            <w:shd w:val="clear" w:color="auto" w:fill="auto"/>
          </w:tcPr>
          <w:p w14:paraId="0A6A95F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p w14:paraId="3608CCC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tc>
        <w:tc>
          <w:tcPr>
            <w:tcW w:w="1092" w:type="pct"/>
            <w:shd w:val="clear" w:color="auto" w:fill="auto"/>
          </w:tcPr>
          <w:p w14:paraId="0AA494C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28</w:t>
            </w:r>
          </w:p>
          <w:p w14:paraId="66ED8A9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28</w:t>
            </w:r>
          </w:p>
        </w:tc>
      </w:tr>
      <w:tr w:rsidR="004A01B8" w:rsidRPr="00664B6D" w14:paraId="0FCB17C3" w14:textId="77777777" w:rsidTr="00CB3223">
        <w:tc>
          <w:tcPr>
            <w:tcW w:w="776" w:type="pct"/>
            <w:shd w:val="clear" w:color="auto" w:fill="auto"/>
          </w:tcPr>
          <w:p w14:paraId="0093196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4</w:t>
            </w:r>
          </w:p>
        </w:tc>
        <w:tc>
          <w:tcPr>
            <w:tcW w:w="933" w:type="pct"/>
            <w:shd w:val="clear" w:color="auto" w:fill="auto"/>
          </w:tcPr>
          <w:p w14:paraId="264118B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NNIC</w:t>
            </w:r>
          </w:p>
          <w:p w14:paraId="2A5D2D9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NNIC-d4</w:t>
            </w:r>
          </w:p>
        </w:tc>
        <w:tc>
          <w:tcPr>
            <w:tcW w:w="933" w:type="pct"/>
            <w:shd w:val="clear" w:color="auto" w:fill="auto"/>
          </w:tcPr>
          <w:p w14:paraId="53AA154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149.1</w:t>
            </w:r>
          </w:p>
          <w:p w14:paraId="3EFE9E05"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153.1</w:t>
            </w:r>
          </w:p>
        </w:tc>
        <w:tc>
          <w:tcPr>
            <w:tcW w:w="1266" w:type="pct"/>
            <w:shd w:val="clear" w:color="auto" w:fill="auto"/>
          </w:tcPr>
          <w:p w14:paraId="4900EC8C"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p w14:paraId="437FA2A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80.0</w:t>
            </w:r>
          </w:p>
        </w:tc>
        <w:tc>
          <w:tcPr>
            <w:tcW w:w="1092" w:type="pct"/>
            <w:shd w:val="clear" w:color="auto" w:fill="auto"/>
          </w:tcPr>
          <w:p w14:paraId="1290D5A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p w14:paraId="5961962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tc>
      </w:tr>
      <w:tr w:rsidR="004A01B8" w:rsidRPr="00664B6D" w14:paraId="66D49B7F" w14:textId="77777777" w:rsidTr="00CB3223">
        <w:tc>
          <w:tcPr>
            <w:tcW w:w="776" w:type="pct"/>
            <w:shd w:val="clear" w:color="auto" w:fill="auto"/>
          </w:tcPr>
          <w:p w14:paraId="7D5B5E6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5</w:t>
            </w:r>
          </w:p>
        </w:tc>
        <w:tc>
          <w:tcPr>
            <w:tcW w:w="933" w:type="pct"/>
            <w:shd w:val="clear" w:color="auto" w:fill="auto"/>
          </w:tcPr>
          <w:p w14:paraId="3541184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 GLUC</w:t>
            </w:r>
          </w:p>
          <w:p w14:paraId="1D4CBEF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 GLUC-d3</w:t>
            </w:r>
          </w:p>
        </w:tc>
        <w:tc>
          <w:tcPr>
            <w:tcW w:w="933" w:type="pct"/>
            <w:shd w:val="clear" w:color="auto" w:fill="auto"/>
          </w:tcPr>
          <w:p w14:paraId="24462661"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339.2</w:t>
            </w:r>
          </w:p>
          <w:p w14:paraId="323B104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342.2</w:t>
            </w:r>
          </w:p>
        </w:tc>
        <w:tc>
          <w:tcPr>
            <w:tcW w:w="1266" w:type="pct"/>
            <w:shd w:val="clear" w:color="auto" w:fill="auto"/>
          </w:tcPr>
          <w:p w14:paraId="1EEB969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163.1</w:t>
            </w:r>
          </w:p>
          <w:p w14:paraId="4EFCAD77"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166.1</w:t>
            </w:r>
          </w:p>
        </w:tc>
        <w:tc>
          <w:tcPr>
            <w:tcW w:w="1092" w:type="pct"/>
            <w:shd w:val="clear" w:color="auto" w:fill="auto"/>
          </w:tcPr>
          <w:p w14:paraId="4E97982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12</w:t>
            </w:r>
          </w:p>
          <w:p w14:paraId="28B5F068"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12</w:t>
            </w:r>
          </w:p>
        </w:tc>
      </w:tr>
      <w:tr w:rsidR="004A01B8" w:rsidRPr="00664B6D" w14:paraId="60BC90B6" w14:textId="77777777" w:rsidTr="00CB3223">
        <w:tc>
          <w:tcPr>
            <w:tcW w:w="776" w:type="pct"/>
            <w:shd w:val="clear" w:color="auto" w:fill="auto"/>
          </w:tcPr>
          <w:p w14:paraId="055E4F8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6</w:t>
            </w:r>
          </w:p>
        </w:tc>
        <w:tc>
          <w:tcPr>
            <w:tcW w:w="933" w:type="pct"/>
            <w:shd w:val="clear" w:color="auto" w:fill="auto"/>
          </w:tcPr>
          <w:p w14:paraId="0E1E83B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3HC</w:t>
            </w:r>
          </w:p>
          <w:p w14:paraId="43B0568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3HC-d3</w:t>
            </w:r>
          </w:p>
        </w:tc>
        <w:tc>
          <w:tcPr>
            <w:tcW w:w="933" w:type="pct"/>
            <w:shd w:val="clear" w:color="auto" w:fill="auto"/>
          </w:tcPr>
          <w:p w14:paraId="5EF5533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193.1</w:t>
            </w:r>
          </w:p>
          <w:p w14:paraId="04861F5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196.1</w:t>
            </w:r>
          </w:p>
        </w:tc>
        <w:tc>
          <w:tcPr>
            <w:tcW w:w="1266" w:type="pct"/>
            <w:shd w:val="clear" w:color="auto" w:fill="auto"/>
          </w:tcPr>
          <w:p w14:paraId="286D8648"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p w14:paraId="0CC52FA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80.1</w:t>
            </w:r>
          </w:p>
        </w:tc>
        <w:tc>
          <w:tcPr>
            <w:tcW w:w="1092" w:type="pct"/>
            <w:shd w:val="clear" w:color="auto" w:fill="auto"/>
          </w:tcPr>
          <w:p w14:paraId="03C2F08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32</w:t>
            </w:r>
          </w:p>
          <w:p w14:paraId="6892BF2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32</w:t>
            </w:r>
          </w:p>
        </w:tc>
      </w:tr>
      <w:tr w:rsidR="004A01B8" w:rsidRPr="00664B6D" w14:paraId="490FD3CC" w14:textId="77777777" w:rsidTr="00CB3223">
        <w:tc>
          <w:tcPr>
            <w:tcW w:w="776" w:type="pct"/>
            <w:shd w:val="clear" w:color="auto" w:fill="auto"/>
          </w:tcPr>
          <w:p w14:paraId="3D0889E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7</w:t>
            </w:r>
          </w:p>
        </w:tc>
        <w:tc>
          <w:tcPr>
            <w:tcW w:w="933" w:type="pct"/>
            <w:shd w:val="clear" w:color="auto" w:fill="auto"/>
          </w:tcPr>
          <w:p w14:paraId="0B9E6EEF"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NNO</w:t>
            </w:r>
          </w:p>
          <w:p w14:paraId="58127368"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NNO-d3</w:t>
            </w:r>
          </w:p>
        </w:tc>
        <w:tc>
          <w:tcPr>
            <w:tcW w:w="933" w:type="pct"/>
            <w:shd w:val="clear" w:color="auto" w:fill="auto"/>
          </w:tcPr>
          <w:p w14:paraId="56E2398B"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179.1</w:t>
            </w:r>
          </w:p>
          <w:p w14:paraId="3FC65E6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182.1</w:t>
            </w:r>
          </w:p>
        </w:tc>
        <w:tc>
          <w:tcPr>
            <w:tcW w:w="1266" w:type="pct"/>
            <w:shd w:val="clear" w:color="auto" w:fill="auto"/>
          </w:tcPr>
          <w:p w14:paraId="381FF473"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132.1</w:t>
            </w:r>
          </w:p>
          <w:p w14:paraId="3CF1BC9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132.1</w:t>
            </w:r>
          </w:p>
        </w:tc>
        <w:tc>
          <w:tcPr>
            <w:tcW w:w="1092" w:type="pct"/>
            <w:shd w:val="clear" w:color="auto" w:fill="auto"/>
          </w:tcPr>
          <w:p w14:paraId="20DDAEE6"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w:t>
            </w:r>
          </w:p>
          <w:p w14:paraId="738B7B8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w:t>
            </w:r>
          </w:p>
        </w:tc>
      </w:tr>
      <w:tr w:rsidR="004A01B8" w:rsidRPr="00664B6D" w14:paraId="6B1BA78E" w14:textId="77777777" w:rsidTr="00CB3223">
        <w:tc>
          <w:tcPr>
            <w:tcW w:w="776" w:type="pct"/>
            <w:tcBorders>
              <w:bottom w:val="single" w:sz="4" w:space="0" w:color="auto"/>
            </w:tcBorders>
            <w:shd w:val="clear" w:color="auto" w:fill="auto"/>
          </w:tcPr>
          <w:p w14:paraId="7F3D117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ind w:firstLine="567"/>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8</w:t>
            </w:r>
          </w:p>
        </w:tc>
        <w:tc>
          <w:tcPr>
            <w:tcW w:w="933" w:type="pct"/>
            <w:tcBorders>
              <w:bottom w:val="single" w:sz="4" w:space="0" w:color="auto"/>
            </w:tcBorders>
            <w:shd w:val="clear" w:color="auto" w:fill="auto"/>
          </w:tcPr>
          <w:p w14:paraId="64D34889"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w:t>
            </w:r>
          </w:p>
          <w:p w14:paraId="18928F02"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both"/>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NIC-d4</w:t>
            </w:r>
          </w:p>
        </w:tc>
        <w:tc>
          <w:tcPr>
            <w:tcW w:w="933" w:type="pct"/>
            <w:tcBorders>
              <w:bottom w:val="single" w:sz="4" w:space="0" w:color="auto"/>
            </w:tcBorders>
            <w:shd w:val="clear" w:color="auto" w:fill="auto"/>
          </w:tcPr>
          <w:p w14:paraId="4984EE08"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163.1</w:t>
            </w:r>
          </w:p>
          <w:p w14:paraId="0BAC8C7D"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167.1</w:t>
            </w:r>
          </w:p>
        </w:tc>
        <w:tc>
          <w:tcPr>
            <w:tcW w:w="1266" w:type="pct"/>
            <w:tcBorders>
              <w:bottom w:val="single" w:sz="4" w:space="0" w:color="auto"/>
            </w:tcBorders>
            <w:shd w:val="clear" w:color="auto" w:fill="auto"/>
          </w:tcPr>
          <w:p w14:paraId="75965A3E"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130.0</w:t>
            </w:r>
          </w:p>
          <w:p w14:paraId="2410FDA0"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134.0</w:t>
            </w:r>
          </w:p>
        </w:tc>
        <w:tc>
          <w:tcPr>
            <w:tcW w:w="1092" w:type="pct"/>
            <w:tcBorders>
              <w:bottom w:val="single" w:sz="4" w:space="0" w:color="auto"/>
            </w:tcBorders>
            <w:shd w:val="clear" w:color="auto" w:fill="auto"/>
          </w:tcPr>
          <w:p w14:paraId="3ADEBBC4"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p w14:paraId="0DD6237A" w14:textId="77777777" w:rsidR="004A01B8" w:rsidRPr="00664B6D" w:rsidRDefault="004A01B8" w:rsidP="004A01B8">
            <w:pPr>
              <w:tabs>
                <w:tab w:val="left" w:pos="-1440"/>
                <w:tab w:val="left" w:pos="-720"/>
                <w:tab w:val="left" w:pos="0"/>
                <w:tab w:val="left" w:pos="487"/>
                <w:tab w:val="left" w:pos="958"/>
                <w:tab w:val="left" w:pos="1184"/>
                <w:tab w:val="left" w:pos="1751"/>
                <w:tab w:val="left" w:pos="2160"/>
                <w:tab w:val="left" w:pos="2880"/>
                <w:tab w:val="left" w:pos="3600"/>
                <w:tab w:val="left" w:pos="4320"/>
                <w:tab w:val="left" w:pos="5040"/>
                <w:tab w:val="left" w:pos="5760"/>
                <w:tab w:val="left" w:pos="6043"/>
                <w:tab w:val="left" w:pos="7200"/>
                <w:tab w:val="left" w:pos="7920"/>
                <w:tab w:val="left" w:pos="8197"/>
                <w:tab w:val="left" w:pos="10800"/>
              </w:tabs>
              <w:suppressAutoHyphens/>
              <w:spacing w:before="60" w:after="60" w:line="240" w:lineRule="auto"/>
              <w:jc w:val="center"/>
              <w:rPr>
                <w:rFonts w:ascii="Arial" w:eastAsia="Times New Roman" w:hAnsi="Arial" w:cs="Arial"/>
                <w:spacing w:val="-2"/>
                <w:sz w:val="20"/>
                <w:szCs w:val="20"/>
                <w:lang w:eastAsia="en-AU"/>
              </w:rPr>
            </w:pPr>
            <w:r w:rsidRPr="00664B6D">
              <w:rPr>
                <w:rFonts w:ascii="Arial" w:eastAsia="Times New Roman" w:hAnsi="Arial" w:cs="Arial"/>
                <w:spacing w:val="-2"/>
                <w:sz w:val="20"/>
                <w:szCs w:val="20"/>
                <w:lang w:eastAsia="en-AU"/>
              </w:rPr>
              <w:t>24</w:t>
            </w:r>
          </w:p>
        </w:tc>
      </w:tr>
    </w:tbl>
    <w:p w14:paraId="574470B0" w14:textId="4BCE8B0C" w:rsidR="00CB3223" w:rsidRPr="00664B6D" w:rsidRDefault="00CB3223" w:rsidP="00CB3223">
      <w:pPr>
        <w:spacing w:after="120" w:line="480" w:lineRule="auto"/>
        <w:ind w:firstLine="210"/>
        <w:jc w:val="both"/>
        <w:rPr>
          <w:rFonts w:ascii="Arial" w:eastAsia="Times New Roman" w:hAnsi="Arial" w:cs="Arial"/>
          <w:sz w:val="20"/>
          <w:szCs w:val="20"/>
          <w:lang w:eastAsia="en-AU"/>
        </w:rPr>
      </w:pPr>
      <w:r w:rsidRPr="00664B6D">
        <w:rPr>
          <w:rFonts w:ascii="Arial" w:eastAsia="Times New Roman" w:hAnsi="Arial" w:cs="Arial"/>
          <w:sz w:val="20"/>
          <w:szCs w:val="20"/>
          <w:lang w:eastAsia="en-AU"/>
        </w:rPr>
        <w:t xml:space="preserve">Legend: </w:t>
      </w:r>
      <w:r w:rsidRPr="00664B6D">
        <w:rPr>
          <w:rFonts w:ascii="Arial" w:eastAsia="Times New Roman" w:hAnsi="Arial" w:cs="Arial"/>
          <w:spacing w:val="-2"/>
          <w:sz w:val="20"/>
          <w:szCs w:val="20"/>
          <w:lang w:eastAsia="en-AU"/>
        </w:rPr>
        <w:t xml:space="preserve">Multiple reaction monitoring mode (MRM) scan – </w:t>
      </w:r>
      <w:r w:rsidRPr="00664B6D">
        <w:rPr>
          <w:rFonts w:ascii="Arial" w:eastAsia="Times New Roman" w:hAnsi="Arial" w:cs="Arial"/>
          <w:sz w:val="20"/>
          <w:szCs w:val="20"/>
          <w:lang w:eastAsia="en-AU"/>
        </w:rPr>
        <w:t>Breast milk and amniotic fluid</w:t>
      </w:r>
    </w:p>
    <w:p w14:paraId="4DB9250D" w14:textId="05AD72B3" w:rsidR="00074B92" w:rsidRPr="00664B6D" w:rsidRDefault="00074B92" w:rsidP="00CB3223">
      <w:pPr>
        <w:spacing w:after="120" w:line="480" w:lineRule="auto"/>
        <w:ind w:firstLine="210"/>
        <w:jc w:val="both"/>
        <w:rPr>
          <w:rFonts w:ascii="Arial" w:eastAsia="Times New Roman" w:hAnsi="Arial" w:cs="Arial"/>
          <w:sz w:val="20"/>
          <w:szCs w:val="20"/>
          <w:lang w:eastAsia="en-AU"/>
        </w:rPr>
      </w:pPr>
    </w:p>
    <w:p w14:paraId="3319410F" w14:textId="321DBD20" w:rsidR="00074B92" w:rsidRPr="00664B6D" w:rsidRDefault="00074B92" w:rsidP="00074B92">
      <w:pPr>
        <w:keepNext/>
        <w:spacing w:after="0" w:line="360" w:lineRule="auto"/>
        <w:jc w:val="both"/>
        <w:rPr>
          <w:rFonts w:ascii="Arial" w:eastAsia="Times New Roman" w:hAnsi="Arial" w:cs="Arial"/>
          <w:i/>
          <w:sz w:val="20"/>
          <w:szCs w:val="20"/>
          <w:lang w:eastAsia="en-AU"/>
        </w:rPr>
      </w:pPr>
      <w:r w:rsidRPr="00664B6D">
        <w:rPr>
          <w:rFonts w:ascii="Arial" w:eastAsia="Times New Roman" w:hAnsi="Arial" w:cs="Arial"/>
          <w:sz w:val="20"/>
          <w:szCs w:val="20"/>
          <w:lang w:eastAsia="en-AU"/>
        </w:rPr>
        <w:t xml:space="preserve">Table S3.  </w:t>
      </w:r>
      <w:r w:rsidRPr="00664B6D">
        <w:rPr>
          <w:rFonts w:ascii="Arial" w:eastAsia="Times New Roman" w:hAnsi="Arial" w:cs="Arial"/>
          <w:iCs/>
          <w:sz w:val="20"/>
          <w:szCs w:val="20"/>
          <w:lang w:eastAsia="en-AU"/>
        </w:rPr>
        <w:t>L</w:t>
      </w:r>
      <w:r w:rsidR="00664B6D" w:rsidRPr="00664B6D">
        <w:rPr>
          <w:rFonts w:ascii="Arial" w:eastAsia="Times New Roman" w:hAnsi="Arial" w:cs="Arial"/>
          <w:iCs/>
          <w:sz w:val="20"/>
          <w:szCs w:val="20"/>
          <w:lang w:eastAsia="en-AU"/>
        </w:rPr>
        <w:t>imit</w:t>
      </w:r>
      <w:r w:rsidRPr="00664B6D">
        <w:rPr>
          <w:rFonts w:ascii="Arial" w:eastAsia="Times New Roman" w:hAnsi="Arial" w:cs="Arial"/>
          <w:iCs/>
          <w:sz w:val="20"/>
          <w:szCs w:val="20"/>
          <w:lang w:eastAsia="en-AU"/>
        </w:rPr>
        <w:t xml:space="preserve"> of Detection</w:t>
      </w:r>
      <w:r w:rsidR="00664B6D" w:rsidRPr="00664B6D">
        <w:rPr>
          <w:rFonts w:ascii="Arial" w:eastAsia="Times New Roman" w:hAnsi="Arial" w:cs="Arial"/>
          <w:iCs/>
          <w:sz w:val="20"/>
          <w:szCs w:val="20"/>
          <w:lang w:eastAsia="en-AU"/>
        </w:rPr>
        <w:t xml:space="preserve"> (LOD)</w:t>
      </w:r>
      <w:r w:rsidRPr="00664B6D">
        <w:rPr>
          <w:rFonts w:ascii="Arial" w:eastAsia="Times New Roman" w:hAnsi="Arial" w:cs="Arial"/>
          <w:iCs/>
          <w:sz w:val="20"/>
          <w:szCs w:val="20"/>
          <w:lang w:eastAsia="en-AU"/>
        </w:rPr>
        <w:t xml:space="preserve"> and </w:t>
      </w:r>
      <w:r w:rsidR="00664B6D" w:rsidRPr="00664B6D">
        <w:rPr>
          <w:rFonts w:ascii="Arial" w:eastAsia="Times New Roman" w:hAnsi="Arial" w:cs="Arial"/>
          <w:iCs/>
          <w:sz w:val="20"/>
          <w:szCs w:val="20"/>
          <w:lang w:eastAsia="en-AU"/>
        </w:rPr>
        <w:t>Limit</w:t>
      </w:r>
      <w:r w:rsidRPr="00664B6D">
        <w:rPr>
          <w:rFonts w:ascii="Arial" w:eastAsia="Times New Roman" w:hAnsi="Arial" w:cs="Arial"/>
          <w:iCs/>
          <w:sz w:val="20"/>
          <w:szCs w:val="20"/>
          <w:lang w:eastAsia="en-AU"/>
        </w:rPr>
        <w:t xml:space="preserve"> of Quantification</w:t>
      </w:r>
      <w:r w:rsidR="00664B6D" w:rsidRPr="00664B6D">
        <w:rPr>
          <w:rFonts w:ascii="Arial" w:eastAsia="Times New Roman" w:hAnsi="Arial" w:cs="Arial"/>
          <w:iCs/>
          <w:sz w:val="20"/>
          <w:szCs w:val="20"/>
          <w:lang w:eastAsia="en-AU"/>
        </w:rPr>
        <w:t xml:space="preserve"> (LOQ)</w:t>
      </w:r>
      <w:r w:rsidRPr="00664B6D">
        <w:rPr>
          <w:rFonts w:ascii="Arial" w:eastAsia="Times New Roman" w:hAnsi="Arial" w:cs="Arial"/>
          <w:iCs/>
          <w:sz w:val="20"/>
          <w:szCs w:val="20"/>
          <w:lang w:eastAsia="en-AU"/>
        </w:rPr>
        <w:t xml:space="preserve"> for analysis of alkaloids</w:t>
      </w:r>
    </w:p>
    <w:tbl>
      <w:tblPr>
        <w:tblW w:w="2748" w:type="pct"/>
        <w:tblInd w:w="2127" w:type="dxa"/>
        <w:tblLayout w:type="fixed"/>
        <w:tblLook w:val="04A0" w:firstRow="1" w:lastRow="0" w:firstColumn="1" w:lastColumn="0" w:noHBand="0" w:noVBand="1"/>
      </w:tblPr>
      <w:tblGrid>
        <w:gridCol w:w="1417"/>
        <w:gridCol w:w="1701"/>
        <w:gridCol w:w="1843"/>
      </w:tblGrid>
      <w:tr w:rsidR="00664B6D" w:rsidRPr="00664B6D" w14:paraId="279E273F" w14:textId="77777777" w:rsidTr="00664B6D">
        <w:trPr>
          <w:trHeight w:val="290"/>
        </w:trPr>
        <w:tc>
          <w:tcPr>
            <w:tcW w:w="1428" w:type="pct"/>
            <w:tcBorders>
              <w:top w:val="single" w:sz="4" w:space="0" w:color="auto"/>
              <w:bottom w:val="single" w:sz="4" w:space="0" w:color="auto"/>
            </w:tcBorders>
            <w:shd w:val="clear" w:color="auto" w:fill="auto"/>
            <w:noWrap/>
            <w:vAlign w:val="center"/>
            <w:hideMark/>
          </w:tcPr>
          <w:p w14:paraId="686B4CB9" w14:textId="679F0047" w:rsidR="00D57DFF" w:rsidRPr="00664B6D" w:rsidRDefault="00074B92" w:rsidP="00D57DFF">
            <w:pPr>
              <w:spacing w:after="0" w:line="240" w:lineRule="auto"/>
              <w:rPr>
                <w:rFonts w:ascii="Arial" w:eastAsia="Times New Roman" w:hAnsi="Arial" w:cs="Arial"/>
                <w:sz w:val="20"/>
                <w:szCs w:val="20"/>
                <w:lang w:eastAsia="en-AU"/>
              </w:rPr>
            </w:pPr>
            <w:r w:rsidRPr="00664B6D">
              <w:rPr>
                <w:rFonts w:ascii="Arial" w:eastAsia="Times New Roman" w:hAnsi="Arial" w:cs="Arial"/>
                <w:sz w:val="20"/>
                <w:szCs w:val="20"/>
                <w:lang w:eastAsia="en-AU"/>
              </w:rPr>
              <w:t>Analyte</w:t>
            </w:r>
          </w:p>
        </w:tc>
        <w:tc>
          <w:tcPr>
            <w:tcW w:w="1714" w:type="pct"/>
            <w:tcBorders>
              <w:top w:val="single" w:sz="4" w:space="0" w:color="auto"/>
              <w:bottom w:val="single" w:sz="4" w:space="0" w:color="auto"/>
            </w:tcBorders>
            <w:shd w:val="clear" w:color="auto" w:fill="auto"/>
            <w:noWrap/>
            <w:vAlign w:val="center"/>
            <w:hideMark/>
          </w:tcPr>
          <w:p w14:paraId="776B4A8B" w14:textId="0EEB33DF" w:rsidR="00D57DFF" w:rsidRPr="00664B6D" w:rsidRDefault="00D57DFF" w:rsidP="00664B6D">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LOD (ng</w:t>
            </w:r>
            <w:r w:rsidR="00664B6D" w:rsidRPr="00664B6D">
              <w:rPr>
                <w:rFonts w:ascii="Arial" w:eastAsia="Times New Roman" w:hAnsi="Arial" w:cs="Arial"/>
                <w:color w:val="000000"/>
                <w:sz w:val="20"/>
                <w:szCs w:val="20"/>
                <w:lang w:eastAsia="en-AU"/>
              </w:rPr>
              <w:t>/</w:t>
            </w:r>
            <w:r w:rsidRPr="00664B6D">
              <w:rPr>
                <w:rFonts w:ascii="Arial" w:eastAsia="Times New Roman" w:hAnsi="Arial" w:cs="Arial"/>
                <w:color w:val="000000"/>
                <w:sz w:val="20"/>
                <w:szCs w:val="20"/>
                <w:lang w:eastAsia="en-AU"/>
              </w:rPr>
              <w:t xml:space="preserve">mL) </w:t>
            </w:r>
          </w:p>
        </w:tc>
        <w:tc>
          <w:tcPr>
            <w:tcW w:w="1857" w:type="pct"/>
            <w:tcBorders>
              <w:top w:val="single" w:sz="4" w:space="0" w:color="auto"/>
              <w:bottom w:val="single" w:sz="4" w:space="0" w:color="auto"/>
            </w:tcBorders>
            <w:shd w:val="clear" w:color="auto" w:fill="auto"/>
            <w:noWrap/>
            <w:vAlign w:val="center"/>
            <w:hideMark/>
          </w:tcPr>
          <w:p w14:paraId="6A17A191" w14:textId="7D5CEC00" w:rsidR="00D57DFF" w:rsidRPr="00664B6D" w:rsidRDefault="00D57DFF" w:rsidP="00664B6D">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LOQ (ng</w:t>
            </w:r>
            <w:r w:rsidR="00664B6D" w:rsidRPr="00664B6D">
              <w:rPr>
                <w:rFonts w:ascii="Arial" w:eastAsia="Times New Roman" w:hAnsi="Arial" w:cs="Arial"/>
                <w:color w:val="000000"/>
                <w:sz w:val="20"/>
                <w:szCs w:val="20"/>
                <w:lang w:eastAsia="en-AU"/>
              </w:rPr>
              <w:t>/</w:t>
            </w:r>
            <w:r w:rsidRPr="00664B6D">
              <w:rPr>
                <w:rFonts w:ascii="Arial" w:eastAsia="Times New Roman" w:hAnsi="Arial" w:cs="Arial"/>
                <w:color w:val="000000"/>
                <w:sz w:val="20"/>
                <w:szCs w:val="20"/>
                <w:lang w:eastAsia="en-AU"/>
              </w:rPr>
              <w:t xml:space="preserve">mL) </w:t>
            </w:r>
          </w:p>
        </w:tc>
      </w:tr>
      <w:tr w:rsidR="00664B6D" w:rsidRPr="00664B6D" w14:paraId="06299720" w14:textId="77777777" w:rsidTr="00664B6D">
        <w:trPr>
          <w:trHeight w:val="290"/>
        </w:trPr>
        <w:tc>
          <w:tcPr>
            <w:tcW w:w="1428" w:type="pct"/>
            <w:shd w:val="clear" w:color="auto" w:fill="auto"/>
            <w:noWrap/>
            <w:vAlign w:val="bottom"/>
            <w:hideMark/>
          </w:tcPr>
          <w:p w14:paraId="2C4026AC" w14:textId="181A43A5" w:rsidR="00D57DFF" w:rsidRPr="00664B6D" w:rsidRDefault="00664B6D" w:rsidP="00D57DFF">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AB</w:t>
            </w:r>
          </w:p>
        </w:tc>
        <w:tc>
          <w:tcPr>
            <w:tcW w:w="1714" w:type="pct"/>
            <w:shd w:val="clear" w:color="auto" w:fill="auto"/>
            <w:noWrap/>
            <w:vAlign w:val="center"/>
            <w:hideMark/>
          </w:tcPr>
          <w:p w14:paraId="34186CE7" w14:textId="77777777" w:rsidR="00D57DFF" w:rsidRPr="00664B6D" w:rsidRDefault="00D57DFF" w:rsidP="00D57DFF">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0.074</w:t>
            </w:r>
          </w:p>
        </w:tc>
        <w:tc>
          <w:tcPr>
            <w:tcW w:w="1857" w:type="pct"/>
            <w:shd w:val="clear" w:color="auto" w:fill="auto"/>
            <w:noWrap/>
            <w:vAlign w:val="center"/>
            <w:hideMark/>
          </w:tcPr>
          <w:p w14:paraId="28169A48" w14:textId="77777777" w:rsidR="00D57DFF" w:rsidRPr="00664B6D" w:rsidRDefault="00D57DFF" w:rsidP="00D57DFF">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0.223</w:t>
            </w:r>
          </w:p>
        </w:tc>
      </w:tr>
      <w:tr w:rsidR="00664B6D" w:rsidRPr="00664B6D" w14:paraId="7BD3A399" w14:textId="77777777" w:rsidTr="00664B6D">
        <w:trPr>
          <w:trHeight w:val="290"/>
        </w:trPr>
        <w:tc>
          <w:tcPr>
            <w:tcW w:w="1428" w:type="pct"/>
            <w:shd w:val="clear" w:color="auto" w:fill="auto"/>
            <w:noWrap/>
            <w:vAlign w:val="bottom"/>
            <w:hideMark/>
          </w:tcPr>
          <w:p w14:paraId="047809EB" w14:textId="60996215" w:rsidR="00664B6D" w:rsidRPr="00664B6D" w:rsidRDefault="00664B6D" w:rsidP="00250FDC">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AT</w:t>
            </w:r>
          </w:p>
        </w:tc>
        <w:tc>
          <w:tcPr>
            <w:tcW w:w="1714" w:type="pct"/>
            <w:shd w:val="clear" w:color="auto" w:fill="auto"/>
            <w:noWrap/>
            <w:vAlign w:val="center"/>
            <w:hideMark/>
          </w:tcPr>
          <w:p w14:paraId="0C211DCB" w14:textId="77777777" w:rsidR="00664B6D" w:rsidRPr="00664B6D" w:rsidRDefault="00664B6D" w:rsidP="00250FD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0.073</w:t>
            </w:r>
          </w:p>
        </w:tc>
        <w:tc>
          <w:tcPr>
            <w:tcW w:w="1857" w:type="pct"/>
            <w:shd w:val="clear" w:color="auto" w:fill="auto"/>
            <w:noWrap/>
            <w:vAlign w:val="center"/>
            <w:hideMark/>
          </w:tcPr>
          <w:p w14:paraId="6D80A8AB" w14:textId="77777777" w:rsidR="00664B6D" w:rsidRPr="00664B6D" w:rsidRDefault="00664B6D" w:rsidP="00250FD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0.222</w:t>
            </w:r>
          </w:p>
        </w:tc>
      </w:tr>
      <w:tr w:rsidR="00664B6D" w:rsidRPr="00664B6D" w14:paraId="22EBBAC5" w14:textId="77777777" w:rsidTr="00664B6D">
        <w:trPr>
          <w:trHeight w:val="290"/>
        </w:trPr>
        <w:tc>
          <w:tcPr>
            <w:tcW w:w="1428" w:type="pct"/>
            <w:shd w:val="clear" w:color="auto" w:fill="auto"/>
            <w:noWrap/>
            <w:vAlign w:val="bottom"/>
            <w:hideMark/>
          </w:tcPr>
          <w:p w14:paraId="1FDE6641" w14:textId="74C308B8" w:rsidR="00664B6D" w:rsidRPr="00664B6D" w:rsidRDefault="00664B6D" w:rsidP="009A6A0A">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COT</w:t>
            </w:r>
          </w:p>
        </w:tc>
        <w:tc>
          <w:tcPr>
            <w:tcW w:w="1714" w:type="pct"/>
            <w:shd w:val="clear" w:color="auto" w:fill="auto"/>
            <w:noWrap/>
            <w:vAlign w:val="center"/>
            <w:hideMark/>
          </w:tcPr>
          <w:p w14:paraId="32058FA6" w14:textId="77777777" w:rsidR="00664B6D" w:rsidRPr="00664B6D" w:rsidRDefault="00664B6D" w:rsidP="009A6A0A">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0.410</w:t>
            </w:r>
          </w:p>
        </w:tc>
        <w:tc>
          <w:tcPr>
            <w:tcW w:w="1857" w:type="pct"/>
            <w:shd w:val="clear" w:color="auto" w:fill="auto"/>
            <w:noWrap/>
            <w:vAlign w:val="center"/>
            <w:hideMark/>
          </w:tcPr>
          <w:p w14:paraId="1A64AA73" w14:textId="77777777" w:rsidR="00664B6D" w:rsidRPr="00664B6D" w:rsidRDefault="00664B6D" w:rsidP="009A6A0A">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1.241</w:t>
            </w:r>
          </w:p>
        </w:tc>
      </w:tr>
      <w:tr w:rsidR="00664B6D" w:rsidRPr="00664B6D" w14:paraId="19E9406A" w14:textId="77777777" w:rsidTr="00664B6D">
        <w:trPr>
          <w:trHeight w:val="290"/>
        </w:trPr>
        <w:tc>
          <w:tcPr>
            <w:tcW w:w="1428" w:type="pct"/>
            <w:shd w:val="clear" w:color="auto" w:fill="auto"/>
            <w:noWrap/>
            <w:vAlign w:val="bottom"/>
            <w:hideMark/>
          </w:tcPr>
          <w:p w14:paraId="65C157BE" w14:textId="49E20EDF" w:rsidR="00664B6D" w:rsidRPr="00664B6D" w:rsidRDefault="00664B6D" w:rsidP="006877A1">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NNIC</w:t>
            </w:r>
          </w:p>
        </w:tc>
        <w:tc>
          <w:tcPr>
            <w:tcW w:w="1714" w:type="pct"/>
            <w:shd w:val="clear" w:color="auto" w:fill="auto"/>
            <w:noWrap/>
            <w:vAlign w:val="center"/>
            <w:hideMark/>
          </w:tcPr>
          <w:p w14:paraId="4550143A" w14:textId="77777777" w:rsidR="00664B6D" w:rsidRPr="00664B6D" w:rsidRDefault="00664B6D" w:rsidP="006877A1">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1.215</w:t>
            </w:r>
          </w:p>
        </w:tc>
        <w:tc>
          <w:tcPr>
            <w:tcW w:w="1857" w:type="pct"/>
            <w:shd w:val="clear" w:color="auto" w:fill="auto"/>
            <w:noWrap/>
            <w:vAlign w:val="center"/>
            <w:hideMark/>
          </w:tcPr>
          <w:p w14:paraId="2C24C6BE" w14:textId="77777777" w:rsidR="00664B6D" w:rsidRPr="00664B6D" w:rsidRDefault="00664B6D" w:rsidP="006877A1">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3.682</w:t>
            </w:r>
          </w:p>
        </w:tc>
      </w:tr>
      <w:tr w:rsidR="00664B6D" w:rsidRPr="00664B6D" w14:paraId="417696FB" w14:textId="77777777" w:rsidTr="00664B6D">
        <w:trPr>
          <w:trHeight w:val="290"/>
        </w:trPr>
        <w:tc>
          <w:tcPr>
            <w:tcW w:w="1428" w:type="pct"/>
            <w:shd w:val="clear" w:color="auto" w:fill="auto"/>
            <w:noWrap/>
            <w:vAlign w:val="bottom"/>
            <w:hideMark/>
          </w:tcPr>
          <w:p w14:paraId="1FF36CE3" w14:textId="416DE4E4" w:rsidR="00664B6D" w:rsidRPr="00664B6D" w:rsidRDefault="00664B6D" w:rsidP="00511160">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NIC GLUC</w:t>
            </w:r>
          </w:p>
        </w:tc>
        <w:tc>
          <w:tcPr>
            <w:tcW w:w="1714" w:type="pct"/>
            <w:shd w:val="clear" w:color="auto" w:fill="auto"/>
            <w:noWrap/>
            <w:vAlign w:val="center"/>
            <w:hideMark/>
          </w:tcPr>
          <w:p w14:paraId="58A50686" w14:textId="77777777" w:rsidR="00664B6D" w:rsidRPr="00664B6D" w:rsidRDefault="00664B6D" w:rsidP="00511160">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2.146</w:t>
            </w:r>
          </w:p>
        </w:tc>
        <w:tc>
          <w:tcPr>
            <w:tcW w:w="1857" w:type="pct"/>
            <w:shd w:val="clear" w:color="auto" w:fill="auto"/>
            <w:noWrap/>
            <w:vAlign w:val="center"/>
            <w:hideMark/>
          </w:tcPr>
          <w:p w14:paraId="4DF81626" w14:textId="77777777" w:rsidR="00664B6D" w:rsidRPr="00664B6D" w:rsidRDefault="00664B6D" w:rsidP="00511160">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6.502</w:t>
            </w:r>
          </w:p>
        </w:tc>
      </w:tr>
      <w:tr w:rsidR="00664B6D" w:rsidRPr="00664B6D" w14:paraId="24E907E1" w14:textId="77777777" w:rsidTr="00664B6D">
        <w:trPr>
          <w:trHeight w:val="290"/>
        </w:trPr>
        <w:tc>
          <w:tcPr>
            <w:tcW w:w="1428" w:type="pct"/>
            <w:shd w:val="clear" w:color="auto" w:fill="auto"/>
            <w:noWrap/>
            <w:vAlign w:val="bottom"/>
            <w:hideMark/>
          </w:tcPr>
          <w:p w14:paraId="205F63C1" w14:textId="6DDF3654" w:rsidR="00664B6D" w:rsidRPr="00664B6D" w:rsidRDefault="00664B6D" w:rsidP="009A7FFC">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3HC</w:t>
            </w:r>
          </w:p>
        </w:tc>
        <w:tc>
          <w:tcPr>
            <w:tcW w:w="1714" w:type="pct"/>
            <w:shd w:val="clear" w:color="auto" w:fill="auto"/>
            <w:noWrap/>
            <w:vAlign w:val="center"/>
            <w:hideMark/>
          </w:tcPr>
          <w:p w14:paraId="0682A4AE" w14:textId="77777777" w:rsidR="00664B6D" w:rsidRPr="00664B6D" w:rsidRDefault="00664B6D" w:rsidP="009A7FF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1.045</w:t>
            </w:r>
          </w:p>
        </w:tc>
        <w:tc>
          <w:tcPr>
            <w:tcW w:w="1857" w:type="pct"/>
            <w:shd w:val="clear" w:color="auto" w:fill="auto"/>
            <w:noWrap/>
            <w:vAlign w:val="center"/>
            <w:hideMark/>
          </w:tcPr>
          <w:p w14:paraId="5CF45836" w14:textId="77777777" w:rsidR="00664B6D" w:rsidRPr="00664B6D" w:rsidRDefault="00664B6D" w:rsidP="009A7FF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3.167</w:t>
            </w:r>
          </w:p>
        </w:tc>
      </w:tr>
      <w:tr w:rsidR="00664B6D" w:rsidRPr="00664B6D" w14:paraId="3EB5BECC" w14:textId="77777777" w:rsidTr="00664B6D">
        <w:trPr>
          <w:trHeight w:val="290"/>
        </w:trPr>
        <w:tc>
          <w:tcPr>
            <w:tcW w:w="1428" w:type="pct"/>
            <w:shd w:val="clear" w:color="auto" w:fill="auto"/>
            <w:noWrap/>
            <w:vAlign w:val="bottom"/>
            <w:hideMark/>
          </w:tcPr>
          <w:p w14:paraId="7721DB7D" w14:textId="0BA3BFB5" w:rsidR="00664B6D" w:rsidRPr="00664B6D" w:rsidRDefault="00664B6D" w:rsidP="00E91E6F">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NNO</w:t>
            </w:r>
          </w:p>
        </w:tc>
        <w:tc>
          <w:tcPr>
            <w:tcW w:w="1714" w:type="pct"/>
            <w:shd w:val="clear" w:color="auto" w:fill="auto"/>
            <w:noWrap/>
            <w:vAlign w:val="center"/>
            <w:hideMark/>
          </w:tcPr>
          <w:p w14:paraId="68EE4AC3" w14:textId="77777777" w:rsidR="00664B6D" w:rsidRPr="00664B6D" w:rsidRDefault="00664B6D" w:rsidP="00E91E6F">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0.255</w:t>
            </w:r>
          </w:p>
        </w:tc>
        <w:tc>
          <w:tcPr>
            <w:tcW w:w="1857" w:type="pct"/>
            <w:shd w:val="clear" w:color="auto" w:fill="auto"/>
            <w:noWrap/>
            <w:vAlign w:val="center"/>
            <w:hideMark/>
          </w:tcPr>
          <w:p w14:paraId="18B6FA87" w14:textId="77777777" w:rsidR="00664B6D" w:rsidRPr="00664B6D" w:rsidRDefault="00664B6D" w:rsidP="00E91E6F">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0.772</w:t>
            </w:r>
          </w:p>
        </w:tc>
      </w:tr>
      <w:tr w:rsidR="00664B6D" w:rsidRPr="00664B6D" w14:paraId="2725A93D" w14:textId="77777777" w:rsidTr="00664B6D">
        <w:trPr>
          <w:trHeight w:val="290"/>
        </w:trPr>
        <w:tc>
          <w:tcPr>
            <w:tcW w:w="1428" w:type="pct"/>
            <w:tcBorders>
              <w:bottom w:val="single" w:sz="4" w:space="0" w:color="auto"/>
            </w:tcBorders>
            <w:shd w:val="clear" w:color="auto" w:fill="auto"/>
            <w:noWrap/>
            <w:vAlign w:val="bottom"/>
            <w:hideMark/>
          </w:tcPr>
          <w:p w14:paraId="2012D29F" w14:textId="4B3CD644" w:rsidR="00664B6D" w:rsidRPr="00664B6D" w:rsidRDefault="00664B6D" w:rsidP="00734B7C">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NIC</w:t>
            </w:r>
          </w:p>
        </w:tc>
        <w:tc>
          <w:tcPr>
            <w:tcW w:w="1714" w:type="pct"/>
            <w:tcBorders>
              <w:bottom w:val="single" w:sz="4" w:space="0" w:color="auto"/>
            </w:tcBorders>
            <w:shd w:val="clear" w:color="auto" w:fill="auto"/>
            <w:noWrap/>
            <w:vAlign w:val="center"/>
            <w:hideMark/>
          </w:tcPr>
          <w:p w14:paraId="0D26D24A" w14:textId="77777777" w:rsidR="00664B6D" w:rsidRPr="00664B6D" w:rsidRDefault="00664B6D" w:rsidP="00734B7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0.888</w:t>
            </w:r>
          </w:p>
        </w:tc>
        <w:tc>
          <w:tcPr>
            <w:tcW w:w="1857" w:type="pct"/>
            <w:tcBorders>
              <w:bottom w:val="single" w:sz="4" w:space="0" w:color="auto"/>
            </w:tcBorders>
            <w:shd w:val="clear" w:color="auto" w:fill="auto"/>
            <w:noWrap/>
            <w:vAlign w:val="center"/>
            <w:hideMark/>
          </w:tcPr>
          <w:p w14:paraId="255E2106" w14:textId="77777777" w:rsidR="00664B6D" w:rsidRPr="00664B6D" w:rsidRDefault="00664B6D" w:rsidP="00734B7C">
            <w:pPr>
              <w:spacing w:after="0" w:line="240" w:lineRule="auto"/>
              <w:jc w:val="right"/>
              <w:rPr>
                <w:rFonts w:ascii="Arial" w:eastAsia="Times New Roman" w:hAnsi="Arial" w:cs="Arial"/>
                <w:color w:val="000000"/>
                <w:sz w:val="20"/>
                <w:szCs w:val="20"/>
                <w:lang w:eastAsia="en-AU"/>
              </w:rPr>
            </w:pPr>
            <w:r w:rsidRPr="00664B6D">
              <w:rPr>
                <w:rFonts w:ascii="Arial" w:eastAsia="Times New Roman" w:hAnsi="Arial" w:cs="Arial"/>
                <w:color w:val="000000"/>
                <w:sz w:val="20"/>
                <w:szCs w:val="20"/>
                <w:lang w:eastAsia="en-AU"/>
              </w:rPr>
              <w:t>2.690</w:t>
            </w:r>
          </w:p>
        </w:tc>
      </w:tr>
    </w:tbl>
    <w:p w14:paraId="1ABB7A70" w14:textId="77777777" w:rsidR="00146AF8" w:rsidRPr="00664B6D" w:rsidRDefault="00146AF8">
      <w:pPr>
        <w:rPr>
          <w:rFonts w:ascii="Arial" w:hAnsi="Arial" w:cs="Arial"/>
          <w:sz w:val="20"/>
          <w:szCs w:val="20"/>
        </w:rPr>
      </w:pPr>
    </w:p>
    <w:sectPr w:rsidR="00146AF8" w:rsidRPr="00664B6D" w:rsidSect="004A01B8">
      <w:footerReference w:type="default" r:id="rId7"/>
      <w:pgSz w:w="11906" w:h="16838" w:code="9"/>
      <w:pgMar w:top="1440" w:right="1440" w:bottom="1440" w:left="1440" w:header="709" w:footer="709" w:gutter="0"/>
      <w:lnNumType w:countBy="1" w:restart="newSecti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A71C9" w14:textId="77777777" w:rsidR="0037173E" w:rsidRDefault="0037173E">
      <w:pPr>
        <w:spacing w:after="0" w:line="240" w:lineRule="auto"/>
      </w:pPr>
      <w:r>
        <w:separator/>
      </w:r>
    </w:p>
  </w:endnote>
  <w:endnote w:type="continuationSeparator" w:id="0">
    <w:p w14:paraId="2A7CD7A3" w14:textId="77777777" w:rsidR="0037173E" w:rsidRDefault="00371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817333"/>
      <w:docPartObj>
        <w:docPartGallery w:val="Page Numbers (Bottom of Page)"/>
        <w:docPartUnique/>
      </w:docPartObj>
    </w:sdtPr>
    <w:sdtEndPr>
      <w:rPr>
        <w:noProof/>
      </w:rPr>
    </w:sdtEndPr>
    <w:sdtContent>
      <w:p w14:paraId="26867F73" w14:textId="77777777" w:rsidR="00136B6F" w:rsidRDefault="004A01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D41B2C" w14:textId="77777777" w:rsidR="00136B6F" w:rsidRDefault="00371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1E314" w14:textId="77777777" w:rsidR="0037173E" w:rsidRDefault="0037173E">
      <w:pPr>
        <w:spacing w:after="0" w:line="240" w:lineRule="auto"/>
      </w:pPr>
      <w:r>
        <w:separator/>
      </w:r>
    </w:p>
  </w:footnote>
  <w:footnote w:type="continuationSeparator" w:id="0">
    <w:p w14:paraId="02112DEE" w14:textId="77777777" w:rsidR="0037173E" w:rsidRDefault="003717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B8"/>
    <w:rsid w:val="00074B92"/>
    <w:rsid w:val="00146AF8"/>
    <w:rsid w:val="00211F0C"/>
    <w:rsid w:val="002132B9"/>
    <w:rsid w:val="002E4C5C"/>
    <w:rsid w:val="0037173E"/>
    <w:rsid w:val="004722B5"/>
    <w:rsid w:val="004A01B8"/>
    <w:rsid w:val="004C2D5A"/>
    <w:rsid w:val="00664B6D"/>
    <w:rsid w:val="008D22DF"/>
    <w:rsid w:val="008F0FE2"/>
    <w:rsid w:val="009E61F0"/>
    <w:rsid w:val="00B461BD"/>
    <w:rsid w:val="00BA5986"/>
    <w:rsid w:val="00CB3223"/>
    <w:rsid w:val="00D57D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78306"/>
  <w15:chartTrackingRefBased/>
  <w15:docId w15:val="{E94EE536-FC1C-4C29-81E8-1E4F2872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1B8"/>
    <w:pPr>
      <w:tabs>
        <w:tab w:val="center" w:pos="4513"/>
        <w:tab w:val="right" w:pos="9026"/>
      </w:tabs>
      <w:spacing w:after="0" w:line="240" w:lineRule="auto"/>
      <w:ind w:firstLine="720"/>
      <w:jc w:val="both"/>
    </w:pPr>
    <w:rPr>
      <w:rFonts w:ascii="Times New Roman" w:eastAsia="Times New Roman" w:hAnsi="Times New Roman" w:cs="Times New Roman"/>
      <w:sz w:val="20"/>
      <w:szCs w:val="20"/>
      <w:lang w:eastAsia="en-AU"/>
    </w:rPr>
  </w:style>
  <w:style w:type="character" w:customStyle="1" w:styleId="FooterChar">
    <w:name w:val="Footer Char"/>
    <w:basedOn w:val="DefaultParagraphFont"/>
    <w:link w:val="Footer"/>
    <w:uiPriority w:val="99"/>
    <w:rsid w:val="004A01B8"/>
    <w:rPr>
      <w:rFonts w:ascii="Times New Roman" w:eastAsia="Times New Roman" w:hAnsi="Times New Roman" w:cs="Times New Roman"/>
      <w:sz w:val="20"/>
      <w:szCs w:val="20"/>
      <w:lang w:eastAsia="en-AU"/>
    </w:rPr>
  </w:style>
  <w:style w:type="character" w:styleId="LineNumber">
    <w:name w:val="line number"/>
    <w:basedOn w:val="DefaultParagraphFont"/>
    <w:uiPriority w:val="99"/>
    <w:semiHidden/>
    <w:unhideWhenUsed/>
    <w:rsid w:val="004A0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10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C505D-A2DD-4409-8FE7-8A70F15E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Ratsch</dc:creator>
  <cp:keywords/>
  <dc:description/>
  <cp:lastModifiedBy>Angela Ratsch</cp:lastModifiedBy>
  <cp:revision>2</cp:revision>
  <dcterms:created xsi:type="dcterms:W3CDTF">2022-10-31T04:32:00Z</dcterms:created>
  <dcterms:modified xsi:type="dcterms:W3CDTF">2022-10-31T04:32:00Z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2022-10-30T06:10:54Z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dc7f317c-6a3a-4879-a31d-26e29468c62d</vt:lpwstr>
  </property>
  <property fmtid="{D5CDD505-2E9C-101B-9397-08002B2CF9AE}" pid="8" name="MSIP_Label_0f488380-630a-4f55-a077-a19445e3f360_ContentBits">
    <vt:lpwstr>0</vt:lpwstr>
  </property>
</Properties>
</file>