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8A882" w14:textId="46D0CD3B" w:rsidR="00730A82" w:rsidRPr="001C2AB5" w:rsidRDefault="002524BF" w:rsidP="00730A82">
      <w:pPr>
        <w:pStyle w:val="Heading1"/>
        <w:spacing w:before="120" w:after="120" w:line="312" w:lineRule="auto"/>
        <w:rPr>
          <w:rFonts w:ascii="Times New Roman" w:hAnsi="Times New Roman"/>
          <w:b/>
          <w:color w:val="0D0D0D" w:themeColor="text1" w:themeTint="F2"/>
        </w:rPr>
      </w:pPr>
      <w:r>
        <w:rPr>
          <w:rFonts w:ascii="Times New Roman" w:hAnsi="Times New Roman"/>
          <w:b/>
          <w:color w:val="0D0D0D" w:themeColor="text1" w:themeTint="F2"/>
        </w:rPr>
        <w:t xml:space="preserve">Table </w:t>
      </w:r>
      <w:r w:rsidR="006D494B">
        <w:rPr>
          <w:rFonts w:ascii="Times New Roman" w:hAnsi="Times New Roman"/>
          <w:b/>
          <w:color w:val="0D0D0D" w:themeColor="text1" w:themeTint="F2"/>
        </w:rPr>
        <w:t>S</w:t>
      </w:r>
      <w:r>
        <w:rPr>
          <w:rFonts w:ascii="Times New Roman" w:hAnsi="Times New Roman"/>
          <w:b/>
          <w:color w:val="0D0D0D" w:themeColor="text1" w:themeTint="F2"/>
        </w:rPr>
        <w:t>1</w:t>
      </w:r>
    </w:p>
    <w:p w14:paraId="0B7A39A5" w14:textId="77777777" w:rsidR="002524BF" w:rsidRDefault="002524BF" w:rsidP="00730A82">
      <w:pPr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13F53CA0" w14:textId="5C9FF28D" w:rsidR="00730A82" w:rsidRPr="00C61A10" w:rsidRDefault="00730A82" w:rsidP="00730A82">
      <w:pPr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 xml:space="preserve">Table </w:t>
      </w:r>
      <w:r w:rsidR="006D494B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S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1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. Mixed-effects negative binomial regression models of county-level COVID-19 fatality (period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s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 xml:space="preserve"> 1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 xml:space="preserve"> &amp; 2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)</w:t>
      </w:r>
    </w:p>
    <w:tbl>
      <w:tblPr>
        <w:tblStyle w:val="TableGrid"/>
        <w:tblW w:w="1190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2105"/>
        <w:gridCol w:w="2125"/>
        <w:gridCol w:w="2125"/>
        <w:gridCol w:w="2125"/>
      </w:tblGrid>
      <w:tr w:rsidR="00730A82" w:rsidRPr="00C61A10" w14:paraId="30AAD9CE" w14:textId="77777777" w:rsidTr="0090698A">
        <w:trPr>
          <w:trHeight w:val="279"/>
          <w:jc w:val="center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237ED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C61190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D0D0D" w:themeColor="text1" w:themeTint="F2"/>
                <w:sz w:val="20"/>
                <w:szCs w:val="20"/>
              </w:rPr>
              <w:t>Period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1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79CAD22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Period 2</w:t>
            </w:r>
          </w:p>
        </w:tc>
      </w:tr>
      <w:tr w:rsidR="00730A82" w:rsidRPr="00C61A10" w14:paraId="0EDC199E" w14:textId="77777777" w:rsidTr="0090698A">
        <w:trPr>
          <w:trHeight w:val="279"/>
          <w:jc w:val="center"/>
        </w:trPr>
        <w:tc>
          <w:tcPr>
            <w:tcW w:w="3420" w:type="dxa"/>
            <w:vMerge w:val="restart"/>
            <w:tcBorders>
              <w:top w:val="single" w:sz="4" w:space="0" w:color="000000"/>
            </w:tcBorders>
            <w:vAlign w:val="center"/>
          </w:tcPr>
          <w:p w14:paraId="25726F4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Factors 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22EC07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1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C5931A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2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A8F5A8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1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AE50421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2</w:t>
            </w:r>
          </w:p>
        </w:tc>
      </w:tr>
      <w:tr w:rsidR="00730A82" w:rsidRPr="00C61A10" w14:paraId="78FEB52C" w14:textId="77777777" w:rsidTr="0090698A">
        <w:trPr>
          <w:trHeight w:val="269"/>
          <w:jc w:val="center"/>
        </w:trPr>
        <w:tc>
          <w:tcPr>
            <w:tcW w:w="3420" w:type="dxa"/>
            <w:vMerge/>
            <w:tcBorders>
              <w:bottom w:val="single" w:sz="4" w:space="0" w:color="000000"/>
            </w:tcBorders>
            <w:vAlign w:val="center"/>
          </w:tcPr>
          <w:p w14:paraId="2CCF7BA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73A17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0C5355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E5A896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88171FC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730A82" w:rsidRPr="00C61A10" w14:paraId="760BB4AC" w14:textId="77777777" w:rsidTr="0090698A">
        <w:trPr>
          <w:jc w:val="center"/>
        </w:trPr>
        <w:tc>
          <w:tcPr>
            <w:tcW w:w="3420" w:type="dxa"/>
            <w:tcBorders>
              <w:top w:val="single" w:sz="4" w:space="0" w:color="000000"/>
              <w:bottom w:val="nil"/>
            </w:tcBorders>
            <w:vAlign w:val="center"/>
          </w:tcPr>
          <w:p w14:paraId="5E79570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Concentrated disadvantage</w:t>
            </w:r>
          </w:p>
        </w:tc>
        <w:tc>
          <w:tcPr>
            <w:tcW w:w="2105" w:type="dxa"/>
            <w:tcBorders>
              <w:top w:val="single" w:sz="4" w:space="0" w:color="000000"/>
              <w:bottom w:val="nil"/>
            </w:tcBorders>
            <w:vAlign w:val="center"/>
          </w:tcPr>
          <w:p w14:paraId="700BFC0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1.187(1.121,1.258) **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16CFC47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1.188(1.121,1.258) **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3BB1379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1.158(1.119,1.199) **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18AE695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1.163(1.123,1.203) **</w:t>
            </w:r>
          </w:p>
        </w:tc>
      </w:tr>
      <w:tr w:rsidR="00730A82" w:rsidRPr="00C61A10" w14:paraId="307A2E91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3A1F1FA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(PC)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570EE69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0.965(0.844,1.103) 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1B2332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0.96(0.836,1.101)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C60833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0.917(0.847,0.992) 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D974D3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0.898(0.83,0.973) **</w:t>
            </w:r>
          </w:p>
        </w:tc>
      </w:tr>
      <w:tr w:rsidR="00730A82" w:rsidRPr="00C61A10" w14:paraId="09B14A1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5A59469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Concentrated disadvantage * Log (PC)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2DF7025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822003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1.032(0.865,1.232)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B6E85A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A09814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1.171(1.054,1.301) **</w:t>
            </w:r>
          </w:p>
        </w:tc>
      </w:tr>
      <w:tr w:rsidR="00730A82" w:rsidRPr="00C61A10" w14:paraId="134F09D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7173871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(Spatially lagged fatality)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7812E63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2.521(2.201,2.886)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81753F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2.523(2.203,2.889)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1FC8E7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2.807(2.473,3.186)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0F2F28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2.806(2.473,3.184) **</w:t>
            </w:r>
          </w:p>
        </w:tc>
      </w:tr>
      <w:tr w:rsidR="00730A82" w:rsidRPr="00C61A10" w14:paraId="45835F25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5A38B9E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(population density)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4D4062A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1.083(1.024,1.145)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A15800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1.084(1.024,1.147)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5DE555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1.019(0.986,1.054)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D7C52D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1.023(0.989,1.058)</w:t>
            </w:r>
          </w:p>
        </w:tc>
      </w:tr>
      <w:tr w:rsidR="00730A82" w:rsidRPr="00C61A10" w14:paraId="3FF77155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5BE5E22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population aged 65 +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1D212E6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1.04(1.033,1.046)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CFF2A6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1.04(1.033,1.046)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409546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1.036(1.032,1.039)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4F6ED3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1.035(1.031,1.039) **</w:t>
            </w:r>
          </w:p>
        </w:tc>
      </w:tr>
      <w:tr w:rsidR="00730A82" w:rsidRPr="00C61A10" w14:paraId="5ACC1BA1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12C3AA9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no health insurance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77750F9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1(0.993,1.007)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0E4FE4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1(0.993,1.007)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BFC00E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1.008(1.004,1.013)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DBC45B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1.008(1.004,1.013) **</w:t>
            </w:r>
          </w:p>
        </w:tc>
      </w:tr>
      <w:tr w:rsidR="00730A82" w:rsidRPr="00C61A10" w14:paraId="1E99C3EF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634CE3A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black or African Americans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17C55FC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1.004(1.002,1.006)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9F8D37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1.004(1.002,1.006)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9D4C16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1.002(1,1.003)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20CC2C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1.002(1,1.003) *</w:t>
            </w:r>
          </w:p>
        </w:tc>
      </w:tr>
      <w:tr w:rsidR="00730A82" w:rsidRPr="00C61A10" w14:paraId="082226DB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0BFE67A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% of workers 16 years and over who commute by public transportation 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39DBB54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1.008(0.998,1.018)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CC7554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1.008(0.998,1.018)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61FDD8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1.005(0.999,1.011)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F83A37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1.005(0.999,1.011)</w:t>
            </w:r>
          </w:p>
        </w:tc>
      </w:tr>
      <w:tr w:rsidR="00730A82" w:rsidRPr="00C61A10" w14:paraId="3AA895D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21395C4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ICU beds per 100,000 population 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3094E20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1(0.999,1.001)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AB0447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1(0.999,1.001)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7406BB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D71326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</w:tr>
      <w:tr w:rsidR="00730A82" w:rsidRPr="00C61A10" w14:paraId="6CC010E0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7088C71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CBSA (Non-CBSA)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4A4BD9A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AEAFE4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42A566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742122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730A82" w:rsidRPr="00C61A10" w14:paraId="63A6EEEF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1F545AF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Micro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023347E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0.963(0.9,1.03)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459E79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0.963(0.9,1.03)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8159B8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0.962(0.925,1)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FFCE34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0.96(0.923,0.999) *</w:t>
            </w:r>
          </w:p>
        </w:tc>
      </w:tr>
      <w:tr w:rsidR="00730A82" w:rsidRPr="00C61A10" w14:paraId="433A40F8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1629343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Metro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45C529A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0.967(0.905,1.034)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7DCA9D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0.967(0.905,1.033)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76B73D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0.95(0.914,0.988) 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047F2C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0.948(0.912,0.986) **</w:t>
            </w:r>
          </w:p>
        </w:tc>
      </w:tr>
      <w:tr w:rsidR="00730A82" w:rsidRPr="00C61A10" w14:paraId="4EE7B1BA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2CDB412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Region (Northeast)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725F9E4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948089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B7DAFC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FCCCD2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730A82" w:rsidRPr="00C61A10" w14:paraId="171F7128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299A14D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Midwest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171F82D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0.616(0.511,0.742)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EEBEF3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0.616(0.511,0.742)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C44DAC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0.89(0.789,1.004) 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88A27A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0.887(0.787,1) *</w:t>
            </w:r>
          </w:p>
        </w:tc>
      </w:tr>
      <w:tr w:rsidR="00730A82" w:rsidRPr="00C61A10" w14:paraId="1EDD89E9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2C44D65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South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67DE792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0.644(0.539,0.769)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CDBA37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0.644(0.539,0.769)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119F5B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0.821(0.731,0.922)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BF3B11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0.824(0.734,0.925) **</w:t>
            </w:r>
          </w:p>
        </w:tc>
      </w:tr>
      <w:tr w:rsidR="00730A82" w:rsidRPr="00C61A10" w14:paraId="16607E9F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single" w:sz="4" w:space="0" w:color="000000"/>
            </w:tcBorders>
            <w:vAlign w:val="center"/>
          </w:tcPr>
          <w:p w14:paraId="34007F3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West</w:t>
            </w:r>
          </w:p>
        </w:tc>
        <w:tc>
          <w:tcPr>
            <w:tcW w:w="2105" w:type="dxa"/>
            <w:tcBorders>
              <w:top w:val="nil"/>
              <w:bottom w:val="single" w:sz="4" w:space="0" w:color="000000"/>
            </w:tcBorders>
            <w:vAlign w:val="center"/>
          </w:tcPr>
          <w:p w14:paraId="121D5D7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0.616(0.503,0.754) **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0B96603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0.616(0.504,0.754) **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22F5DF3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0.787(0.692,0.896) **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4D822F6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0.787(0.691,0.895) **</w:t>
            </w:r>
          </w:p>
        </w:tc>
      </w:tr>
    </w:tbl>
    <w:p w14:paraId="0EE66033" w14:textId="77777777" w:rsidR="00730A82" w:rsidRDefault="00730A82" w:rsidP="00730A82">
      <w:pPr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C61A10">
        <w:rPr>
          <w:rFonts w:ascii="Times New Roman" w:hAnsi="Times New Roman" w:cs="Times New Roman"/>
          <w:bCs/>
          <w:i/>
          <w:color w:val="0D0D0D" w:themeColor="text1" w:themeTint="F2"/>
          <w:sz w:val="20"/>
          <w:szCs w:val="20"/>
        </w:rPr>
        <w:t xml:space="preserve">                 Notes</w:t>
      </w:r>
      <w:r w:rsidRPr="00C61A10"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  <w:t>: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IRR: incidence rate ratio; PC: place connectivity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2018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;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CI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: Confidence interval; *: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p</w:t>
      </w:r>
      <w:r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 xml:space="preserve"> 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&lt;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0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.05; **: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p</w:t>
      </w:r>
      <w:r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 xml:space="preserve"> 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&lt;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0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.001.</w:t>
      </w:r>
    </w:p>
    <w:p w14:paraId="37052E1D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5CC6E11B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54B6A917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7E81C0DA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52D061CE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1F450A5C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36AB1BD4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5D575487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7A52A7F0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5001ADC7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726EA0A3" w14:textId="77777777" w:rsidR="00730A82" w:rsidRDefault="00730A82" w:rsidP="00730A82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21561717" w14:textId="5F24C5C4" w:rsidR="002524BF" w:rsidRPr="001C2AB5" w:rsidRDefault="002524BF" w:rsidP="002524BF">
      <w:pPr>
        <w:pStyle w:val="Heading1"/>
        <w:spacing w:before="120" w:after="120" w:line="312" w:lineRule="auto"/>
        <w:rPr>
          <w:rFonts w:ascii="Times New Roman" w:hAnsi="Times New Roman"/>
          <w:b/>
          <w:color w:val="0D0D0D" w:themeColor="text1" w:themeTint="F2"/>
        </w:rPr>
      </w:pPr>
      <w:r>
        <w:rPr>
          <w:rFonts w:ascii="Times New Roman" w:hAnsi="Times New Roman"/>
          <w:b/>
          <w:color w:val="0D0D0D" w:themeColor="text1" w:themeTint="F2"/>
        </w:rPr>
        <w:t xml:space="preserve">Table </w:t>
      </w:r>
      <w:r w:rsidR="006D494B">
        <w:rPr>
          <w:rFonts w:ascii="Times New Roman" w:hAnsi="Times New Roman"/>
          <w:b/>
          <w:color w:val="0D0D0D" w:themeColor="text1" w:themeTint="F2"/>
        </w:rPr>
        <w:t>S</w:t>
      </w:r>
      <w:r>
        <w:rPr>
          <w:rFonts w:ascii="Times New Roman" w:hAnsi="Times New Roman"/>
          <w:b/>
          <w:color w:val="0D0D0D" w:themeColor="text1" w:themeTint="F2"/>
        </w:rPr>
        <w:t>2</w:t>
      </w:r>
    </w:p>
    <w:p w14:paraId="427F1BB0" w14:textId="77777777" w:rsidR="002524BF" w:rsidRDefault="002524BF" w:rsidP="00730A82">
      <w:pPr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</w:p>
    <w:p w14:paraId="1915906B" w14:textId="1663A90B" w:rsidR="00730A82" w:rsidRPr="00C61A10" w:rsidRDefault="00730A82" w:rsidP="00730A82">
      <w:pPr>
        <w:jc w:val="center"/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</w:pPr>
      <w:bookmarkStart w:id="0" w:name="_GoBack"/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 xml:space="preserve">Table </w:t>
      </w:r>
      <w:r w:rsidR="006D494B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S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2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. Mixed-effects negative binomial regression models of county-level COVID-19 fatality (period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s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3 &amp; 4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  <w:lang w:eastAsia="zh-CN"/>
        </w:rPr>
        <w:t>)</w:t>
      </w:r>
      <w:bookmarkEnd w:id="0"/>
    </w:p>
    <w:tbl>
      <w:tblPr>
        <w:tblStyle w:val="TableGrid"/>
        <w:tblW w:w="1190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2105"/>
        <w:gridCol w:w="2125"/>
        <w:gridCol w:w="2125"/>
        <w:gridCol w:w="2125"/>
      </w:tblGrid>
      <w:tr w:rsidR="00730A82" w:rsidRPr="00C61A10" w14:paraId="3E2686C2" w14:textId="77777777" w:rsidTr="0090698A">
        <w:trPr>
          <w:trHeight w:val="279"/>
          <w:jc w:val="center"/>
        </w:trPr>
        <w:tc>
          <w:tcPr>
            <w:tcW w:w="342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520E7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423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6010062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D0D0D" w:themeColor="text1" w:themeTint="F2"/>
                <w:sz w:val="20"/>
                <w:szCs w:val="20"/>
              </w:rPr>
              <w:t>Period</w:t>
            </w: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3</w:t>
            </w:r>
          </w:p>
        </w:tc>
        <w:tc>
          <w:tcPr>
            <w:tcW w:w="425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7888D8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Period 4</w:t>
            </w:r>
          </w:p>
        </w:tc>
      </w:tr>
      <w:tr w:rsidR="00730A82" w:rsidRPr="00C61A10" w14:paraId="6A3FEB4A" w14:textId="77777777" w:rsidTr="0090698A">
        <w:trPr>
          <w:trHeight w:val="279"/>
          <w:jc w:val="center"/>
        </w:trPr>
        <w:tc>
          <w:tcPr>
            <w:tcW w:w="3420" w:type="dxa"/>
            <w:vMerge w:val="restart"/>
            <w:tcBorders>
              <w:top w:val="single" w:sz="4" w:space="0" w:color="000000"/>
            </w:tcBorders>
            <w:vAlign w:val="center"/>
          </w:tcPr>
          <w:p w14:paraId="670C947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Factors </w:t>
            </w: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A8B12F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1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AA24000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2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7E175E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1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53430B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Model 2</w:t>
            </w:r>
          </w:p>
        </w:tc>
      </w:tr>
      <w:tr w:rsidR="00730A82" w:rsidRPr="00C61A10" w14:paraId="3F323734" w14:textId="77777777" w:rsidTr="0090698A">
        <w:trPr>
          <w:trHeight w:val="269"/>
          <w:jc w:val="center"/>
        </w:trPr>
        <w:tc>
          <w:tcPr>
            <w:tcW w:w="3420" w:type="dxa"/>
            <w:vMerge/>
            <w:tcBorders>
              <w:bottom w:val="single" w:sz="4" w:space="0" w:color="000000"/>
            </w:tcBorders>
            <w:vAlign w:val="center"/>
          </w:tcPr>
          <w:p w14:paraId="31325E1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0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51250C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8072522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287937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BF3A74" w14:textId="77777777" w:rsidR="00730A82" w:rsidRPr="00C61A10" w:rsidRDefault="00730A82" w:rsidP="0090698A">
            <w:pPr>
              <w:tabs>
                <w:tab w:val="decimal" w:pos="432"/>
              </w:tabs>
              <w:jc w:val="both"/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iCs/>
                <w:color w:val="0D0D0D" w:themeColor="text1" w:themeTint="F2"/>
                <w:sz w:val="20"/>
                <w:szCs w:val="20"/>
              </w:rPr>
              <w:t xml:space="preserve">IRR 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(95% </w:t>
            </w:r>
            <w:r w:rsidRPr="00C61A10">
              <w:rPr>
                <w:rFonts w:ascii="Times New Roman" w:hAnsi="Times New Roman" w:cs="Times New Roman"/>
                <w:i/>
                <w:color w:val="0D0D0D" w:themeColor="text1" w:themeTint="F2"/>
                <w:sz w:val="20"/>
                <w:szCs w:val="20"/>
              </w:rPr>
              <w:t>CI</w:t>
            </w: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)</w:t>
            </w:r>
          </w:p>
        </w:tc>
      </w:tr>
      <w:tr w:rsidR="00730A82" w:rsidRPr="00C61A10" w14:paraId="15DE46AD" w14:textId="77777777" w:rsidTr="0090698A">
        <w:trPr>
          <w:jc w:val="center"/>
        </w:trPr>
        <w:tc>
          <w:tcPr>
            <w:tcW w:w="3420" w:type="dxa"/>
            <w:tcBorders>
              <w:top w:val="single" w:sz="4" w:space="0" w:color="000000"/>
              <w:bottom w:val="nil"/>
            </w:tcBorders>
            <w:vAlign w:val="center"/>
          </w:tcPr>
          <w:p w14:paraId="047C8F2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Concentrated disadvantage</w:t>
            </w:r>
          </w:p>
        </w:tc>
        <w:tc>
          <w:tcPr>
            <w:tcW w:w="2105" w:type="dxa"/>
            <w:tcBorders>
              <w:top w:val="single" w:sz="4" w:space="0" w:color="000000"/>
              <w:bottom w:val="nil"/>
            </w:tcBorders>
            <w:vAlign w:val="center"/>
          </w:tcPr>
          <w:p w14:paraId="398D573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1.173(1.138,1.209) **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7E569BD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1.179(1.143,1.215) **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5BA6357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1.158(1.126,1.19) *</w:t>
            </w:r>
          </w:p>
        </w:tc>
        <w:tc>
          <w:tcPr>
            <w:tcW w:w="2125" w:type="dxa"/>
            <w:tcBorders>
              <w:top w:val="single" w:sz="4" w:space="0" w:color="000000"/>
              <w:bottom w:val="nil"/>
            </w:tcBorders>
            <w:vAlign w:val="center"/>
          </w:tcPr>
          <w:p w14:paraId="125D06E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1.164(1.132,1.196) **</w:t>
            </w:r>
          </w:p>
        </w:tc>
      </w:tr>
      <w:tr w:rsidR="00730A82" w:rsidRPr="00C61A10" w14:paraId="4D2C5442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0B4A194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(PC)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34B804F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0.902(0.842,0.966)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2A2771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0.877(0.818,0.94)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DBF18D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0.942(0.885,1.002)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728395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0.913(0.858,0.972) **</w:t>
            </w:r>
          </w:p>
        </w:tc>
      </w:tr>
      <w:tr w:rsidR="00730A82" w:rsidRPr="00C61A10" w14:paraId="78845EC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38A954C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Concentrated disadvantage * Log (PC)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5325FFE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3D62D4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1.238(1.129,1.358)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A950FF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392F9C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1.248(1.148,1.357) **</w:t>
            </w:r>
          </w:p>
        </w:tc>
      </w:tr>
      <w:tr w:rsidR="00730A82" w:rsidRPr="00C61A10" w14:paraId="4225D3E8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0934768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(Spatially lagged fatality)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3CB2B23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2.768(2.45,3.126)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E6AC34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2.762(2.447,3.118)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0D2BE4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2.908(2.577,3.282)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FDAA62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2.889(2.562,3.258) **</w:t>
            </w:r>
          </w:p>
        </w:tc>
      </w:tr>
      <w:tr w:rsidR="00730A82" w:rsidRPr="00C61A10" w14:paraId="73B65D6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403F30A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Log (population density)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533ACB3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1.014(0.984,1.044)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193C91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1.019(0.989,1.049)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D9545D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1.006(0.98,1.033)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2A58A4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1.011(0.985,1.039)</w:t>
            </w:r>
          </w:p>
        </w:tc>
      </w:tr>
      <w:tr w:rsidR="00730A82" w:rsidRPr="00C61A10" w14:paraId="47AD390C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3629CDD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population aged 65 +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7CCAD5D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1.035(1.032,1.039)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C7BB64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1.035(1.031,1.038)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10BF1B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1.033(1.03,1.036)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2440CD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1.032(1.029,1.035) **</w:t>
            </w:r>
          </w:p>
        </w:tc>
      </w:tr>
      <w:tr w:rsidR="00730A82" w:rsidRPr="00C61A10" w14:paraId="61B58003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5B72555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no health insurance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4C414F4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1.008(1.004,1.012)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08B8B7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1.008(1.004,1.012)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4716BC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1.008(1.005,1.012)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E40A98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1.008(1.004,1.011) **</w:t>
            </w:r>
          </w:p>
        </w:tc>
      </w:tr>
      <w:tr w:rsidR="00730A82" w:rsidRPr="00C61A10" w14:paraId="3975D9B3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0AFCE25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% of black or African Americans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2283FB3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1.002(1.001,1.003)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C4893F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1.002(1.001,1.003)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7614CA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1.002(1.001,1.003)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7AC6D8B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1.002(1.001,1.003) **</w:t>
            </w:r>
          </w:p>
        </w:tc>
      </w:tr>
      <w:tr w:rsidR="00730A82" w:rsidRPr="00C61A10" w14:paraId="786B4950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792D786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% of workers 16 years and over who commute by public transportation 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6071C39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1.004(0.999,1.009)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76A4BF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1.004(0.999,1.009)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3F0BB6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1.003(0.999,1.008)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551A67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1.003(0.998,1.008)</w:t>
            </w:r>
          </w:p>
        </w:tc>
      </w:tr>
      <w:tr w:rsidR="00730A82" w:rsidRPr="00C61A10" w14:paraId="1D8383D5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46E8837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ICU beds per 100,000 population 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61083A6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3B48664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F94541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869CA5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1(1,1.001)</w:t>
            </w:r>
          </w:p>
        </w:tc>
      </w:tr>
      <w:tr w:rsidR="00730A82" w:rsidRPr="00C61A10" w14:paraId="18F0E144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59654643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CBSA (Non-CBSA)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1D4567E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0AB01AE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103FD4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118A14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730A82" w:rsidRPr="00C61A10" w14:paraId="43DACDB0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6BFE9C7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Micro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21C51B8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0.959(0.927,0.993)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1BE00F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0.957(0.925,0.99) 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137749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0.974(0.944,1.004)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780D0E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0.971(0.942,1.002) </w:t>
            </w:r>
          </w:p>
        </w:tc>
      </w:tr>
      <w:tr w:rsidR="00730A82" w:rsidRPr="00C61A10" w14:paraId="467CB27D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3C11B360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Metro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0E1B4CE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0.958(0.926,0.991)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4863253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0.955(0.923,0.988) **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1E98B31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0.969(0.94,0.999) *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31C0F1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0.966(0.937,0.995) *</w:t>
            </w:r>
          </w:p>
        </w:tc>
      </w:tr>
      <w:tr w:rsidR="00730A82" w:rsidRPr="00C61A10" w14:paraId="626C89A6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38D82EE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Region (Northeast)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588CA81D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71A49F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6942BA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D5B4B8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730A82" w:rsidRPr="00C61A10" w14:paraId="2BE498D8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78E993D2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Midwest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33D8DC6C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0.975(0.868,1.096)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18CDBE6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0.971(0.865,1.09) 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3DCD707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0.979(0.877,1.093)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3A32048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0.975(0.873,1.088)</w:t>
            </w:r>
          </w:p>
        </w:tc>
      </w:tr>
      <w:tr w:rsidR="00730A82" w:rsidRPr="00C61A10" w14:paraId="48A2879F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nil"/>
            </w:tcBorders>
            <w:vAlign w:val="center"/>
          </w:tcPr>
          <w:p w14:paraId="7BC85C39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South</w:t>
            </w:r>
          </w:p>
        </w:tc>
        <w:tc>
          <w:tcPr>
            <w:tcW w:w="2105" w:type="dxa"/>
            <w:tcBorders>
              <w:top w:val="nil"/>
              <w:bottom w:val="nil"/>
            </w:tcBorders>
            <w:vAlign w:val="center"/>
          </w:tcPr>
          <w:p w14:paraId="5086FB0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0.924(0.826,1.034)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6559335A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0.928(0.83,1.037)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2A13EE8B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0.951(0.855,1.057)</w:t>
            </w:r>
          </w:p>
        </w:tc>
        <w:tc>
          <w:tcPr>
            <w:tcW w:w="2125" w:type="dxa"/>
            <w:tcBorders>
              <w:top w:val="nil"/>
              <w:bottom w:val="nil"/>
            </w:tcBorders>
            <w:vAlign w:val="center"/>
          </w:tcPr>
          <w:p w14:paraId="59B32515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0.956(0.86,1.062)</w:t>
            </w:r>
          </w:p>
        </w:tc>
      </w:tr>
      <w:tr w:rsidR="00730A82" w:rsidRPr="00C61A10" w14:paraId="5D7573B1" w14:textId="77777777" w:rsidTr="0090698A">
        <w:trPr>
          <w:jc w:val="center"/>
        </w:trPr>
        <w:tc>
          <w:tcPr>
            <w:tcW w:w="3420" w:type="dxa"/>
            <w:tcBorders>
              <w:top w:val="nil"/>
              <w:bottom w:val="single" w:sz="4" w:space="0" w:color="000000"/>
            </w:tcBorders>
            <w:vAlign w:val="center"/>
          </w:tcPr>
          <w:p w14:paraId="1E39B54E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61A10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West</w:t>
            </w:r>
          </w:p>
        </w:tc>
        <w:tc>
          <w:tcPr>
            <w:tcW w:w="2105" w:type="dxa"/>
            <w:tcBorders>
              <w:top w:val="nil"/>
              <w:bottom w:val="single" w:sz="4" w:space="0" w:color="000000"/>
            </w:tcBorders>
            <w:vAlign w:val="center"/>
          </w:tcPr>
          <w:p w14:paraId="26ED434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0.859(0.759,0.973) *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773BFC98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0.858(0.759,0.971) *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53565DAF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0.899(0.8,1.009)</w:t>
            </w:r>
          </w:p>
        </w:tc>
        <w:tc>
          <w:tcPr>
            <w:tcW w:w="2125" w:type="dxa"/>
            <w:tcBorders>
              <w:top w:val="nil"/>
              <w:bottom w:val="single" w:sz="4" w:space="0" w:color="000000"/>
            </w:tcBorders>
            <w:vAlign w:val="center"/>
          </w:tcPr>
          <w:p w14:paraId="3354F631" w14:textId="77777777" w:rsidR="00730A82" w:rsidRPr="00C61A10" w:rsidRDefault="00730A82" w:rsidP="0090698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0.898(0.8,1.008)</w:t>
            </w:r>
          </w:p>
        </w:tc>
      </w:tr>
    </w:tbl>
    <w:p w14:paraId="7DE4287C" w14:textId="77777777" w:rsidR="00730A82" w:rsidRDefault="00730A82" w:rsidP="00730A82">
      <w:pPr>
        <w:rPr>
          <w:rFonts w:ascii="Times New Roman" w:hAnsi="Times New Roman" w:cs="Times New Roman"/>
          <w:color w:val="0D0D0D" w:themeColor="text1" w:themeTint="F2"/>
          <w:sz w:val="20"/>
          <w:szCs w:val="20"/>
        </w:rPr>
      </w:pPr>
      <w:r w:rsidRPr="00C61A10">
        <w:rPr>
          <w:rFonts w:ascii="Times New Roman" w:hAnsi="Times New Roman" w:cs="Times New Roman"/>
          <w:bCs/>
          <w:i/>
          <w:color w:val="0D0D0D" w:themeColor="text1" w:themeTint="F2"/>
          <w:sz w:val="20"/>
          <w:szCs w:val="20"/>
        </w:rPr>
        <w:t xml:space="preserve">                 Notes</w:t>
      </w:r>
      <w:r w:rsidRPr="00C61A10">
        <w:rPr>
          <w:rFonts w:ascii="Times New Roman" w:hAnsi="Times New Roman" w:cs="Times New Roman"/>
          <w:bCs/>
          <w:color w:val="0D0D0D" w:themeColor="text1" w:themeTint="F2"/>
          <w:sz w:val="20"/>
          <w:szCs w:val="20"/>
        </w:rPr>
        <w:t>: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IRR: incidence rate ratio; PC: place connectivity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2018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;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CI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: Confidence interval; *: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p</w:t>
      </w:r>
      <w:r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 xml:space="preserve"> 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&lt;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0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.05; **: </w:t>
      </w:r>
      <w:r w:rsidRPr="00C61A10"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>p</w:t>
      </w:r>
      <w:r>
        <w:rPr>
          <w:rFonts w:ascii="Times New Roman" w:hAnsi="Times New Roman" w:cs="Times New Roman"/>
          <w:i/>
          <w:color w:val="0D0D0D" w:themeColor="text1" w:themeTint="F2"/>
          <w:sz w:val="20"/>
          <w:szCs w:val="20"/>
        </w:rPr>
        <w:t xml:space="preserve"> 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&lt;</w:t>
      </w:r>
      <w:r>
        <w:rPr>
          <w:rFonts w:ascii="Times New Roman" w:hAnsi="Times New Roman" w:cs="Times New Roman"/>
          <w:color w:val="0D0D0D" w:themeColor="text1" w:themeTint="F2"/>
          <w:sz w:val="20"/>
          <w:szCs w:val="20"/>
        </w:rPr>
        <w:t xml:space="preserve"> 0</w:t>
      </w:r>
      <w:r w:rsidRPr="00C61A10">
        <w:rPr>
          <w:rFonts w:ascii="Times New Roman" w:hAnsi="Times New Roman" w:cs="Times New Roman"/>
          <w:color w:val="0D0D0D" w:themeColor="text1" w:themeTint="F2"/>
          <w:sz w:val="20"/>
          <w:szCs w:val="20"/>
        </w:rPr>
        <w:t>.001.</w:t>
      </w:r>
    </w:p>
    <w:p w14:paraId="58A413F9" w14:textId="77777777" w:rsidR="00626B31" w:rsidRDefault="00626B31"/>
    <w:sectPr w:rsidR="00626B31" w:rsidSect="00342598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53178" w14:textId="77777777" w:rsidR="00CC4477" w:rsidRDefault="00CC4477" w:rsidP="002524BF">
      <w:pPr>
        <w:spacing w:after="0" w:line="240" w:lineRule="auto"/>
      </w:pPr>
      <w:r>
        <w:separator/>
      </w:r>
    </w:p>
  </w:endnote>
  <w:endnote w:type="continuationSeparator" w:id="0">
    <w:p w14:paraId="03D21E61" w14:textId="77777777" w:rsidR="00CC4477" w:rsidRDefault="00CC4477" w:rsidP="0025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80276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6A23EB" w14:textId="28266A1E" w:rsidR="002524BF" w:rsidRDefault="002524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25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214B6E" w14:textId="77777777" w:rsidR="002524BF" w:rsidRDefault="00252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53084" w14:textId="77777777" w:rsidR="00CC4477" w:rsidRDefault="00CC4477" w:rsidP="002524BF">
      <w:pPr>
        <w:spacing w:after="0" w:line="240" w:lineRule="auto"/>
      </w:pPr>
      <w:r>
        <w:separator/>
      </w:r>
    </w:p>
  </w:footnote>
  <w:footnote w:type="continuationSeparator" w:id="0">
    <w:p w14:paraId="03B992E2" w14:textId="77777777" w:rsidR="00CC4477" w:rsidRDefault="00CC4477" w:rsidP="00252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A82"/>
    <w:rsid w:val="002524BF"/>
    <w:rsid w:val="00342598"/>
    <w:rsid w:val="004B7CDE"/>
    <w:rsid w:val="00626B31"/>
    <w:rsid w:val="006D494B"/>
    <w:rsid w:val="00730A82"/>
    <w:rsid w:val="008C764B"/>
    <w:rsid w:val="00CC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A5D1B"/>
  <w15:chartTrackingRefBased/>
  <w15:docId w15:val="{3265BE3E-6812-46A0-8006-0DF248E4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A82"/>
    <w:rPr>
      <w:rFonts w:eastAsia="SimSu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0A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730A8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730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52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24BF"/>
    <w:rPr>
      <w:rFonts w:eastAsia="SimSun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24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24BF"/>
    <w:rPr>
      <w:rFonts w:eastAsia="SimSu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Jing, Fengrui</dc:creator>
  <cp:keywords/>
  <dc:description/>
  <cp:lastModifiedBy>Mary Rose Caro</cp:lastModifiedBy>
  <cp:revision>4</cp:revision>
  <dcterms:created xsi:type="dcterms:W3CDTF">2022-06-24T14:59:00Z</dcterms:created>
  <dcterms:modified xsi:type="dcterms:W3CDTF">2022-12-02T10:59:00Z</dcterms:modified>
</cp:coreProperties>
</file>