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60E1" w:rsidRPr="00FC2526" w:rsidRDefault="009B60E1" w:rsidP="009B60E1">
      <w:pPr>
        <w:spacing w:line="360" w:lineRule="auto"/>
        <w:rPr>
          <w:rFonts w:ascii="Times New Roman" w:hAnsi="Times New Roman" w:cs="Times New Roman"/>
          <w:b/>
          <w:bCs/>
          <w:sz w:val="24"/>
          <w:szCs w:val="24"/>
        </w:rPr>
      </w:pPr>
      <w:r w:rsidRPr="00FC2526">
        <w:rPr>
          <w:rFonts w:ascii="Times New Roman" w:hAnsi="Times New Roman" w:cs="Times New Roman"/>
          <w:b/>
          <w:bCs/>
          <w:sz w:val="24"/>
          <w:szCs w:val="24"/>
        </w:rPr>
        <w:t xml:space="preserve">Supplement. </w:t>
      </w:r>
    </w:p>
    <w:p w:rsidR="009B60E1" w:rsidRPr="00FC2526" w:rsidRDefault="009B60E1" w:rsidP="009B60E1">
      <w:pPr>
        <w:spacing w:after="0" w:line="360" w:lineRule="auto"/>
        <w:rPr>
          <w:rFonts w:ascii="Times New Roman" w:hAnsi="Times New Roman" w:cs="Times New Roman"/>
          <w:b/>
          <w:bCs/>
          <w:iCs/>
          <w:sz w:val="24"/>
          <w:szCs w:val="24"/>
        </w:rPr>
      </w:pPr>
      <w:r w:rsidRPr="00FC2526">
        <w:rPr>
          <w:rFonts w:ascii="Times New Roman" w:hAnsi="Times New Roman" w:cs="Times New Roman"/>
          <w:b/>
          <w:bCs/>
          <w:sz w:val="24"/>
          <w:szCs w:val="24"/>
        </w:rPr>
        <w:t xml:space="preserve">Table A1. </w:t>
      </w:r>
      <w:r w:rsidRPr="00FC2526">
        <w:rPr>
          <w:rFonts w:ascii="Times New Roman" w:hAnsi="Times New Roman" w:cs="Times New Roman"/>
          <w:b/>
          <w:bCs/>
          <w:iCs/>
          <w:sz w:val="24"/>
          <w:szCs w:val="24"/>
        </w:rPr>
        <w:t xml:space="preserve">Sugar-sweetened beverage purchases by household socioeconomic status and price </w:t>
      </w:r>
      <w:proofErr w:type="spellStart"/>
      <w:r w:rsidRPr="00FC2526">
        <w:rPr>
          <w:rFonts w:ascii="Times New Roman" w:hAnsi="Times New Roman" w:cs="Times New Roman"/>
          <w:b/>
          <w:bCs/>
          <w:iCs/>
          <w:sz w:val="24"/>
          <w:szCs w:val="24"/>
        </w:rPr>
        <w:t>tertile</w:t>
      </w:r>
      <w:proofErr w:type="spellEnd"/>
    </w:p>
    <w:tbl>
      <w:tblPr>
        <w:tblW w:w="12680" w:type="dxa"/>
        <w:tblLook w:val="04A0" w:firstRow="1" w:lastRow="0" w:firstColumn="1" w:lastColumn="0" w:noHBand="0" w:noVBand="1"/>
      </w:tblPr>
      <w:tblGrid>
        <w:gridCol w:w="3340"/>
        <w:gridCol w:w="2880"/>
        <w:gridCol w:w="1640"/>
        <w:gridCol w:w="271"/>
        <w:gridCol w:w="1740"/>
        <w:gridCol w:w="271"/>
        <w:gridCol w:w="1200"/>
        <w:gridCol w:w="1480"/>
      </w:tblGrid>
      <w:tr w:rsidR="009B60E1" w:rsidRPr="00FC2526" w:rsidTr="00417FA8">
        <w:trPr>
          <w:trHeight w:val="276"/>
        </w:trPr>
        <w:tc>
          <w:tcPr>
            <w:tcW w:w="33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sz w:val="24"/>
                <w:szCs w:val="24"/>
              </w:rPr>
            </w:pPr>
          </w:p>
        </w:tc>
        <w:tc>
          <w:tcPr>
            <w:tcW w:w="28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b/>
                <w:bCs/>
                <w:color w:val="000000"/>
              </w:rPr>
            </w:pPr>
            <w:r w:rsidRPr="00FC2526">
              <w:rPr>
                <w:rFonts w:ascii="Times New Roman" w:eastAsia="Times New Roman" w:hAnsi="Times New Roman" w:cs="Times New Roman"/>
                <w:b/>
                <w:bCs/>
                <w:color w:val="000000"/>
              </w:rPr>
              <w:t xml:space="preserve">2012-13 </w:t>
            </w:r>
          </w:p>
          <w:p w:rsidR="009B60E1" w:rsidRPr="00FC2526" w:rsidRDefault="009B60E1" w:rsidP="00417FA8">
            <w:pPr>
              <w:spacing w:after="0" w:line="240" w:lineRule="auto"/>
              <w:jc w:val="center"/>
              <w:rPr>
                <w:rFonts w:ascii="Times New Roman" w:eastAsia="Times New Roman" w:hAnsi="Times New Roman" w:cs="Times New Roman"/>
                <w:b/>
                <w:bCs/>
                <w:color w:val="000000"/>
              </w:rPr>
            </w:pPr>
            <w:r w:rsidRPr="00FC2526">
              <w:rPr>
                <w:rFonts w:ascii="Times New Roman" w:eastAsia="Times New Roman" w:hAnsi="Times New Roman" w:cs="Times New Roman"/>
                <w:b/>
                <w:bCs/>
                <w:color w:val="000000"/>
              </w:rPr>
              <w:t>(pre-tax)</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b/>
                <w:bCs/>
                <w:color w:val="000000"/>
              </w:rPr>
            </w:pPr>
          </w:p>
        </w:tc>
        <w:tc>
          <w:tcPr>
            <w:tcW w:w="17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b/>
                <w:bCs/>
                <w:color w:val="000000"/>
              </w:rPr>
            </w:pPr>
            <w:r w:rsidRPr="00FC2526">
              <w:rPr>
                <w:rFonts w:ascii="Times New Roman" w:eastAsia="Times New Roman" w:hAnsi="Times New Roman" w:cs="Times New Roman"/>
                <w:b/>
                <w:bCs/>
                <w:color w:val="000000"/>
              </w:rPr>
              <w:t xml:space="preserve">2014-15 </w:t>
            </w:r>
          </w:p>
          <w:p w:rsidR="009B60E1" w:rsidRPr="00FC2526" w:rsidRDefault="009B60E1" w:rsidP="00417FA8">
            <w:pPr>
              <w:spacing w:after="0" w:line="240" w:lineRule="auto"/>
              <w:jc w:val="center"/>
              <w:rPr>
                <w:rFonts w:ascii="Times New Roman" w:eastAsia="Times New Roman" w:hAnsi="Times New Roman" w:cs="Times New Roman"/>
                <w:b/>
                <w:bCs/>
                <w:color w:val="000000"/>
              </w:rPr>
            </w:pPr>
            <w:r w:rsidRPr="00FC2526">
              <w:rPr>
                <w:rFonts w:ascii="Times New Roman" w:eastAsia="Times New Roman" w:hAnsi="Times New Roman" w:cs="Times New Roman"/>
                <w:b/>
                <w:bCs/>
                <w:color w:val="000000"/>
              </w:rPr>
              <w:t>(post-tax)</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b/>
                <w:bCs/>
                <w:color w:val="000000"/>
              </w:rPr>
            </w:pPr>
          </w:p>
        </w:tc>
        <w:tc>
          <w:tcPr>
            <w:tcW w:w="2680" w:type="dxa"/>
            <w:gridSpan w:val="2"/>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b/>
                <w:bCs/>
                <w:color w:val="000000"/>
              </w:rPr>
            </w:pPr>
            <w:r w:rsidRPr="00FC2526">
              <w:rPr>
                <w:rFonts w:ascii="Times New Roman" w:eastAsia="Times New Roman" w:hAnsi="Times New Roman" w:cs="Times New Roman"/>
                <w:b/>
                <w:bCs/>
                <w:color w:val="000000"/>
              </w:rPr>
              <w:t>Difference 2014-15 vs 2013-2012</w:t>
            </w:r>
          </w:p>
        </w:tc>
      </w:tr>
      <w:tr w:rsidR="009B60E1" w:rsidRPr="00FC2526" w:rsidTr="00417FA8">
        <w:trPr>
          <w:trHeight w:val="276"/>
        </w:trPr>
        <w:tc>
          <w:tcPr>
            <w:tcW w:w="3340" w:type="dxa"/>
            <w:tcBorders>
              <w:top w:val="nil"/>
              <w:left w:val="nil"/>
              <w:bottom w:val="single" w:sz="4" w:space="0" w:color="auto"/>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b/>
                <w:bCs/>
                <w:color w:val="000000"/>
              </w:rPr>
            </w:pPr>
            <w:r w:rsidRPr="00FC2526">
              <w:rPr>
                <w:rFonts w:ascii="Times New Roman" w:eastAsia="Times New Roman" w:hAnsi="Times New Roman" w:cs="Times New Roman"/>
                <w:b/>
                <w:bCs/>
                <w:color w:val="000000"/>
              </w:rPr>
              <w:t>SSB purchases (ml/per capita/day)</w:t>
            </w:r>
          </w:p>
        </w:tc>
        <w:tc>
          <w:tcPr>
            <w:tcW w:w="2880" w:type="dxa"/>
            <w:tcBorders>
              <w:top w:val="nil"/>
              <w:left w:val="nil"/>
              <w:bottom w:val="single" w:sz="4" w:space="0" w:color="auto"/>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b/>
                <w:bCs/>
                <w:color w:val="000000"/>
              </w:rPr>
            </w:pPr>
            <w:r w:rsidRPr="00FC2526">
              <w:rPr>
                <w:rFonts w:ascii="Times New Roman" w:eastAsia="Times New Roman" w:hAnsi="Times New Roman" w:cs="Times New Roman"/>
                <w:b/>
                <w:bCs/>
                <w:color w:val="000000"/>
              </w:rPr>
              <w:t>Socio-Economic Status (SES)</w:t>
            </w:r>
          </w:p>
        </w:tc>
        <w:tc>
          <w:tcPr>
            <w:tcW w:w="1640" w:type="dxa"/>
            <w:tcBorders>
              <w:top w:val="nil"/>
              <w:left w:val="nil"/>
              <w:bottom w:val="single" w:sz="4" w:space="0" w:color="auto"/>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b/>
                <w:bCs/>
                <w:color w:val="000000"/>
              </w:rPr>
            </w:pPr>
            <w:r w:rsidRPr="00FC2526">
              <w:rPr>
                <w:rFonts w:ascii="Times New Roman" w:eastAsia="Times New Roman" w:hAnsi="Times New Roman" w:cs="Times New Roman"/>
                <w:b/>
                <w:bCs/>
                <w:color w:val="000000"/>
              </w:rPr>
              <w:t>Mean</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b/>
                <w:bCs/>
                <w:color w:val="000000"/>
              </w:rPr>
            </w:pPr>
          </w:p>
        </w:tc>
        <w:tc>
          <w:tcPr>
            <w:tcW w:w="1740" w:type="dxa"/>
            <w:tcBorders>
              <w:top w:val="nil"/>
              <w:left w:val="nil"/>
              <w:bottom w:val="single" w:sz="4" w:space="0" w:color="auto"/>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b/>
                <w:bCs/>
                <w:color w:val="000000"/>
              </w:rPr>
            </w:pPr>
            <w:r w:rsidRPr="00FC2526">
              <w:rPr>
                <w:rFonts w:ascii="Times New Roman" w:eastAsia="Times New Roman" w:hAnsi="Times New Roman" w:cs="Times New Roman"/>
                <w:b/>
                <w:bCs/>
                <w:color w:val="000000"/>
              </w:rPr>
              <w:t>Mean</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b/>
                <w:bCs/>
                <w:color w:val="000000"/>
              </w:rPr>
            </w:pPr>
          </w:p>
        </w:tc>
        <w:tc>
          <w:tcPr>
            <w:tcW w:w="1200" w:type="dxa"/>
            <w:tcBorders>
              <w:top w:val="nil"/>
              <w:left w:val="nil"/>
              <w:bottom w:val="single" w:sz="4" w:space="0" w:color="auto"/>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b/>
                <w:bCs/>
                <w:color w:val="000000"/>
              </w:rPr>
            </w:pPr>
            <w:r w:rsidRPr="00FC2526">
              <w:rPr>
                <w:rFonts w:ascii="Times New Roman" w:eastAsia="Times New Roman" w:hAnsi="Times New Roman" w:cs="Times New Roman"/>
                <w:b/>
                <w:bCs/>
                <w:color w:val="000000"/>
              </w:rPr>
              <w:t>Mean</w:t>
            </w:r>
          </w:p>
        </w:tc>
        <w:tc>
          <w:tcPr>
            <w:tcW w:w="1480" w:type="dxa"/>
            <w:tcBorders>
              <w:top w:val="nil"/>
              <w:left w:val="nil"/>
              <w:bottom w:val="single" w:sz="4" w:space="0" w:color="auto"/>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b/>
                <w:bCs/>
                <w:color w:val="000000"/>
              </w:rPr>
            </w:pPr>
            <w:r w:rsidRPr="00FC2526">
              <w:rPr>
                <w:rFonts w:ascii="Times New Roman" w:eastAsia="Times New Roman" w:hAnsi="Times New Roman" w:cs="Times New Roman"/>
                <w:b/>
                <w:bCs/>
                <w:color w:val="000000"/>
              </w:rPr>
              <w:t>P-value</w:t>
            </w:r>
          </w:p>
        </w:tc>
      </w:tr>
      <w:tr w:rsidR="009B60E1" w:rsidRPr="00FC2526" w:rsidTr="00417FA8">
        <w:trPr>
          <w:trHeight w:val="276"/>
        </w:trPr>
        <w:tc>
          <w:tcPr>
            <w:tcW w:w="33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b/>
                <w:bCs/>
                <w:color w:val="000000"/>
              </w:rPr>
            </w:pPr>
            <w:r w:rsidRPr="00FC2526">
              <w:rPr>
                <w:rFonts w:ascii="Times New Roman" w:eastAsia="Times New Roman" w:hAnsi="Times New Roman" w:cs="Times New Roman"/>
                <w:b/>
                <w:bCs/>
                <w:color w:val="000000"/>
              </w:rPr>
              <w:t>Low-SSB prices</w:t>
            </w:r>
          </w:p>
        </w:tc>
        <w:tc>
          <w:tcPr>
            <w:tcW w:w="28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color w:val="000000"/>
              </w:rPr>
            </w:pPr>
            <w:r w:rsidRPr="00FC2526">
              <w:rPr>
                <w:rFonts w:ascii="Times New Roman" w:eastAsia="Times New Roman" w:hAnsi="Times New Roman" w:cs="Times New Roman"/>
                <w:color w:val="000000"/>
              </w:rPr>
              <w:t>Low-SES households</w:t>
            </w:r>
          </w:p>
        </w:tc>
        <w:tc>
          <w:tcPr>
            <w:tcW w:w="16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129.92</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7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109.19</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-20.73</w:t>
            </w:r>
          </w:p>
        </w:tc>
        <w:tc>
          <w:tcPr>
            <w:tcW w:w="14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0.00</w:t>
            </w:r>
          </w:p>
        </w:tc>
      </w:tr>
      <w:tr w:rsidR="009B60E1" w:rsidRPr="00FC2526" w:rsidTr="00417FA8">
        <w:trPr>
          <w:trHeight w:val="276"/>
        </w:trPr>
        <w:tc>
          <w:tcPr>
            <w:tcW w:w="33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28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color w:val="000000"/>
              </w:rPr>
            </w:pPr>
            <w:r w:rsidRPr="00FC2526">
              <w:rPr>
                <w:rFonts w:ascii="Times New Roman" w:eastAsia="Times New Roman" w:hAnsi="Times New Roman" w:cs="Times New Roman"/>
                <w:color w:val="000000"/>
              </w:rPr>
              <w:t>Middle-SES households</w:t>
            </w:r>
          </w:p>
        </w:tc>
        <w:tc>
          <w:tcPr>
            <w:tcW w:w="16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116.32</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7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104.45</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-11.87</w:t>
            </w:r>
          </w:p>
        </w:tc>
        <w:tc>
          <w:tcPr>
            <w:tcW w:w="14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0.00</w:t>
            </w:r>
          </w:p>
        </w:tc>
      </w:tr>
      <w:tr w:rsidR="009B60E1" w:rsidRPr="00FC2526" w:rsidTr="00417FA8">
        <w:trPr>
          <w:trHeight w:val="276"/>
        </w:trPr>
        <w:tc>
          <w:tcPr>
            <w:tcW w:w="33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28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color w:val="000000"/>
              </w:rPr>
            </w:pPr>
            <w:r w:rsidRPr="00FC2526">
              <w:rPr>
                <w:rFonts w:ascii="Times New Roman" w:eastAsia="Times New Roman" w:hAnsi="Times New Roman" w:cs="Times New Roman"/>
                <w:color w:val="000000"/>
              </w:rPr>
              <w:t>High-SES households</w:t>
            </w:r>
          </w:p>
        </w:tc>
        <w:tc>
          <w:tcPr>
            <w:tcW w:w="16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88.10</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7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82.60</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-5.51</w:t>
            </w:r>
          </w:p>
        </w:tc>
        <w:tc>
          <w:tcPr>
            <w:tcW w:w="14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0.02</w:t>
            </w:r>
          </w:p>
        </w:tc>
      </w:tr>
      <w:tr w:rsidR="009B60E1" w:rsidRPr="00FC2526" w:rsidTr="00417FA8">
        <w:trPr>
          <w:trHeight w:val="276"/>
        </w:trPr>
        <w:tc>
          <w:tcPr>
            <w:tcW w:w="33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28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sz w:val="20"/>
                <w:szCs w:val="20"/>
              </w:rPr>
            </w:pP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sz w:val="20"/>
                <w:szCs w:val="20"/>
              </w:rPr>
            </w:pPr>
          </w:p>
        </w:tc>
        <w:tc>
          <w:tcPr>
            <w:tcW w:w="17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sz w:val="20"/>
                <w:szCs w:val="20"/>
              </w:rPr>
            </w:pP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sz w:val="20"/>
                <w:szCs w:val="20"/>
              </w:rPr>
            </w:pPr>
          </w:p>
        </w:tc>
        <w:tc>
          <w:tcPr>
            <w:tcW w:w="14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sz w:val="20"/>
                <w:szCs w:val="20"/>
              </w:rPr>
            </w:pPr>
          </w:p>
        </w:tc>
      </w:tr>
      <w:tr w:rsidR="009B60E1" w:rsidRPr="00FC2526" w:rsidTr="00417FA8">
        <w:trPr>
          <w:trHeight w:val="276"/>
        </w:trPr>
        <w:tc>
          <w:tcPr>
            <w:tcW w:w="33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b/>
                <w:bCs/>
                <w:color w:val="000000"/>
              </w:rPr>
            </w:pPr>
            <w:r w:rsidRPr="00FC2526">
              <w:rPr>
                <w:rFonts w:ascii="Times New Roman" w:eastAsia="Times New Roman" w:hAnsi="Times New Roman" w:cs="Times New Roman"/>
                <w:b/>
                <w:bCs/>
                <w:color w:val="000000"/>
              </w:rPr>
              <w:t>Middle-SSB prices</w:t>
            </w:r>
          </w:p>
        </w:tc>
        <w:tc>
          <w:tcPr>
            <w:tcW w:w="28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color w:val="000000"/>
              </w:rPr>
            </w:pPr>
            <w:r w:rsidRPr="00FC2526">
              <w:rPr>
                <w:rFonts w:ascii="Times New Roman" w:eastAsia="Times New Roman" w:hAnsi="Times New Roman" w:cs="Times New Roman"/>
                <w:color w:val="000000"/>
              </w:rPr>
              <w:t>Low-SES households</w:t>
            </w:r>
          </w:p>
        </w:tc>
        <w:tc>
          <w:tcPr>
            <w:tcW w:w="16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64.12</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7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46.46</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-17.65</w:t>
            </w:r>
          </w:p>
        </w:tc>
        <w:tc>
          <w:tcPr>
            <w:tcW w:w="14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0.00</w:t>
            </w:r>
          </w:p>
        </w:tc>
      </w:tr>
      <w:tr w:rsidR="009B60E1" w:rsidRPr="00FC2526" w:rsidTr="00417FA8">
        <w:trPr>
          <w:trHeight w:val="276"/>
        </w:trPr>
        <w:tc>
          <w:tcPr>
            <w:tcW w:w="33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28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color w:val="000000"/>
              </w:rPr>
            </w:pPr>
            <w:r w:rsidRPr="00FC2526">
              <w:rPr>
                <w:rFonts w:ascii="Times New Roman" w:eastAsia="Times New Roman" w:hAnsi="Times New Roman" w:cs="Times New Roman"/>
                <w:color w:val="000000"/>
              </w:rPr>
              <w:t>Middle-SES households</w:t>
            </w:r>
          </w:p>
        </w:tc>
        <w:tc>
          <w:tcPr>
            <w:tcW w:w="16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60.75</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7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50.80</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-9.95</w:t>
            </w:r>
          </w:p>
        </w:tc>
        <w:tc>
          <w:tcPr>
            <w:tcW w:w="14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0.00</w:t>
            </w:r>
          </w:p>
        </w:tc>
      </w:tr>
      <w:tr w:rsidR="009B60E1" w:rsidRPr="00FC2526" w:rsidTr="00417FA8">
        <w:trPr>
          <w:trHeight w:val="276"/>
        </w:trPr>
        <w:tc>
          <w:tcPr>
            <w:tcW w:w="33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28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color w:val="000000"/>
              </w:rPr>
            </w:pPr>
            <w:r w:rsidRPr="00FC2526">
              <w:rPr>
                <w:rFonts w:ascii="Times New Roman" w:eastAsia="Times New Roman" w:hAnsi="Times New Roman" w:cs="Times New Roman"/>
                <w:color w:val="000000"/>
              </w:rPr>
              <w:t>High-SES households</w:t>
            </w:r>
          </w:p>
        </w:tc>
        <w:tc>
          <w:tcPr>
            <w:tcW w:w="16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58.51</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7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44.85</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-13.66</w:t>
            </w:r>
          </w:p>
        </w:tc>
        <w:tc>
          <w:tcPr>
            <w:tcW w:w="14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0.00</w:t>
            </w:r>
          </w:p>
        </w:tc>
      </w:tr>
      <w:tr w:rsidR="009B60E1" w:rsidRPr="00FC2526" w:rsidTr="00417FA8">
        <w:trPr>
          <w:trHeight w:val="276"/>
        </w:trPr>
        <w:tc>
          <w:tcPr>
            <w:tcW w:w="33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28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sz w:val="20"/>
                <w:szCs w:val="20"/>
              </w:rPr>
            </w:pP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sz w:val="20"/>
                <w:szCs w:val="20"/>
              </w:rPr>
            </w:pPr>
          </w:p>
        </w:tc>
        <w:tc>
          <w:tcPr>
            <w:tcW w:w="17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sz w:val="20"/>
                <w:szCs w:val="20"/>
              </w:rPr>
            </w:pP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sz w:val="20"/>
                <w:szCs w:val="20"/>
              </w:rPr>
            </w:pPr>
          </w:p>
        </w:tc>
        <w:tc>
          <w:tcPr>
            <w:tcW w:w="14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sz w:val="20"/>
                <w:szCs w:val="20"/>
              </w:rPr>
            </w:pPr>
          </w:p>
        </w:tc>
      </w:tr>
      <w:tr w:rsidR="009B60E1" w:rsidRPr="00FC2526" w:rsidTr="00417FA8">
        <w:trPr>
          <w:trHeight w:val="276"/>
        </w:trPr>
        <w:tc>
          <w:tcPr>
            <w:tcW w:w="33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b/>
                <w:bCs/>
                <w:color w:val="000000"/>
              </w:rPr>
            </w:pPr>
            <w:r w:rsidRPr="00FC2526">
              <w:rPr>
                <w:rFonts w:ascii="Times New Roman" w:eastAsia="Times New Roman" w:hAnsi="Times New Roman" w:cs="Times New Roman"/>
                <w:b/>
                <w:bCs/>
                <w:color w:val="000000"/>
              </w:rPr>
              <w:t>High-SSB prices</w:t>
            </w:r>
          </w:p>
        </w:tc>
        <w:tc>
          <w:tcPr>
            <w:tcW w:w="28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color w:val="000000"/>
              </w:rPr>
            </w:pPr>
            <w:r w:rsidRPr="00FC2526">
              <w:rPr>
                <w:rFonts w:ascii="Times New Roman" w:eastAsia="Times New Roman" w:hAnsi="Times New Roman" w:cs="Times New Roman"/>
                <w:color w:val="000000"/>
              </w:rPr>
              <w:t>Low-SES households</w:t>
            </w:r>
          </w:p>
        </w:tc>
        <w:tc>
          <w:tcPr>
            <w:tcW w:w="16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18.60</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7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14.09</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-4.51</w:t>
            </w:r>
          </w:p>
        </w:tc>
        <w:tc>
          <w:tcPr>
            <w:tcW w:w="14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0.00</w:t>
            </w:r>
          </w:p>
        </w:tc>
      </w:tr>
      <w:tr w:rsidR="009B60E1" w:rsidRPr="00FC2526" w:rsidTr="00417FA8">
        <w:trPr>
          <w:trHeight w:val="276"/>
        </w:trPr>
        <w:tc>
          <w:tcPr>
            <w:tcW w:w="33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28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color w:val="000000"/>
              </w:rPr>
            </w:pPr>
            <w:r w:rsidRPr="00FC2526">
              <w:rPr>
                <w:rFonts w:ascii="Times New Roman" w:eastAsia="Times New Roman" w:hAnsi="Times New Roman" w:cs="Times New Roman"/>
                <w:color w:val="000000"/>
              </w:rPr>
              <w:t>Middle-SES households</w:t>
            </w:r>
          </w:p>
        </w:tc>
        <w:tc>
          <w:tcPr>
            <w:tcW w:w="16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19.15</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7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14.71</w:t>
            </w: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c>
          <w:tcPr>
            <w:tcW w:w="1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-4.44</w:t>
            </w:r>
          </w:p>
        </w:tc>
        <w:tc>
          <w:tcPr>
            <w:tcW w:w="14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0.00</w:t>
            </w:r>
          </w:p>
        </w:tc>
      </w:tr>
      <w:tr w:rsidR="009B60E1" w:rsidRPr="00FC2526" w:rsidTr="00417FA8">
        <w:trPr>
          <w:trHeight w:val="288"/>
        </w:trPr>
        <w:tc>
          <w:tcPr>
            <w:tcW w:w="3340" w:type="dxa"/>
            <w:tcBorders>
              <w:top w:val="nil"/>
              <w:left w:val="nil"/>
              <w:bottom w:val="double" w:sz="6" w:space="0" w:color="auto"/>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color w:val="000000"/>
              </w:rPr>
            </w:pPr>
            <w:r w:rsidRPr="00FC2526">
              <w:rPr>
                <w:rFonts w:ascii="Times New Roman" w:eastAsia="Times New Roman" w:hAnsi="Times New Roman" w:cs="Times New Roman"/>
                <w:color w:val="000000"/>
              </w:rPr>
              <w:t> </w:t>
            </w:r>
          </w:p>
        </w:tc>
        <w:tc>
          <w:tcPr>
            <w:tcW w:w="2880" w:type="dxa"/>
            <w:tcBorders>
              <w:top w:val="nil"/>
              <w:left w:val="nil"/>
              <w:bottom w:val="double" w:sz="6" w:space="0" w:color="auto"/>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color w:val="000000"/>
              </w:rPr>
            </w:pPr>
            <w:r w:rsidRPr="00FC2526">
              <w:rPr>
                <w:rFonts w:ascii="Times New Roman" w:eastAsia="Times New Roman" w:hAnsi="Times New Roman" w:cs="Times New Roman"/>
                <w:color w:val="000000"/>
              </w:rPr>
              <w:t>High-SES households</w:t>
            </w:r>
          </w:p>
        </w:tc>
        <w:tc>
          <w:tcPr>
            <w:tcW w:w="1640" w:type="dxa"/>
            <w:tcBorders>
              <w:top w:val="nil"/>
              <w:left w:val="nil"/>
              <w:bottom w:val="double" w:sz="6" w:space="0" w:color="auto"/>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21.51</w:t>
            </w:r>
          </w:p>
        </w:tc>
        <w:tc>
          <w:tcPr>
            <w:tcW w:w="200" w:type="dxa"/>
            <w:tcBorders>
              <w:top w:val="nil"/>
              <w:left w:val="nil"/>
              <w:bottom w:val="double" w:sz="6" w:space="0" w:color="auto"/>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 </w:t>
            </w:r>
          </w:p>
        </w:tc>
        <w:tc>
          <w:tcPr>
            <w:tcW w:w="1740" w:type="dxa"/>
            <w:tcBorders>
              <w:top w:val="nil"/>
              <w:left w:val="nil"/>
              <w:bottom w:val="double" w:sz="6" w:space="0" w:color="auto"/>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16.73</w:t>
            </w:r>
          </w:p>
        </w:tc>
        <w:tc>
          <w:tcPr>
            <w:tcW w:w="200" w:type="dxa"/>
            <w:tcBorders>
              <w:top w:val="nil"/>
              <w:left w:val="nil"/>
              <w:bottom w:val="double" w:sz="6" w:space="0" w:color="auto"/>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 </w:t>
            </w:r>
          </w:p>
        </w:tc>
        <w:tc>
          <w:tcPr>
            <w:tcW w:w="1200" w:type="dxa"/>
            <w:tcBorders>
              <w:top w:val="nil"/>
              <w:left w:val="nil"/>
              <w:bottom w:val="double" w:sz="6" w:space="0" w:color="auto"/>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-4.78</w:t>
            </w:r>
          </w:p>
        </w:tc>
        <w:tc>
          <w:tcPr>
            <w:tcW w:w="1480" w:type="dxa"/>
            <w:tcBorders>
              <w:top w:val="nil"/>
              <w:left w:val="nil"/>
              <w:bottom w:val="double" w:sz="6" w:space="0" w:color="auto"/>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0.00</w:t>
            </w:r>
          </w:p>
        </w:tc>
      </w:tr>
      <w:tr w:rsidR="009B60E1" w:rsidRPr="00FC2526" w:rsidTr="00417FA8">
        <w:trPr>
          <w:trHeight w:val="288"/>
        </w:trPr>
        <w:tc>
          <w:tcPr>
            <w:tcW w:w="33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b/>
                <w:bCs/>
                <w:color w:val="000000"/>
              </w:rPr>
            </w:pPr>
            <w:r w:rsidRPr="00FC2526">
              <w:rPr>
                <w:rFonts w:ascii="Times New Roman" w:eastAsia="Times New Roman" w:hAnsi="Times New Roman" w:cs="Times New Roman"/>
                <w:b/>
                <w:bCs/>
                <w:color w:val="000000"/>
              </w:rPr>
              <w:t>Observations</w:t>
            </w:r>
          </w:p>
        </w:tc>
        <w:tc>
          <w:tcPr>
            <w:tcW w:w="28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b/>
                <w:bCs/>
                <w:color w:val="000000"/>
              </w:rPr>
            </w:pPr>
          </w:p>
        </w:tc>
        <w:tc>
          <w:tcPr>
            <w:tcW w:w="16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rPr>
                <w:rFonts w:ascii="Times New Roman" w:eastAsia="Times New Roman" w:hAnsi="Times New Roman" w:cs="Times New Roman"/>
                <w:sz w:val="20"/>
                <w:szCs w:val="20"/>
              </w:rPr>
            </w:pP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sz w:val="20"/>
                <w:szCs w:val="20"/>
              </w:rPr>
            </w:pPr>
          </w:p>
        </w:tc>
        <w:tc>
          <w:tcPr>
            <w:tcW w:w="174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sz w:val="20"/>
                <w:szCs w:val="20"/>
              </w:rPr>
            </w:pPr>
          </w:p>
        </w:tc>
        <w:tc>
          <w:tcPr>
            <w:tcW w:w="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sz w:val="20"/>
                <w:szCs w:val="20"/>
              </w:rPr>
            </w:pPr>
          </w:p>
        </w:tc>
        <w:tc>
          <w:tcPr>
            <w:tcW w:w="120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r w:rsidRPr="00FC2526">
              <w:rPr>
                <w:rFonts w:ascii="Times New Roman" w:eastAsia="Times New Roman" w:hAnsi="Times New Roman" w:cs="Times New Roman"/>
                <w:color w:val="000000"/>
              </w:rPr>
              <w:t>7776</w:t>
            </w:r>
          </w:p>
        </w:tc>
        <w:tc>
          <w:tcPr>
            <w:tcW w:w="1480" w:type="dxa"/>
            <w:tcBorders>
              <w:top w:val="nil"/>
              <w:left w:val="nil"/>
              <w:bottom w:val="nil"/>
              <w:right w:val="nil"/>
            </w:tcBorders>
            <w:shd w:val="clear" w:color="auto" w:fill="auto"/>
            <w:noWrap/>
            <w:vAlign w:val="bottom"/>
            <w:hideMark/>
          </w:tcPr>
          <w:p w:rsidR="009B60E1" w:rsidRPr="00FC2526" w:rsidRDefault="009B60E1" w:rsidP="00417FA8">
            <w:pPr>
              <w:spacing w:after="0" w:line="240" w:lineRule="auto"/>
              <w:jc w:val="center"/>
              <w:rPr>
                <w:rFonts w:ascii="Times New Roman" w:eastAsia="Times New Roman" w:hAnsi="Times New Roman" w:cs="Times New Roman"/>
                <w:color w:val="000000"/>
              </w:rPr>
            </w:pPr>
          </w:p>
        </w:tc>
      </w:tr>
      <w:tr w:rsidR="009B60E1" w:rsidRPr="00FC2526" w:rsidTr="00417FA8">
        <w:trPr>
          <w:trHeight w:val="720"/>
        </w:trPr>
        <w:tc>
          <w:tcPr>
            <w:tcW w:w="12680" w:type="dxa"/>
            <w:gridSpan w:val="8"/>
            <w:tcBorders>
              <w:top w:val="nil"/>
              <w:left w:val="nil"/>
              <w:bottom w:val="nil"/>
              <w:right w:val="nil"/>
            </w:tcBorders>
            <w:shd w:val="clear" w:color="auto" w:fill="auto"/>
            <w:vAlign w:val="bottom"/>
            <w:hideMark/>
          </w:tcPr>
          <w:p w:rsidR="009B60E1" w:rsidRPr="00FC2526" w:rsidRDefault="009B60E1" w:rsidP="00417FA8">
            <w:pPr>
              <w:spacing w:after="0" w:line="240" w:lineRule="auto"/>
              <w:rPr>
                <w:rFonts w:ascii="Times New Roman" w:eastAsia="Times New Roman" w:hAnsi="Times New Roman" w:cs="Times New Roman"/>
                <w:color w:val="000000"/>
                <w:sz w:val="16"/>
                <w:szCs w:val="16"/>
              </w:rPr>
            </w:pPr>
            <w:r w:rsidRPr="00FC2526">
              <w:rPr>
                <w:rFonts w:ascii="Times New Roman" w:eastAsia="Times New Roman" w:hAnsi="Times New Roman" w:cs="Times New Roman"/>
                <w:color w:val="000000"/>
                <w:sz w:val="16"/>
                <w:szCs w:val="16"/>
              </w:rPr>
              <w:t xml:space="preserve">Note: SSB, sugar-sweetened beverages. Population </w:t>
            </w:r>
            <w:r w:rsidR="00CD467B" w:rsidRPr="00FC2526">
              <w:rPr>
                <w:rFonts w:ascii="Times New Roman" w:eastAsia="Times New Roman" w:hAnsi="Times New Roman" w:cs="Times New Roman"/>
                <w:color w:val="000000"/>
                <w:sz w:val="16"/>
                <w:szCs w:val="16"/>
              </w:rPr>
              <w:t>weighted</w:t>
            </w:r>
            <w:bookmarkStart w:id="0" w:name="_GoBack"/>
            <w:bookmarkEnd w:id="0"/>
            <w:r w:rsidRPr="00FC2526">
              <w:rPr>
                <w:rFonts w:ascii="Times New Roman" w:eastAsia="Times New Roman" w:hAnsi="Times New Roman" w:cs="Times New Roman"/>
                <w:color w:val="000000"/>
                <w:sz w:val="16"/>
                <w:szCs w:val="16"/>
              </w:rPr>
              <w:t xml:space="preserve"> summary statistics.  Mexican pesos. Source: Authors’ own analyses and calculations based on data from Nielsen through its Mexico Consumer Panel Service (CPS) for the food and beverage categories for January 2012 – December 2015. The Nielsen Company, 2016. The conclusions drawn from the Nielsen data are those of UNC and do not reflect the views of Nielsen. Nielsen is not responsible for and had no role in, and was not involved in, analyzing and preparing the results reported herein.</w:t>
            </w:r>
          </w:p>
        </w:tc>
      </w:tr>
    </w:tbl>
    <w:p w:rsidR="009B60E1" w:rsidRPr="00FC2526" w:rsidRDefault="009B60E1" w:rsidP="009B60E1">
      <w:pPr>
        <w:spacing w:line="360" w:lineRule="auto"/>
        <w:rPr>
          <w:rFonts w:ascii="Times New Roman" w:hAnsi="Times New Roman" w:cs="Times New Roman"/>
          <w:b/>
          <w:bCs/>
          <w:sz w:val="24"/>
          <w:szCs w:val="24"/>
        </w:rPr>
      </w:pPr>
    </w:p>
    <w:p w:rsidR="009B60E1" w:rsidRPr="00FC2526" w:rsidRDefault="009B60E1" w:rsidP="009B6FD6">
      <w:pPr>
        <w:rPr>
          <w:rFonts w:ascii="Times New Roman" w:hAnsi="Times New Roman" w:cs="Times New Roman"/>
          <w:b/>
          <w:bCs/>
          <w:sz w:val="24"/>
          <w:szCs w:val="24"/>
        </w:rPr>
        <w:sectPr w:rsidR="009B60E1" w:rsidRPr="00FC2526" w:rsidSect="00B3281E">
          <w:pgSz w:w="15840" w:h="12240" w:orient="landscape"/>
          <w:pgMar w:top="1440" w:right="1440" w:bottom="1440" w:left="1440" w:header="720" w:footer="720" w:gutter="0"/>
          <w:lnNumType w:countBy="1" w:restart="continuous"/>
          <w:cols w:space="720"/>
          <w:docGrid w:linePitch="360"/>
        </w:sectPr>
      </w:pPr>
    </w:p>
    <w:p w:rsidR="00DE1003" w:rsidRDefault="00DE1003"/>
    <w:sectPr w:rsidR="00DE1003" w:rsidSect="00BA12B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E1"/>
    <w:rsid w:val="00201B29"/>
    <w:rsid w:val="00212CCF"/>
    <w:rsid w:val="00233429"/>
    <w:rsid w:val="00247642"/>
    <w:rsid w:val="00251EA6"/>
    <w:rsid w:val="002E0EA9"/>
    <w:rsid w:val="00304E43"/>
    <w:rsid w:val="003C7145"/>
    <w:rsid w:val="00402D1C"/>
    <w:rsid w:val="005C69E5"/>
    <w:rsid w:val="006E3DC4"/>
    <w:rsid w:val="007C77E3"/>
    <w:rsid w:val="009B60E1"/>
    <w:rsid w:val="009B6FD6"/>
    <w:rsid w:val="00B35890"/>
    <w:rsid w:val="00B94CF5"/>
    <w:rsid w:val="00BA12B3"/>
    <w:rsid w:val="00CC397A"/>
    <w:rsid w:val="00CD467B"/>
    <w:rsid w:val="00DE1003"/>
    <w:rsid w:val="00F30123"/>
    <w:rsid w:val="00F3428C"/>
    <w:rsid w:val="00F91B1A"/>
    <w:rsid w:val="00FA5BA6"/>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F6617AE7-0995-A84B-9469-F5BDA0AF0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B60E1"/>
    <w:pPr>
      <w:spacing w:after="160" w:line="259" w:lineRule="auto"/>
    </w:pPr>
    <w:rPr>
      <w:sz w:val="22"/>
      <w:szCs w:val="22"/>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lnea">
    <w:name w:val="line number"/>
    <w:basedOn w:val="Fuentedeprrafopredeter"/>
    <w:uiPriority w:val="99"/>
    <w:semiHidden/>
    <w:unhideWhenUsed/>
    <w:rsid w:val="009B6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207</Words>
  <Characters>1142</Characters>
  <Application>Microsoft Office Word</Application>
  <DocSecurity>0</DocSecurity>
  <Lines>9</Lines>
  <Paragraphs>2</Paragraphs>
  <ScaleCrop>false</ScaleCrop>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Arantxa Colchero</dc:creator>
  <cp:keywords/>
  <dc:description/>
  <cp:lastModifiedBy>Arantxa Colchero</cp:lastModifiedBy>
  <cp:revision>3</cp:revision>
  <dcterms:created xsi:type="dcterms:W3CDTF">2022-09-20T14:14:00Z</dcterms:created>
  <dcterms:modified xsi:type="dcterms:W3CDTF">2022-12-14T23:15:00Z</dcterms:modified>
</cp:coreProperties>
</file>