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55761" w14:textId="77777777" w:rsidR="00C832BD" w:rsidRPr="00C832BD" w:rsidRDefault="00C832BD" w:rsidP="009D68D3">
      <w:pPr>
        <w:pStyle w:val="Heading1"/>
        <w:spacing w:before="0" w:line="276" w:lineRule="auto"/>
        <w:jc w:val="both"/>
        <w:rPr>
          <w:rFonts w:ascii="Calibri" w:hAnsi="Calibri" w:cs="Calibri"/>
          <w:b/>
          <w:bCs/>
          <w:color w:val="000000" w:themeColor="text1"/>
          <w:sz w:val="22"/>
          <w:szCs w:val="22"/>
          <w:u w:val="single"/>
          <w:lang w:val="en-GB"/>
        </w:rPr>
      </w:pPr>
      <w:bookmarkStart w:id="0" w:name="_Toc117171982"/>
      <w:r w:rsidRPr="00C832BD">
        <w:rPr>
          <w:rFonts w:ascii="Calibri" w:hAnsi="Calibri" w:cs="Calibri"/>
          <w:b/>
          <w:bCs/>
          <w:color w:val="000000" w:themeColor="text1"/>
          <w:sz w:val="22"/>
          <w:szCs w:val="22"/>
          <w:u w:val="single"/>
          <w:lang w:val="en-GB"/>
        </w:rPr>
        <w:t>Supplementary materials</w:t>
      </w:r>
    </w:p>
    <w:p w14:paraId="22D2678C" w14:textId="207F5BDE" w:rsidR="009D68D3" w:rsidRDefault="00C832BD" w:rsidP="009D68D3">
      <w:pPr>
        <w:pStyle w:val="Heading1"/>
        <w:spacing w:before="0" w:line="276" w:lineRule="auto"/>
        <w:jc w:val="both"/>
        <w:rPr>
          <w:rFonts w:ascii="Calibri" w:hAnsi="Calibri" w:cs="Calibri"/>
          <w:b/>
          <w:bCs/>
          <w:color w:val="000000" w:themeColor="text1"/>
          <w:sz w:val="22"/>
          <w:szCs w:val="22"/>
          <w:lang w:val="en-GB"/>
        </w:rPr>
      </w:pPr>
      <w:r>
        <w:rPr>
          <w:rFonts w:ascii="Calibri" w:hAnsi="Calibri" w:cs="Calibri"/>
          <w:b/>
          <w:bCs/>
          <w:color w:val="000000" w:themeColor="text1"/>
          <w:sz w:val="22"/>
          <w:szCs w:val="22"/>
          <w:lang w:val="en-GB"/>
        </w:rPr>
        <w:t>Tuberculosis in older adults: case studies from four countries with rapidly ageing populations in the Western Pacific Region</w:t>
      </w:r>
    </w:p>
    <w:p w14:paraId="50F41F1A" w14:textId="49396A52" w:rsidR="00C832BD" w:rsidRDefault="00C832BD" w:rsidP="00C832BD">
      <w:pPr>
        <w:rPr>
          <w:lang w:val="en-GB" w:eastAsia="zh-CN"/>
        </w:rPr>
      </w:pPr>
    </w:p>
    <w:p w14:paraId="229DDD0B" w14:textId="2029FF97" w:rsidR="00F35233" w:rsidRDefault="00F35233" w:rsidP="00F35233">
      <w:pPr>
        <w:jc w:val="both"/>
        <w:rPr>
          <w:color w:val="000000" w:themeColor="text1"/>
          <w:sz w:val="22"/>
          <w:szCs w:val="22"/>
          <w:lang w:val="en-GB"/>
        </w:rPr>
      </w:pPr>
      <w:r w:rsidRPr="00F35233">
        <w:rPr>
          <w:color w:val="000000" w:themeColor="text1"/>
          <w:sz w:val="22"/>
          <w:szCs w:val="22"/>
          <w:lang w:val="en-GB"/>
        </w:rPr>
        <w:t xml:space="preserve">We used findings from </w:t>
      </w:r>
      <w:r>
        <w:rPr>
          <w:color w:val="000000" w:themeColor="text1"/>
          <w:sz w:val="22"/>
          <w:szCs w:val="22"/>
          <w:lang w:val="en-GB"/>
        </w:rPr>
        <w:t>a</w:t>
      </w:r>
      <w:r w:rsidRPr="00F35233">
        <w:rPr>
          <w:color w:val="000000" w:themeColor="text1"/>
          <w:sz w:val="22"/>
          <w:szCs w:val="22"/>
          <w:lang w:val="en-GB"/>
        </w:rPr>
        <w:t xml:space="preserve"> narrative review performed separately to support the experiences shared by key stakeholders (co-authors) in the 4 countries. </w:t>
      </w:r>
      <w:r>
        <w:rPr>
          <w:color w:val="000000" w:themeColor="text1"/>
          <w:sz w:val="22"/>
          <w:szCs w:val="22"/>
          <w:lang w:val="en-GB"/>
        </w:rPr>
        <w:t xml:space="preserve">The narrative review aimed to describe </w:t>
      </w:r>
      <w:r w:rsidRPr="00F35233">
        <w:rPr>
          <w:color w:val="000000" w:themeColor="text1"/>
          <w:sz w:val="22"/>
          <w:szCs w:val="22"/>
          <w:lang w:val="en-GB"/>
        </w:rPr>
        <w:t>the risk factors for TB disease and transmission, as well as the clinical manifestations of TB in older adults. The review also aimed to highlight key challenges and associated strategies, as well as research priorities, in TB transmission, detection, diagnosis, treatment and post-TB health among older adults in the Western Pacific Region.</w:t>
      </w:r>
    </w:p>
    <w:p w14:paraId="3AB0A33B" w14:textId="1D35C6AA" w:rsidR="00F35233" w:rsidRDefault="00F35233" w:rsidP="00F35233">
      <w:pPr>
        <w:ind w:firstLine="720"/>
        <w:jc w:val="both"/>
        <w:rPr>
          <w:color w:val="000000" w:themeColor="text1"/>
          <w:sz w:val="22"/>
          <w:szCs w:val="22"/>
          <w:lang w:val="en-GB"/>
        </w:rPr>
      </w:pPr>
      <w:r w:rsidRPr="00F35233">
        <w:rPr>
          <w:color w:val="000000" w:themeColor="text1"/>
          <w:sz w:val="22"/>
          <w:szCs w:val="22"/>
          <w:lang w:val="en-GB"/>
        </w:rPr>
        <w:t xml:space="preserve">This study focused on case studies instead of the narrative review. Therefore, we present methods used for the narrative review methods as supplementary </w:t>
      </w:r>
      <w:r>
        <w:rPr>
          <w:color w:val="000000" w:themeColor="text1"/>
          <w:sz w:val="22"/>
          <w:szCs w:val="22"/>
          <w:lang w:val="en-GB"/>
        </w:rPr>
        <w:t>information as follows:</w:t>
      </w:r>
    </w:p>
    <w:p w14:paraId="6CE83D13" w14:textId="77777777" w:rsidR="00F35233" w:rsidRPr="00F35233" w:rsidRDefault="00F35233" w:rsidP="00F35233">
      <w:pPr>
        <w:jc w:val="both"/>
        <w:rPr>
          <w:color w:val="000000" w:themeColor="text1"/>
          <w:sz w:val="22"/>
          <w:szCs w:val="22"/>
          <w:lang w:val="en-GB"/>
        </w:rPr>
      </w:pPr>
    </w:p>
    <w:p w14:paraId="5FEFCA07" w14:textId="4D146779" w:rsidR="009D68D3" w:rsidRPr="003C341F" w:rsidRDefault="009D68D3" w:rsidP="009D68D3">
      <w:pPr>
        <w:pStyle w:val="Heading1"/>
        <w:spacing w:before="0" w:line="276" w:lineRule="auto"/>
        <w:jc w:val="both"/>
        <w:rPr>
          <w:rFonts w:ascii="Calibri" w:hAnsi="Calibri" w:cs="Calibri"/>
          <w:b/>
          <w:bCs/>
          <w:color w:val="000000" w:themeColor="text1"/>
          <w:sz w:val="22"/>
          <w:szCs w:val="22"/>
          <w:lang w:val="en-GB"/>
        </w:rPr>
      </w:pPr>
      <w:r w:rsidRPr="003C341F">
        <w:rPr>
          <w:rFonts w:ascii="Calibri" w:hAnsi="Calibri" w:cs="Calibri"/>
          <w:b/>
          <w:bCs/>
          <w:color w:val="000000" w:themeColor="text1"/>
          <w:sz w:val="22"/>
          <w:szCs w:val="22"/>
          <w:lang w:val="en-GB"/>
        </w:rPr>
        <w:t>Methods</w:t>
      </w:r>
      <w:bookmarkEnd w:id="0"/>
      <w:r>
        <w:rPr>
          <w:rFonts w:ascii="Calibri" w:hAnsi="Calibri" w:cs="Calibri"/>
          <w:b/>
          <w:bCs/>
          <w:color w:val="000000" w:themeColor="text1"/>
          <w:sz w:val="22"/>
          <w:szCs w:val="22"/>
          <w:lang w:val="en-GB"/>
        </w:rPr>
        <w:t xml:space="preserve"> </w:t>
      </w:r>
    </w:p>
    <w:p w14:paraId="39DB248A" w14:textId="4DEEADE7" w:rsidR="009D68D3" w:rsidRPr="003C341F" w:rsidRDefault="009D68D3" w:rsidP="009D68D3">
      <w:pPr>
        <w:spacing w:line="276" w:lineRule="auto"/>
        <w:jc w:val="both"/>
        <w:rPr>
          <w:color w:val="000000" w:themeColor="text1"/>
          <w:sz w:val="22"/>
          <w:szCs w:val="22"/>
          <w:lang w:val="en-GB"/>
        </w:rPr>
      </w:pPr>
      <w:r w:rsidRPr="003C341F">
        <w:rPr>
          <w:color w:val="000000" w:themeColor="text1"/>
          <w:sz w:val="22"/>
          <w:szCs w:val="22"/>
          <w:lang w:val="en-GB"/>
        </w:rPr>
        <w:t xml:space="preserve">We </w:t>
      </w:r>
      <w:r w:rsidR="00462378">
        <w:rPr>
          <w:color w:val="000000" w:themeColor="text1"/>
          <w:sz w:val="22"/>
          <w:szCs w:val="22"/>
          <w:lang w:val="en-GB"/>
        </w:rPr>
        <w:t>conducted</w:t>
      </w:r>
      <w:r w:rsidRPr="003C341F">
        <w:rPr>
          <w:color w:val="000000" w:themeColor="text1"/>
          <w:sz w:val="22"/>
          <w:szCs w:val="22"/>
          <w:lang w:val="en-GB"/>
        </w:rPr>
        <w:t xml:space="preserve"> a narrative review of the available literature on PubMed published between 1996 and 2021. </w:t>
      </w:r>
      <w:r w:rsidR="00462378">
        <w:rPr>
          <w:color w:val="000000" w:themeColor="text1"/>
          <w:sz w:val="22"/>
          <w:szCs w:val="22"/>
          <w:lang w:val="en-GB"/>
        </w:rPr>
        <w:t>T</w:t>
      </w:r>
      <w:r w:rsidR="00462378" w:rsidRPr="003C341F">
        <w:rPr>
          <w:color w:val="000000" w:themeColor="text1"/>
          <w:sz w:val="22"/>
          <w:szCs w:val="22"/>
          <w:lang w:val="en-GB"/>
        </w:rPr>
        <w:t>here were no language restrictions</w:t>
      </w:r>
      <w:r w:rsidR="00462378">
        <w:rPr>
          <w:color w:val="000000" w:themeColor="text1"/>
          <w:sz w:val="22"/>
          <w:szCs w:val="22"/>
          <w:lang w:val="en-GB"/>
        </w:rPr>
        <w:t>, and s</w:t>
      </w:r>
      <w:r w:rsidRPr="003C341F">
        <w:rPr>
          <w:color w:val="000000" w:themeColor="text1"/>
          <w:sz w:val="22"/>
          <w:szCs w:val="22"/>
          <w:lang w:val="en-GB"/>
        </w:rPr>
        <w:t xml:space="preserve">earch </w:t>
      </w:r>
      <w:r w:rsidR="00462378">
        <w:rPr>
          <w:color w:val="000000" w:themeColor="text1"/>
          <w:sz w:val="22"/>
          <w:szCs w:val="22"/>
          <w:lang w:val="en-GB"/>
        </w:rPr>
        <w:t>phrases</w:t>
      </w:r>
      <w:r w:rsidRPr="003C341F">
        <w:rPr>
          <w:color w:val="000000" w:themeColor="text1"/>
          <w:sz w:val="22"/>
          <w:szCs w:val="22"/>
          <w:lang w:val="en-GB"/>
        </w:rPr>
        <w:t xml:space="preserve"> </w:t>
      </w:r>
      <w:r w:rsidR="00462378">
        <w:rPr>
          <w:color w:val="000000" w:themeColor="text1"/>
          <w:sz w:val="22"/>
          <w:szCs w:val="22"/>
          <w:lang w:val="en-GB"/>
        </w:rPr>
        <w:t>comprised</w:t>
      </w:r>
      <w:r w:rsidRPr="003C341F">
        <w:rPr>
          <w:color w:val="000000" w:themeColor="text1"/>
          <w:sz w:val="22"/>
          <w:szCs w:val="22"/>
          <w:lang w:val="en-GB"/>
        </w:rPr>
        <w:t xml:space="preserve"> a combination of “aging”, “ageing”, “older people”, “elderly”, and “tuberculosis” (free-text index terms and Medical Subject Headings terms)</w:t>
      </w:r>
      <w:r w:rsidR="00462378">
        <w:rPr>
          <w:color w:val="000000" w:themeColor="text1"/>
          <w:sz w:val="22"/>
          <w:szCs w:val="22"/>
          <w:lang w:val="en-GB"/>
        </w:rPr>
        <w:t xml:space="preserve">. </w:t>
      </w:r>
      <w:r w:rsidRPr="003C341F">
        <w:rPr>
          <w:color w:val="000000" w:themeColor="text1"/>
          <w:sz w:val="22"/>
          <w:szCs w:val="22"/>
          <w:lang w:val="en-GB"/>
        </w:rPr>
        <w:t xml:space="preserve">Boolean operators “OR” and “AND” were used to search for articles relevant to TB in older adults. </w:t>
      </w:r>
    </w:p>
    <w:p w14:paraId="27158C2A" w14:textId="09EB0C81" w:rsidR="009D68D3" w:rsidRPr="003C341F" w:rsidRDefault="00932A11" w:rsidP="00932A11">
      <w:pPr>
        <w:spacing w:line="276" w:lineRule="auto"/>
        <w:ind w:firstLine="720"/>
        <w:jc w:val="both"/>
        <w:rPr>
          <w:color w:val="000000" w:themeColor="text1"/>
          <w:sz w:val="22"/>
          <w:szCs w:val="22"/>
        </w:rPr>
      </w:pPr>
      <w:r w:rsidRPr="003C341F">
        <w:rPr>
          <w:color w:val="000000" w:themeColor="text1"/>
          <w:sz w:val="22"/>
          <w:szCs w:val="22"/>
        </w:rPr>
        <w:t>We focused our search on country experiences reported from the Western Pacific Region</w:t>
      </w:r>
      <w:r w:rsidRPr="003C341F">
        <w:rPr>
          <w:color w:val="000000" w:themeColor="text1"/>
          <w:sz w:val="22"/>
          <w:szCs w:val="22"/>
          <w:lang w:val="en-GB"/>
        </w:rPr>
        <w:t>, as defined by WHO.</w:t>
      </w:r>
      <w:r w:rsidRPr="003C341F">
        <w:rPr>
          <w:color w:val="000000" w:themeColor="text1"/>
          <w:sz w:val="22"/>
          <w:szCs w:val="22"/>
          <w:lang w:val="en-GB"/>
        </w:rPr>
        <w:fldChar w:fldCharType="begin"/>
      </w:r>
      <w:r>
        <w:rPr>
          <w:color w:val="000000" w:themeColor="text1"/>
          <w:sz w:val="22"/>
          <w:szCs w:val="22"/>
          <w:lang w:val="en-GB"/>
        </w:rPr>
        <w:instrText xml:space="preserve"> ADDIN ZOTERO_ITEM CSL_CITATION {"citationID":"BChbEuJS","properties":{"formattedCitation":"\\super 1\\nosupersub{}","plainCitation":"1","noteIndex":0},"citationItems":[{"id":971,"uris":["http://zotero.org/groups/4532767/items/5JC3337L"],"itemData":{"id":971,"type":"webpage","language":"en","title":"World Health Organization: Western Pacific - where we work","URL":"https://www.who.int/westernpacific/about/where-we-work","author":[{"family":"World Health Organization Regional Office for the Western Pacific","given":""}],"accessed":{"date-parts":[["2022",4,18]]},"issued":{"date-parts":[["2009"]]}}}],"schema":"https://github.com/citation-style-language/schema/raw/master/csl-citation.json"} </w:instrText>
      </w:r>
      <w:r w:rsidRPr="003C341F">
        <w:rPr>
          <w:color w:val="000000" w:themeColor="text1"/>
          <w:sz w:val="22"/>
          <w:szCs w:val="22"/>
          <w:lang w:val="en-GB"/>
        </w:rPr>
        <w:fldChar w:fldCharType="separate"/>
      </w:r>
      <w:r w:rsidRPr="00B63E2A">
        <w:rPr>
          <w:color w:val="000000"/>
          <w:sz w:val="22"/>
          <w:vertAlign w:val="superscript"/>
          <w:lang w:val="en-GB"/>
        </w:rPr>
        <w:t>1</w:t>
      </w:r>
      <w:r w:rsidRPr="003C341F">
        <w:rPr>
          <w:color w:val="000000" w:themeColor="text1"/>
          <w:sz w:val="22"/>
          <w:szCs w:val="22"/>
          <w:lang w:val="en-GB"/>
        </w:rPr>
        <w:fldChar w:fldCharType="end"/>
      </w:r>
      <w:r>
        <w:rPr>
          <w:color w:val="000000" w:themeColor="text1"/>
          <w:sz w:val="22"/>
          <w:szCs w:val="22"/>
          <w:lang w:val="en-GB"/>
        </w:rPr>
        <w:t xml:space="preserve"> </w:t>
      </w:r>
      <w:r w:rsidRPr="00932A11">
        <w:rPr>
          <w:color w:val="000000" w:themeColor="text1"/>
          <w:sz w:val="22"/>
          <w:szCs w:val="22"/>
        </w:rPr>
        <w:t>In the review of general subject topics, we included studies that described the risk factors, transmission and reactivation, and clinical manifestations of TB disease among older adults.</w:t>
      </w:r>
      <w:r>
        <w:rPr>
          <w:color w:val="000000" w:themeColor="text1"/>
          <w:sz w:val="22"/>
          <w:szCs w:val="22"/>
        </w:rPr>
        <w:t xml:space="preserve"> However, </w:t>
      </w:r>
      <w:r>
        <w:rPr>
          <w:color w:val="000000" w:themeColor="text1"/>
          <w:sz w:val="22"/>
          <w:szCs w:val="22"/>
          <w:lang w:val="en-GB"/>
        </w:rPr>
        <w:t>d</w:t>
      </w:r>
      <w:r w:rsidR="009D68D3" w:rsidRPr="003C341F">
        <w:rPr>
          <w:color w:val="000000" w:themeColor="text1"/>
          <w:sz w:val="22"/>
          <w:szCs w:val="22"/>
          <w:lang w:val="en-GB"/>
        </w:rPr>
        <w:t xml:space="preserve">ue to the breadth of the topic areas covered, </w:t>
      </w:r>
      <w:r w:rsidRPr="00932A11">
        <w:rPr>
          <w:color w:val="000000" w:themeColor="text1"/>
          <w:sz w:val="22"/>
          <w:szCs w:val="22"/>
          <w:lang w:val="en-GB"/>
        </w:rPr>
        <w:t xml:space="preserve">undertook a purposive approach </w:t>
      </w:r>
      <w:r w:rsidRPr="00932A11">
        <w:rPr>
          <w:color w:val="000000" w:themeColor="text1"/>
          <w:sz w:val="22"/>
          <w:szCs w:val="22"/>
        </w:rPr>
        <w:t xml:space="preserve">in article selection </w:t>
      </w:r>
      <w:r>
        <w:rPr>
          <w:color w:val="000000" w:themeColor="text1"/>
          <w:sz w:val="22"/>
          <w:szCs w:val="22"/>
        </w:rPr>
        <w:t xml:space="preserve">of </w:t>
      </w:r>
      <w:r w:rsidR="009D68D3" w:rsidRPr="003C341F">
        <w:rPr>
          <w:color w:val="000000" w:themeColor="text1"/>
          <w:sz w:val="22"/>
          <w:szCs w:val="22"/>
        </w:rPr>
        <w:t xml:space="preserve">relevant articles from the region, as well as articles providing a more general overview (e.g., systematic reviews, meta-analyses, and narrative reviews). In addition, we reviewed the reference lists of selected articles and consulted a range of regional stakeholders to ensure that key areas within each domain were presented and discussed. </w:t>
      </w:r>
    </w:p>
    <w:p w14:paraId="51B09172" w14:textId="37D1D7FB" w:rsidR="009D68D3" w:rsidRPr="009D68D3" w:rsidRDefault="00932A11" w:rsidP="009D68D3">
      <w:pPr>
        <w:spacing w:line="276" w:lineRule="auto"/>
        <w:ind w:firstLine="720"/>
        <w:jc w:val="both"/>
        <w:rPr>
          <w:i/>
          <w:iCs/>
          <w:color w:val="000000" w:themeColor="text1"/>
          <w:sz w:val="22"/>
          <w:szCs w:val="22"/>
        </w:rPr>
      </w:pPr>
      <w:r>
        <w:rPr>
          <w:color w:val="000000" w:themeColor="text1"/>
          <w:sz w:val="22"/>
          <w:szCs w:val="22"/>
        </w:rPr>
        <w:t>For country-specific experiences, w</w:t>
      </w:r>
      <w:r w:rsidR="009D68D3" w:rsidRPr="003C341F">
        <w:rPr>
          <w:color w:val="000000" w:themeColor="text1"/>
          <w:sz w:val="22"/>
          <w:szCs w:val="22"/>
        </w:rPr>
        <w:t>e included studies that described challenges, interventions, and policies in managing TB among older adults along the care cascade</w:t>
      </w:r>
      <w:r>
        <w:rPr>
          <w:color w:val="000000" w:themeColor="text1"/>
          <w:sz w:val="22"/>
          <w:szCs w:val="22"/>
        </w:rPr>
        <w:t xml:space="preserve"> in the region</w:t>
      </w:r>
      <w:r w:rsidR="009D68D3" w:rsidRPr="003C341F">
        <w:rPr>
          <w:color w:val="000000" w:themeColor="text1"/>
          <w:sz w:val="22"/>
          <w:szCs w:val="22"/>
        </w:rPr>
        <w:t>. Works outside the region and among populations not identified as older adults were excluded. In total, we identified 759 unduplicated records, of which 91 full texts were reviewed after initial title screening (</w:t>
      </w:r>
      <w:r w:rsidR="009D68D3" w:rsidRPr="003C341F">
        <w:rPr>
          <w:b/>
          <w:bCs/>
          <w:color w:val="000000" w:themeColor="text1"/>
          <w:sz w:val="22"/>
          <w:szCs w:val="22"/>
        </w:rPr>
        <w:t>Supplementary</w:t>
      </w:r>
      <w:r w:rsidR="009D68D3">
        <w:rPr>
          <w:color w:val="000000" w:themeColor="text1"/>
          <w:sz w:val="22"/>
          <w:szCs w:val="22"/>
        </w:rPr>
        <w:t xml:space="preserve"> </w:t>
      </w:r>
      <w:r w:rsidR="009D68D3" w:rsidRPr="003C341F">
        <w:rPr>
          <w:b/>
          <w:bCs/>
          <w:color w:val="000000" w:themeColor="text1"/>
          <w:sz w:val="22"/>
          <w:szCs w:val="22"/>
        </w:rPr>
        <w:t>Figure 1</w:t>
      </w:r>
      <w:r w:rsidR="009D68D3" w:rsidRPr="003C341F">
        <w:rPr>
          <w:color w:val="000000" w:themeColor="text1"/>
          <w:sz w:val="22"/>
          <w:szCs w:val="22"/>
        </w:rPr>
        <w:t>).</w:t>
      </w:r>
      <w:r w:rsidR="009D68D3" w:rsidRPr="003C341F">
        <w:rPr>
          <w:color w:val="000000" w:themeColor="text1"/>
          <w:sz w:val="22"/>
          <w:szCs w:val="22"/>
          <w:lang w:val="en-GB"/>
        </w:rPr>
        <w:t xml:space="preserve"> </w:t>
      </w:r>
      <w:r w:rsidRPr="00932A11">
        <w:rPr>
          <w:color w:val="000000" w:themeColor="text1"/>
          <w:sz w:val="22"/>
          <w:szCs w:val="22"/>
        </w:rPr>
        <w:t xml:space="preserve">The stakeholders and co-authors reviewed multiple iterations of the narrative and reference lists. Additional references were suggested and added to ensure completeness and relevance to the specified scope of the review. </w:t>
      </w:r>
      <w:r w:rsidR="009D68D3">
        <w:rPr>
          <w:color w:val="000000" w:themeColor="text1"/>
          <w:sz w:val="22"/>
          <w:szCs w:val="22"/>
        </w:rPr>
        <w:t>The first author (AKJT) performed the d</w:t>
      </w:r>
      <w:r w:rsidR="009D68D3" w:rsidRPr="003C341F">
        <w:rPr>
          <w:color w:val="000000" w:themeColor="text1"/>
          <w:sz w:val="22"/>
          <w:szCs w:val="22"/>
        </w:rPr>
        <w:t xml:space="preserve">atabase searches, </w:t>
      </w:r>
      <w:r>
        <w:rPr>
          <w:color w:val="000000" w:themeColor="text1"/>
          <w:sz w:val="22"/>
          <w:szCs w:val="22"/>
        </w:rPr>
        <w:t>screened articles based on the inclusion and exclusion criteria, and extracted information</w:t>
      </w:r>
      <w:r w:rsidR="009D68D3">
        <w:rPr>
          <w:color w:val="000000" w:themeColor="text1"/>
          <w:sz w:val="22"/>
          <w:szCs w:val="22"/>
          <w:lang w:val="en-GB"/>
        </w:rPr>
        <w:t xml:space="preserve">. The </w:t>
      </w:r>
      <w:r w:rsidR="009D68D3" w:rsidRPr="00A91EB6">
        <w:rPr>
          <w:color w:val="000000" w:themeColor="text1"/>
          <w:sz w:val="22"/>
          <w:szCs w:val="22"/>
          <w:lang w:val="en-GB"/>
        </w:rPr>
        <w:t>processes were verified by FM</w:t>
      </w:r>
      <w:r w:rsidR="009D68D3" w:rsidRPr="003C341F">
        <w:rPr>
          <w:color w:val="000000" w:themeColor="text1"/>
          <w:sz w:val="22"/>
          <w:szCs w:val="22"/>
          <w:lang w:val="en-GB"/>
        </w:rPr>
        <w:t>.</w:t>
      </w:r>
    </w:p>
    <w:p w14:paraId="7DC8B4AD" w14:textId="77777777" w:rsidR="009D68D3" w:rsidRDefault="009D68D3" w:rsidP="009D68D3">
      <w:pPr>
        <w:pStyle w:val="Heading1"/>
        <w:spacing w:before="0" w:line="276" w:lineRule="auto"/>
        <w:jc w:val="both"/>
        <w:rPr>
          <w:rFonts w:ascii="Calibri" w:eastAsiaTheme="minorEastAsia" w:hAnsi="Calibri" w:cs="Calibri"/>
          <w:color w:val="000000" w:themeColor="text1"/>
          <w:sz w:val="22"/>
          <w:szCs w:val="22"/>
          <w:lang w:val="en-GB" w:eastAsia="zh-TW"/>
        </w:rPr>
      </w:pPr>
    </w:p>
    <w:p w14:paraId="2B9A6F60" w14:textId="204EA1F9" w:rsidR="0066175B" w:rsidRDefault="0066175B">
      <w:pPr>
        <w:rPr>
          <w:lang w:val="en-GB"/>
        </w:rPr>
      </w:pPr>
    </w:p>
    <w:p w14:paraId="5FB0ED10" w14:textId="77777777" w:rsidR="009D68D3" w:rsidRDefault="009D68D3" w:rsidP="009D68D3">
      <w:pPr>
        <w:pStyle w:val="Heading2"/>
        <w:rPr>
          <w:rFonts w:ascii="Calibri" w:hAnsi="Calibri" w:cs="Calibri"/>
          <w:b/>
          <w:bCs/>
          <w:color w:val="000000" w:themeColor="text1"/>
          <w:sz w:val="22"/>
          <w:szCs w:val="22"/>
          <w:lang w:val="en-GB"/>
        </w:rPr>
        <w:sectPr w:rsidR="009D68D3">
          <w:pgSz w:w="11906" w:h="16838"/>
          <w:pgMar w:top="1440" w:right="1440" w:bottom="1440" w:left="1440" w:header="708" w:footer="708" w:gutter="0"/>
          <w:cols w:space="708"/>
          <w:docGrid w:linePitch="360"/>
        </w:sectPr>
      </w:pPr>
      <w:bookmarkStart w:id="1" w:name="_Toc117171985"/>
    </w:p>
    <w:p w14:paraId="03A8946B" w14:textId="7926C718" w:rsidR="009D68D3" w:rsidRPr="009D68D3" w:rsidRDefault="009D68D3" w:rsidP="009D68D3">
      <w:pPr>
        <w:pStyle w:val="Heading2"/>
        <w:rPr>
          <w:rFonts w:ascii="Calibri" w:hAnsi="Calibri" w:cs="Calibri"/>
          <w:b/>
          <w:bCs/>
          <w:color w:val="000000" w:themeColor="text1"/>
          <w:sz w:val="22"/>
          <w:szCs w:val="22"/>
          <w:lang w:val="en-GB"/>
        </w:rPr>
      </w:pPr>
      <w:r w:rsidRPr="00E9522F">
        <w:rPr>
          <w:rFonts w:ascii="Calibri" w:hAnsi="Calibri" w:cs="Calibri"/>
          <w:b/>
          <w:bCs/>
          <w:color w:val="000000" w:themeColor="text1"/>
          <w:sz w:val="22"/>
          <w:szCs w:val="22"/>
          <w:lang w:val="en-GB"/>
        </w:rPr>
        <w:lastRenderedPageBreak/>
        <w:t xml:space="preserve">Supplementary Figure 1: Flow diagram of literature search </w:t>
      </w:r>
      <w:r>
        <w:rPr>
          <w:rFonts w:ascii="Calibri" w:hAnsi="Calibri" w:cs="Calibri"/>
          <w:b/>
          <w:bCs/>
          <w:color w:val="000000" w:themeColor="text1"/>
          <w:sz w:val="22"/>
          <w:szCs w:val="22"/>
          <w:lang w:val="en-GB"/>
        </w:rPr>
        <w:t xml:space="preserve">addressing </w:t>
      </w:r>
      <w:r w:rsidRPr="00E9522F">
        <w:rPr>
          <w:rFonts w:ascii="Calibri" w:hAnsi="Calibri" w:cs="Calibri"/>
          <w:b/>
          <w:bCs/>
          <w:color w:val="000000" w:themeColor="text1"/>
          <w:sz w:val="22"/>
          <w:szCs w:val="22"/>
          <w:lang w:val="en-GB"/>
        </w:rPr>
        <w:t>key practices and challenges in addressing TB among older adults in the Western Pacific Region</w:t>
      </w:r>
      <w:bookmarkEnd w:id="1"/>
    </w:p>
    <w:p w14:paraId="5259F3EE" w14:textId="77777777" w:rsidR="009D68D3" w:rsidRDefault="009D68D3"/>
    <w:p w14:paraId="218356B5" w14:textId="77777777" w:rsidR="009D68D3" w:rsidRDefault="009D68D3">
      <w:pPr>
        <w:sectPr w:rsidR="009D68D3">
          <w:pgSz w:w="11906" w:h="16838"/>
          <w:pgMar w:top="1440" w:right="1440" w:bottom="1440" w:left="1440" w:header="708" w:footer="708" w:gutter="0"/>
          <w:cols w:space="708"/>
          <w:docGrid w:linePitch="360"/>
        </w:sectPr>
      </w:pPr>
      <w:r w:rsidRPr="00855590">
        <w:rPr>
          <w:rFonts w:eastAsia="Times New Roman"/>
          <w:noProof/>
          <w:color w:val="212121"/>
          <w:sz w:val="22"/>
          <w:szCs w:val="22"/>
        </w:rPr>
        <w:drawing>
          <wp:inline distT="0" distB="0" distL="0" distR="0" wp14:anchorId="3FB1E8A1" wp14:editId="273632F8">
            <wp:extent cx="5729468" cy="4353115"/>
            <wp:effectExtent l="0" t="0" r="0" b="317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4"/>
                    <a:stretch>
                      <a:fillRect/>
                    </a:stretch>
                  </pic:blipFill>
                  <pic:spPr>
                    <a:xfrm>
                      <a:off x="0" y="0"/>
                      <a:ext cx="5764297" cy="4379577"/>
                    </a:xfrm>
                    <a:prstGeom prst="rect">
                      <a:avLst/>
                    </a:prstGeom>
                  </pic:spPr>
                </pic:pic>
              </a:graphicData>
            </a:graphic>
          </wp:inline>
        </w:drawing>
      </w:r>
    </w:p>
    <w:p w14:paraId="2F5EA921" w14:textId="211DD63E" w:rsidR="009D68D3" w:rsidRDefault="009D68D3">
      <w:pPr>
        <w:rPr>
          <w:b/>
          <w:bCs/>
        </w:rPr>
      </w:pPr>
      <w:r>
        <w:rPr>
          <w:b/>
          <w:bCs/>
        </w:rPr>
        <w:lastRenderedPageBreak/>
        <w:t>References</w:t>
      </w:r>
    </w:p>
    <w:p w14:paraId="67EDC5D5" w14:textId="77777777" w:rsidR="009D68D3" w:rsidRPr="009D68D3" w:rsidRDefault="009D68D3" w:rsidP="009D68D3">
      <w:pPr>
        <w:pStyle w:val="Bibliography"/>
        <w:rPr>
          <w:lang w:val="en-GB"/>
        </w:rPr>
      </w:pPr>
      <w:r>
        <w:rPr>
          <w:b/>
          <w:bCs/>
        </w:rPr>
        <w:fldChar w:fldCharType="begin"/>
      </w:r>
      <w:r>
        <w:rPr>
          <w:b/>
          <w:bCs/>
        </w:rPr>
        <w:instrText xml:space="preserve"> ADDIN ZOTERO_BIBL {"uncited":[],"omitted":[],"custom":[]} CSL_BIBLIOGRAPHY </w:instrText>
      </w:r>
      <w:r>
        <w:rPr>
          <w:b/>
          <w:bCs/>
        </w:rPr>
        <w:fldChar w:fldCharType="separate"/>
      </w:r>
      <w:r w:rsidRPr="009D68D3">
        <w:rPr>
          <w:lang w:val="en-GB"/>
        </w:rPr>
        <w:t>1</w:t>
      </w:r>
      <w:r w:rsidRPr="009D68D3">
        <w:rPr>
          <w:lang w:val="en-GB"/>
        </w:rPr>
        <w:tab/>
        <w:t>World Health Organization Regional Office for the Western Pacific. World Health Organization: Western Pacific - where we work. 2009. https://www.who.int/westernpacific/about/where-we-work (accessed April 18, 2022).</w:t>
      </w:r>
    </w:p>
    <w:p w14:paraId="10B0BD5A" w14:textId="40020525" w:rsidR="009D68D3" w:rsidRPr="009D68D3" w:rsidRDefault="009D68D3">
      <w:pPr>
        <w:rPr>
          <w:b/>
          <w:bCs/>
        </w:rPr>
      </w:pPr>
      <w:r>
        <w:rPr>
          <w:b/>
          <w:bCs/>
        </w:rPr>
        <w:fldChar w:fldCharType="end"/>
      </w:r>
    </w:p>
    <w:sectPr w:rsidR="009D68D3" w:rsidRPr="009D68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D3"/>
    <w:rsid w:val="00297379"/>
    <w:rsid w:val="00462378"/>
    <w:rsid w:val="0066175B"/>
    <w:rsid w:val="00932A11"/>
    <w:rsid w:val="009D68D3"/>
    <w:rsid w:val="00C832BD"/>
    <w:rsid w:val="00F35233"/>
  </w:rsids>
  <m:mathPr>
    <m:mathFont m:val="Cambria Math"/>
    <m:brkBin m:val="before"/>
    <m:brkBinSub m:val="--"/>
    <m:smallFrac m:val="0"/>
    <m:dispDef/>
    <m:lMargin m:val="0"/>
    <m:rMargin m:val="0"/>
    <m:defJc m:val="centerGroup"/>
    <m:wrapIndent m:val="1440"/>
    <m:intLim m:val="subSup"/>
    <m:naryLim m:val="undOvr"/>
  </m:mathPr>
  <w:themeFontLang w:val="en-SG"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0C521D63"/>
  <w15:chartTrackingRefBased/>
  <w15:docId w15:val="{7ECBB237-F4E3-AB4C-B89C-C579724D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SG"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8D3"/>
  </w:style>
  <w:style w:type="paragraph" w:styleId="Heading1">
    <w:name w:val="heading 1"/>
    <w:basedOn w:val="Normal"/>
    <w:next w:val="Normal"/>
    <w:link w:val="Heading1Char"/>
    <w:uiPriority w:val="9"/>
    <w:qFormat/>
    <w:rsid w:val="009D68D3"/>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zh-CN"/>
    </w:rPr>
  </w:style>
  <w:style w:type="paragraph" w:styleId="Heading2">
    <w:name w:val="heading 2"/>
    <w:basedOn w:val="Normal"/>
    <w:next w:val="Normal"/>
    <w:link w:val="Heading2Char"/>
    <w:uiPriority w:val="9"/>
    <w:unhideWhenUsed/>
    <w:qFormat/>
    <w:rsid w:val="009D68D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8D3"/>
    <w:rPr>
      <w:rFonts w:asciiTheme="majorHAnsi" w:eastAsiaTheme="majorEastAsia" w:hAnsiTheme="majorHAnsi" w:cstheme="majorBidi"/>
      <w:color w:val="2F5496" w:themeColor="accent1" w:themeShade="BF"/>
      <w:sz w:val="32"/>
      <w:szCs w:val="32"/>
      <w:lang w:eastAsia="zh-CN"/>
    </w:rPr>
  </w:style>
  <w:style w:type="character" w:customStyle="1" w:styleId="Heading2Char">
    <w:name w:val="Heading 2 Char"/>
    <w:basedOn w:val="DefaultParagraphFont"/>
    <w:link w:val="Heading2"/>
    <w:uiPriority w:val="9"/>
    <w:rsid w:val="009D68D3"/>
    <w:rPr>
      <w:rFonts w:asciiTheme="majorHAnsi" w:eastAsiaTheme="majorEastAsia" w:hAnsiTheme="majorHAnsi" w:cstheme="majorBidi"/>
      <w:color w:val="2F5496" w:themeColor="accent1" w:themeShade="BF"/>
      <w:sz w:val="26"/>
      <w:szCs w:val="26"/>
    </w:rPr>
  </w:style>
  <w:style w:type="paragraph" w:styleId="Bibliography">
    <w:name w:val="Bibliography"/>
    <w:basedOn w:val="Normal"/>
    <w:next w:val="Normal"/>
    <w:uiPriority w:val="37"/>
    <w:unhideWhenUsed/>
    <w:rsid w:val="009D68D3"/>
    <w:pPr>
      <w:tabs>
        <w:tab w:val="left" w:pos="140"/>
      </w:tabs>
      <w:spacing w:after="240"/>
      <w:ind w:left="144" w:hanging="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600</Words>
  <Characters>3424</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Teo</dc:creator>
  <cp:keywords/>
  <dc:description/>
  <cp:lastModifiedBy>Alvin Teo</cp:lastModifiedBy>
  <cp:revision>5</cp:revision>
  <dcterms:created xsi:type="dcterms:W3CDTF">2023-01-22T07:32:00Z</dcterms:created>
  <dcterms:modified xsi:type="dcterms:W3CDTF">2023-01-28T12:21:00Z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id="qFBv7hKz"/&gt;&lt;style id="http://www.zotero.org/styles/the-lancet" hasBibliography="1" bibliographyStyleHasBeenSet="1"/&gt;&lt;prefs&gt;&lt;pref name="fieldType" value="Field"/&gt;&lt;/prefs&gt;&lt;/data&gt;</vt:lpwstr>
  </property>
</Properties>
</file>