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krper"/>
        <w:rPr>
          <w:sz w:val="20"/>
          <w:szCs w:val="20"/>
          <w:lang w:val="en-US"/>
        </w:rPr>
      </w:pPr>
      <w:r>
        <w:rPr>
          <w:i/>
          <w:iCs/>
          <w:sz w:val="20"/>
          <w:szCs w:val="20"/>
          <w:lang w:val="en-US"/>
        </w:rPr>
        <w:t xml:space="preserve">Additional table </w:t>
      </w:r>
      <w:r>
        <w:rPr>
          <w:i/>
          <w:iCs/>
          <w:sz w:val="20"/>
          <w:szCs w:val="20"/>
          <w:lang w:val="en-US"/>
        </w:rPr>
        <w:t>1</w:t>
      </w:r>
      <w:r>
        <w:rPr>
          <w:i/>
          <w:iCs/>
          <w:sz w:val="20"/>
          <w:szCs w:val="20"/>
          <w:lang w:val="en-US"/>
        </w:rPr>
        <w:t xml:space="preserve">: </w:t>
      </w:r>
      <w:bookmarkStart w:id="0" w:name="__DdeLink__4971_1078584122"/>
      <w:r>
        <w:rPr>
          <w:i/>
          <w:iCs/>
          <w:sz w:val="20"/>
          <w:szCs w:val="20"/>
          <w:lang w:val="en-US"/>
        </w:rPr>
        <w:t xml:space="preserve">Summary of studies comparing barriers to active school transport perceived by children/adolescents and their parents </w:t>
      </w:r>
      <w:bookmarkEnd w:id="0"/>
      <w:r>
        <w:rPr>
          <w:i/>
          <w:iCs/>
          <w:sz w:val="20"/>
          <w:szCs w:val="20"/>
          <w:lang w:val="en-US"/>
        </w:rPr>
        <w:t>(without claiming completeness). For a systematic review on the state of research until 2014, see Lu et al. 2014</w:t>
      </w:r>
      <w:bookmarkStart w:id="1" w:name="__UnoMark__1040_1371022195"/>
      <w:bookmarkStart w:id="2" w:name="__UnoMark__926_1371022195"/>
      <w:bookmarkStart w:id="3" w:name="__UnoMark__981_1371022195"/>
      <w:r>
        <w:rPr>
          <w:i/>
          <w:iCs/>
          <w:sz w:val="20"/>
          <w:szCs w:val="20"/>
          <w:lang w:val="en-US"/>
        </w:rPr>
        <w:t>[1]</w:t>
      </w:r>
      <w:bookmarkEnd w:id="1"/>
      <w:bookmarkEnd w:id="2"/>
      <w:bookmarkEnd w:id="3"/>
      <w:r>
        <w:rPr>
          <w:i/>
          <w:iCs/>
          <w:sz w:val="20"/>
          <w:szCs w:val="20"/>
          <w:lang w:val="en-US"/>
        </w:rPr>
        <w:t xml:space="preserve">.   </w:t>
      </w:r>
    </w:p>
    <w:p>
      <w:pPr>
        <w:pStyle w:val="Textkrper"/>
        <w:rPr>
          <w:sz w:val="20"/>
          <w:szCs w:val="20"/>
          <w:lang w:val="en-US"/>
        </w:rPr>
      </w:pPr>
      <w:r>
        <w:rPr>
          <w:sz w:val="20"/>
          <w:szCs w:val="20"/>
          <w:lang w:val="en-US"/>
        </w:rPr>
      </w:r>
      <w:bookmarkStart w:id="4" w:name="__UnoMark__932_1371022195"/>
      <w:bookmarkStart w:id="5" w:name="__UnoMark__988_1371022195"/>
      <w:bookmarkStart w:id="6" w:name="__UnoMark__1048_1371022195"/>
      <w:bookmarkStart w:id="7" w:name="__UnoMark__932_1371022195"/>
      <w:bookmarkStart w:id="8" w:name="__UnoMark__988_1371022195"/>
      <w:bookmarkStart w:id="9" w:name="__UnoMark__1048_1371022195"/>
      <w:bookmarkEnd w:id="7"/>
      <w:bookmarkEnd w:id="8"/>
      <w:bookmarkEnd w:id="9"/>
    </w:p>
    <w:tbl>
      <w:tblPr>
        <w:tblW w:w="9638" w:type="dxa"/>
        <w:jc w:val="left"/>
        <w:tblInd w:w="0" w:type="dxa"/>
        <w:tblCellMar>
          <w:top w:w="55" w:type="dxa"/>
          <w:left w:w="55" w:type="dxa"/>
          <w:bottom w:w="55" w:type="dxa"/>
          <w:right w:w="55" w:type="dxa"/>
        </w:tblCellMar>
        <w:tblLook w:val="04a0" w:noVBand="1" w:noHBand="0" w:lastColumn="0" w:firstColumn="1" w:lastRow="0" w:firstRow="1"/>
      </w:tblPr>
      <w:tblGrid>
        <w:gridCol w:w="1925"/>
        <w:gridCol w:w="1931"/>
        <w:gridCol w:w="1924"/>
        <w:gridCol w:w="3857"/>
      </w:tblGrid>
      <w:tr>
        <w:trPr/>
        <w:tc>
          <w:tcPr>
            <w:tcW w:w="1925" w:type="dxa"/>
            <w:tcBorders>
              <w:top w:val="single" w:sz="2" w:space="0" w:color="000000"/>
              <w:left w:val="single" w:sz="2" w:space="0" w:color="000000"/>
              <w:bottom w:val="single" w:sz="2" w:space="0" w:color="000000"/>
            </w:tcBorders>
            <w:shd w:color="auto" w:fill="auto" w:val="clear"/>
          </w:tcPr>
          <w:p>
            <w:pPr>
              <w:pStyle w:val="Tabelleninhalt"/>
              <w:rPr>
                <w:sz w:val="20"/>
                <w:szCs w:val="20"/>
              </w:rPr>
            </w:pPr>
            <w:r>
              <w:rPr>
                <w:sz w:val="20"/>
                <w:szCs w:val="20"/>
              </w:rPr>
              <w:t xml:space="preserve">Study   </w:t>
            </w:r>
          </w:p>
        </w:tc>
        <w:tc>
          <w:tcPr>
            <w:tcW w:w="1931" w:type="dxa"/>
            <w:tcBorders>
              <w:top w:val="single" w:sz="2" w:space="0" w:color="000000"/>
              <w:left w:val="single" w:sz="2" w:space="0" w:color="000000"/>
              <w:bottom w:val="single" w:sz="2" w:space="0" w:color="000000"/>
            </w:tcBorders>
            <w:shd w:color="auto" w:fill="auto" w:val="clear"/>
          </w:tcPr>
          <w:p>
            <w:pPr>
              <w:pStyle w:val="Tabelleninhalt"/>
              <w:rPr>
                <w:sz w:val="20"/>
                <w:szCs w:val="20"/>
              </w:rPr>
            </w:pPr>
            <w:r>
              <w:rPr>
                <w:sz w:val="20"/>
                <w:szCs w:val="20"/>
              </w:rPr>
              <w:t>Place</w:t>
            </w:r>
          </w:p>
        </w:tc>
        <w:tc>
          <w:tcPr>
            <w:tcW w:w="1924" w:type="dxa"/>
            <w:tcBorders>
              <w:top w:val="single" w:sz="2" w:space="0" w:color="000000"/>
              <w:left w:val="single" w:sz="2" w:space="0" w:color="000000"/>
              <w:bottom w:val="single" w:sz="2" w:space="0" w:color="000000"/>
            </w:tcBorders>
            <w:shd w:color="auto" w:fill="auto" w:val="clear"/>
          </w:tcPr>
          <w:p>
            <w:pPr>
              <w:pStyle w:val="Tabelleninhalt"/>
              <w:rPr>
                <w:sz w:val="20"/>
                <w:szCs w:val="20"/>
              </w:rPr>
            </w:pPr>
            <w:r>
              <w:rPr>
                <w:sz w:val="20"/>
                <w:szCs w:val="20"/>
              </w:rPr>
              <w:t>Study population</w:t>
            </w:r>
          </w:p>
        </w:tc>
        <w:tc>
          <w:tcPr>
            <w:tcW w:w="3857" w:type="dxa"/>
            <w:tcBorders>
              <w:top w:val="single" w:sz="2" w:space="0" w:color="000000"/>
              <w:left w:val="single" w:sz="2" w:space="0" w:color="000000"/>
              <w:bottom w:val="single" w:sz="2" w:space="0" w:color="000000"/>
              <w:right w:val="single" w:sz="2" w:space="0" w:color="000000"/>
            </w:tcBorders>
            <w:shd w:color="auto" w:fill="auto" w:val="clear"/>
          </w:tcPr>
          <w:p>
            <w:pPr>
              <w:pStyle w:val="Tabelleninhalt"/>
              <w:rPr>
                <w:sz w:val="20"/>
                <w:szCs w:val="20"/>
              </w:rPr>
            </w:pPr>
            <w:r>
              <w:rPr>
                <w:sz w:val="20"/>
                <w:szCs w:val="20"/>
              </w:rPr>
              <w:t>Main findings</w:t>
            </w:r>
          </w:p>
        </w:tc>
      </w:tr>
      <w:tr>
        <w:trPr/>
        <w:tc>
          <w:tcPr>
            <w:tcW w:w="1925" w:type="dxa"/>
            <w:tcBorders>
              <w:left w:val="single" w:sz="2" w:space="0" w:color="000000"/>
              <w:bottom w:val="single" w:sz="2" w:space="0" w:color="000000"/>
            </w:tcBorders>
            <w:shd w:color="auto" w:fill="auto" w:val="clear"/>
          </w:tcPr>
          <w:p>
            <w:pPr>
              <w:pStyle w:val="Tabelleninhalt"/>
              <w:rPr>
                <w:sz w:val="20"/>
                <w:szCs w:val="20"/>
              </w:rPr>
            </w:pPr>
            <w:r>
              <w:rPr>
                <w:sz w:val="20"/>
                <w:szCs w:val="20"/>
              </w:rPr>
              <w:t xml:space="preserve">Schönbach et al. 2020 </w:t>
            </w:r>
            <w:bookmarkStart w:id="10" w:name="__UnoMark__925_1371022195"/>
            <w:bookmarkStart w:id="11" w:name="__UnoMark__980_1371022195"/>
            <w:bookmarkStart w:id="12" w:name="__UnoMark__1039_1371022195"/>
            <w:r>
              <w:rPr>
                <w:sz w:val="20"/>
                <w:szCs w:val="20"/>
              </w:rPr>
              <w:t>[2]</w:t>
            </w:r>
            <w:bookmarkEnd w:id="10"/>
            <w:bookmarkEnd w:id="11"/>
            <w:bookmarkEnd w:id="12"/>
            <w:r>
              <w:rPr>
                <w:sz w:val="20"/>
                <w:szCs w:val="20"/>
              </w:rPr>
              <w:t>.</w:t>
            </w:r>
          </w:p>
        </w:tc>
        <w:tc>
          <w:tcPr>
            <w:tcW w:w="1931" w:type="dxa"/>
            <w:tcBorders>
              <w:left w:val="single" w:sz="2" w:space="0" w:color="000000"/>
              <w:bottom w:val="single" w:sz="2" w:space="0" w:color="000000"/>
            </w:tcBorders>
            <w:shd w:color="auto" w:fill="auto" w:val="clear"/>
          </w:tcPr>
          <w:p>
            <w:pPr>
              <w:pStyle w:val="Tabelleninhalt"/>
              <w:rPr>
                <w:lang w:val="en-US"/>
              </w:rPr>
            </w:pPr>
            <w:r>
              <w:rPr>
                <w:sz w:val="20"/>
                <w:szCs w:val="20"/>
                <w:lang w:val="en-US"/>
              </w:rPr>
              <w:t xml:space="preserve">Germany, urban or suburban areas </w:t>
            </w:r>
          </w:p>
        </w:tc>
        <w:tc>
          <w:tcPr>
            <w:tcW w:w="1924" w:type="dxa"/>
            <w:tcBorders>
              <w:left w:val="single" w:sz="2" w:space="0" w:color="000000"/>
              <w:bottom w:val="single" w:sz="2" w:space="0" w:color="000000"/>
            </w:tcBorders>
            <w:shd w:color="auto" w:fill="auto" w:val="clear"/>
          </w:tcPr>
          <w:p>
            <w:pPr>
              <w:pStyle w:val="Tabelleninhalt"/>
              <w:rPr>
                <w:sz w:val="20"/>
                <w:szCs w:val="20"/>
                <w:lang w:val="en-US"/>
              </w:rPr>
            </w:pPr>
            <w:r>
              <w:rPr>
                <w:sz w:val="20"/>
                <w:szCs w:val="20"/>
                <w:lang w:val="en-US"/>
              </w:rPr>
              <w:t>12- to 15-year-olds, their parents and teachers</w:t>
            </w:r>
          </w:p>
        </w:tc>
        <w:tc>
          <w:tcPr>
            <w:tcW w:w="3857" w:type="dxa"/>
            <w:tcBorders>
              <w:left w:val="single" w:sz="2" w:space="0" w:color="000000"/>
              <w:bottom w:val="single" w:sz="2" w:space="0" w:color="000000"/>
              <w:right w:val="single" w:sz="2" w:space="0" w:color="000000"/>
            </w:tcBorders>
            <w:shd w:color="auto" w:fill="auto" w:val="clear"/>
          </w:tcPr>
          <w:p>
            <w:pPr>
              <w:pStyle w:val="Tabelleninhalt"/>
              <w:rPr>
                <w:sz w:val="20"/>
                <w:szCs w:val="20"/>
                <w:lang w:val="en-US"/>
              </w:rPr>
            </w:pPr>
            <w:r>
              <w:rPr>
                <w:sz w:val="20"/>
                <w:szCs w:val="20"/>
                <w:lang w:val="en-US"/>
              </w:rPr>
              <w:t>"A “bicycle and related equipment,” the “way to school,” and “personalfactors” were reported needs, perceived by students and teachers of both genders and by mothers.Girls reported the additional gender-specific need for “social behavior in road traffic,” mothers and female teachers reported “role of parents,” and female teachers reported a “sense of safety.”“</w:t>
            </w:r>
          </w:p>
          <w:p>
            <w:pPr>
              <w:pStyle w:val="Tabelleninhalt"/>
              <w:rPr>
                <w:sz w:val="20"/>
                <w:szCs w:val="20"/>
                <w:lang w:val="en-US"/>
              </w:rPr>
            </w:pPr>
            <w:r>
              <w:rPr>
                <w:sz w:val="20"/>
                <w:szCs w:val="20"/>
                <w:lang w:val="en-US"/>
              </w:rPr>
            </w:r>
          </w:p>
          <w:p>
            <w:pPr>
              <w:pStyle w:val="Tabelleninhalt"/>
              <w:rPr>
                <w:sz w:val="20"/>
                <w:szCs w:val="20"/>
                <w:lang w:val="en-US"/>
              </w:rPr>
            </w:pPr>
            <w:r>
              <w:rPr>
                <w:sz w:val="20"/>
                <w:szCs w:val="20"/>
                <w:lang w:val="en-US"/>
              </w:rPr>
              <w:t>Comment: The study focused on cycling as a specific form of AST and had a particular emphasis on comparisons between genders.</w:t>
            </w:r>
          </w:p>
        </w:tc>
      </w:tr>
      <w:tr>
        <w:trPr/>
        <w:tc>
          <w:tcPr>
            <w:tcW w:w="1925" w:type="dxa"/>
            <w:tcBorders>
              <w:left w:val="single" w:sz="2" w:space="0" w:color="000000"/>
              <w:bottom w:val="single" w:sz="2" w:space="0" w:color="000000"/>
            </w:tcBorders>
            <w:shd w:color="auto" w:fill="auto" w:val="clear"/>
          </w:tcPr>
          <w:p>
            <w:pPr>
              <w:pStyle w:val="Tabelleninhalt"/>
              <w:rPr>
                <w:sz w:val="20"/>
                <w:szCs w:val="20"/>
              </w:rPr>
            </w:pPr>
            <w:r>
              <w:rPr>
                <w:sz w:val="20"/>
                <w:szCs w:val="20"/>
              </w:rPr>
              <w:t xml:space="preserve">Ozbil et al. 2021 </w:t>
            </w:r>
            <w:bookmarkStart w:id="13" w:name="__UnoMark__983_1371022195"/>
            <w:bookmarkStart w:id="14" w:name="__UnoMark__927_1371022195"/>
            <w:bookmarkStart w:id="15" w:name="__UnoMark__1042_1371022195"/>
            <w:r>
              <w:rPr>
                <w:sz w:val="20"/>
                <w:szCs w:val="20"/>
              </w:rPr>
              <w:t>[3]</w:t>
            </w:r>
            <w:bookmarkEnd w:id="13"/>
            <w:bookmarkEnd w:id="14"/>
            <w:bookmarkEnd w:id="15"/>
          </w:p>
        </w:tc>
        <w:tc>
          <w:tcPr>
            <w:tcW w:w="1931" w:type="dxa"/>
            <w:tcBorders>
              <w:left w:val="single" w:sz="2" w:space="0" w:color="000000"/>
              <w:bottom w:val="single" w:sz="2" w:space="0" w:color="000000"/>
            </w:tcBorders>
            <w:shd w:color="auto" w:fill="auto" w:val="clear"/>
          </w:tcPr>
          <w:p>
            <w:pPr>
              <w:pStyle w:val="Tabelleninhalt"/>
              <w:rPr>
                <w:sz w:val="20"/>
                <w:szCs w:val="20"/>
              </w:rPr>
            </w:pPr>
            <w:r>
              <w:rPr>
                <w:sz w:val="20"/>
                <w:szCs w:val="20"/>
              </w:rPr>
              <w:t>Istanbul, Turkey</w:t>
            </w:r>
          </w:p>
          <w:p>
            <w:pPr>
              <w:pStyle w:val="Tabelleninhalt"/>
              <w:rPr>
                <w:sz w:val="20"/>
                <w:szCs w:val="20"/>
              </w:rPr>
            </w:pPr>
            <w:r>
              <w:rPr>
                <w:sz w:val="20"/>
                <w:szCs w:val="20"/>
              </w:rPr>
            </w:r>
          </w:p>
          <w:p>
            <w:pPr>
              <w:pStyle w:val="Tabelleninhalt"/>
              <w:rPr>
                <w:sz w:val="20"/>
                <w:szCs w:val="20"/>
              </w:rPr>
            </w:pPr>
            <w:r>
              <w:rPr>
                <w:sz w:val="20"/>
                <w:szCs w:val="20"/>
              </w:rPr>
            </w:r>
          </w:p>
          <w:p>
            <w:pPr>
              <w:pStyle w:val="Tabelleninhalt"/>
              <w:rPr>
                <w:sz w:val="20"/>
                <w:szCs w:val="20"/>
              </w:rPr>
            </w:pPr>
            <w:r>
              <w:rPr>
                <w:sz w:val="20"/>
                <w:szCs w:val="20"/>
              </w:rPr>
            </w:r>
          </w:p>
        </w:tc>
        <w:tc>
          <w:tcPr>
            <w:tcW w:w="1924" w:type="dxa"/>
            <w:tcBorders>
              <w:left w:val="single" w:sz="2" w:space="0" w:color="000000"/>
              <w:bottom w:val="single" w:sz="2" w:space="0" w:color="000000"/>
            </w:tcBorders>
            <w:shd w:color="auto" w:fill="auto" w:val="clear"/>
          </w:tcPr>
          <w:p>
            <w:pPr>
              <w:pStyle w:val="Tabelleninhalt"/>
              <w:rPr>
                <w:sz w:val="20"/>
                <w:szCs w:val="20"/>
              </w:rPr>
            </w:pPr>
            <w:r>
              <w:rPr>
                <w:sz w:val="20"/>
                <w:szCs w:val="20"/>
              </w:rPr>
              <w:t>Adolescents (12-14y) and their parents</w:t>
            </w:r>
          </w:p>
        </w:tc>
        <w:tc>
          <w:tcPr>
            <w:tcW w:w="3857" w:type="dxa"/>
            <w:tcBorders>
              <w:left w:val="single" w:sz="2" w:space="0" w:color="000000"/>
              <w:bottom w:val="single" w:sz="2" w:space="0" w:color="000000"/>
              <w:right w:val="single" w:sz="2" w:space="0" w:color="000000"/>
            </w:tcBorders>
            <w:shd w:color="auto" w:fill="auto" w:val="clear"/>
          </w:tcPr>
          <w:p>
            <w:pPr>
              <w:pStyle w:val="Tabelleninhalt"/>
              <w:rPr>
                <w:sz w:val="20"/>
                <w:szCs w:val="20"/>
                <w:lang w:val="en-US"/>
              </w:rPr>
            </w:pPr>
            <w:r>
              <w:rPr>
                <w:sz w:val="20"/>
                <w:szCs w:val="20"/>
                <w:lang w:val="en-US"/>
              </w:rPr>
              <w:t>„</w:t>
            </w:r>
            <w:r>
              <w:rPr>
                <w:sz w:val="20"/>
                <w:szCs w:val="20"/>
                <w:lang w:val="en-US"/>
              </w:rPr>
              <w:t>Parental barriers transcribed from the open-ended responses are in agreement with those of the students. The primary perceived barrier to AST is distance and secondary to this are traffic safety and crime.“</w:t>
            </w:r>
          </w:p>
        </w:tc>
      </w:tr>
      <w:tr>
        <w:trPr/>
        <w:tc>
          <w:tcPr>
            <w:tcW w:w="1925" w:type="dxa"/>
            <w:tcBorders>
              <w:left w:val="single" w:sz="2" w:space="0" w:color="000000"/>
              <w:bottom w:val="single" w:sz="2" w:space="0" w:color="000000"/>
            </w:tcBorders>
            <w:shd w:color="auto" w:fill="auto" w:val="clear"/>
          </w:tcPr>
          <w:p>
            <w:pPr>
              <w:pStyle w:val="Tabelleninhalt"/>
              <w:rPr>
                <w:sz w:val="20"/>
                <w:szCs w:val="20"/>
              </w:rPr>
            </w:pPr>
            <w:r>
              <w:rPr>
                <w:sz w:val="20"/>
                <w:szCs w:val="20"/>
              </w:rPr>
              <w:t xml:space="preserve">Chillón P et al. 2014 </w:t>
            </w:r>
            <w:bookmarkStart w:id="16" w:name="__UnoMark__930_1371022195"/>
            <w:bookmarkStart w:id="17" w:name="__UnoMark__986_1371022195"/>
            <w:bookmarkStart w:id="18" w:name="__UnoMark__1046_1371022195"/>
            <w:r>
              <w:rPr>
                <w:sz w:val="20"/>
                <w:szCs w:val="20"/>
              </w:rPr>
              <w:t>[4]</w:t>
            </w:r>
            <w:bookmarkEnd w:id="16"/>
            <w:bookmarkEnd w:id="17"/>
            <w:bookmarkEnd w:id="18"/>
          </w:p>
          <w:p>
            <w:pPr>
              <w:pStyle w:val="Tabelleninhalt"/>
              <w:rPr>
                <w:sz w:val="20"/>
                <w:szCs w:val="20"/>
              </w:rPr>
            </w:pPr>
            <w:r>
              <w:rPr>
                <w:sz w:val="20"/>
                <w:szCs w:val="20"/>
              </w:rPr>
              <w:t xml:space="preserve">      </w:t>
            </w:r>
          </w:p>
        </w:tc>
        <w:tc>
          <w:tcPr>
            <w:tcW w:w="1931" w:type="dxa"/>
            <w:tcBorders>
              <w:left w:val="single" w:sz="2" w:space="0" w:color="000000"/>
              <w:bottom w:val="single" w:sz="2" w:space="0" w:color="000000"/>
            </w:tcBorders>
            <w:shd w:color="auto" w:fill="auto" w:val="clear"/>
          </w:tcPr>
          <w:p>
            <w:pPr>
              <w:pStyle w:val="Tabelleninhalt"/>
              <w:rPr>
                <w:sz w:val="20"/>
                <w:szCs w:val="20"/>
                <w:lang w:val="en-US"/>
              </w:rPr>
            </w:pPr>
            <w:r>
              <w:rPr>
                <w:sz w:val="20"/>
                <w:szCs w:val="20"/>
                <w:lang w:val="en-US"/>
              </w:rPr>
              <w:t>USA (18 schools across the country)</w:t>
            </w:r>
          </w:p>
          <w:p>
            <w:pPr>
              <w:pStyle w:val="Tabelleninhalt"/>
              <w:rPr>
                <w:sz w:val="20"/>
                <w:szCs w:val="20"/>
                <w:lang w:val="en-US"/>
              </w:rPr>
            </w:pPr>
            <w:r>
              <w:rPr>
                <w:sz w:val="20"/>
                <w:szCs w:val="20"/>
                <w:lang w:val="en-US"/>
              </w:rPr>
            </w:r>
          </w:p>
          <w:p>
            <w:pPr>
              <w:pStyle w:val="Tabelleninhalt"/>
              <w:rPr>
                <w:sz w:val="20"/>
                <w:szCs w:val="20"/>
                <w:lang w:val="en-US"/>
              </w:rPr>
            </w:pPr>
            <w:r>
              <w:rPr>
                <w:sz w:val="20"/>
                <w:szCs w:val="20"/>
                <w:lang w:val="en-US"/>
              </w:rPr>
            </w:r>
          </w:p>
        </w:tc>
        <w:tc>
          <w:tcPr>
            <w:tcW w:w="1924" w:type="dxa"/>
            <w:tcBorders>
              <w:left w:val="single" w:sz="2" w:space="0" w:color="000000"/>
              <w:bottom w:val="single" w:sz="2" w:space="0" w:color="000000"/>
            </w:tcBorders>
            <w:shd w:color="auto" w:fill="auto" w:val="clear"/>
          </w:tcPr>
          <w:p>
            <w:pPr>
              <w:pStyle w:val="Tabelleninhalt"/>
              <w:rPr>
                <w:sz w:val="20"/>
                <w:szCs w:val="20"/>
                <w:lang w:val="en-US"/>
              </w:rPr>
            </w:pPr>
            <w:r>
              <w:rPr>
                <w:sz w:val="20"/>
                <w:szCs w:val="20"/>
                <w:lang w:val="en-US"/>
              </w:rPr>
              <w:t>4th and 5th grade students and their parents</w:t>
            </w:r>
          </w:p>
        </w:tc>
        <w:tc>
          <w:tcPr>
            <w:tcW w:w="3857" w:type="dxa"/>
            <w:tcBorders>
              <w:left w:val="single" w:sz="2" w:space="0" w:color="000000"/>
              <w:bottom w:val="single" w:sz="2" w:space="0" w:color="000000"/>
              <w:right w:val="single" w:sz="2" w:space="0" w:color="000000"/>
            </w:tcBorders>
            <w:shd w:color="auto" w:fill="auto" w:val="clear"/>
          </w:tcPr>
          <w:p>
            <w:pPr>
              <w:pStyle w:val="Tabelleninhalt"/>
              <w:rPr>
                <w:sz w:val="20"/>
                <w:szCs w:val="20"/>
                <w:lang w:val="en-US"/>
              </w:rPr>
            </w:pPr>
            <w:r>
              <w:rPr>
                <w:sz w:val="20"/>
                <w:szCs w:val="20"/>
                <w:lang w:val="en-US"/>
              </w:rPr>
              <w:t>„</w:t>
            </w:r>
            <w:r>
              <w:rPr>
                <w:sz w:val="20"/>
                <w:szCs w:val="20"/>
                <w:lang w:val="en-US"/>
              </w:rPr>
              <w:t>..the most relevant significant  predictors of active school travel were parent’s perceived  barriers, specifically child resistance  and safety and  weather  as well as the school’s percentage of  Hispanic students.“</w:t>
            </w:r>
          </w:p>
        </w:tc>
      </w:tr>
      <w:tr>
        <w:trPr/>
        <w:tc>
          <w:tcPr>
            <w:tcW w:w="1925" w:type="dxa"/>
            <w:tcBorders>
              <w:left w:val="single" w:sz="2" w:space="0" w:color="000000"/>
              <w:bottom w:val="single" w:sz="2" w:space="0" w:color="000000"/>
            </w:tcBorders>
            <w:shd w:color="auto" w:fill="auto" w:val="clear"/>
          </w:tcPr>
          <w:p>
            <w:pPr>
              <w:pStyle w:val="Tabelleninhalt"/>
              <w:rPr>
                <w:sz w:val="20"/>
                <w:szCs w:val="20"/>
              </w:rPr>
            </w:pPr>
            <w:r>
              <w:rPr>
                <w:sz w:val="20"/>
                <w:szCs w:val="20"/>
              </w:rPr>
              <w:t xml:space="preserve">Ikeda et al. 2019 </w:t>
            </w:r>
            <w:bookmarkStart w:id="19" w:name="__UnoMark__984_1371022195"/>
            <w:bookmarkStart w:id="20" w:name="__UnoMark__928_1371022195"/>
            <w:bookmarkStart w:id="21" w:name="__UnoMark__1044_1371022195"/>
            <w:r>
              <w:rPr>
                <w:sz w:val="20"/>
                <w:szCs w:val="20"/>
              </w:rPr>
              <w:t>[5]</w:t>
            </w:r>
            <w:bookmarkEnd w:id="19"/>
            <w:bookmarkEnd w:id="20"/>
            <w:bookmarkEnd w:id="21"/>
          </w:p>
        </w:tc>
        <w:tc>
          <w:tcPr>
            <w:tcW w:w="1931" w:type="dxa"/>
            <w:tcBorders>
              <w:left w:val="single" w:sz="2" w:space="0" w:color="000000"/>
              <w:bottom w:val="single" w:sz="2" w:space="0" w:color="000000"/>
            </w:tcBorders>
            <w:shd w:color="auto" w:fill="auto" w:val="clear"/>
          </w:tcPr>
          <w:p>
            <w:pPr>
              <w:pStyle w:val="Tabelleninhalt"/>
              <w:rPr>
                <w:sz w:val="20"/>
                <w:szCs w:val="20"/>
              </w:rPr>
            </w:pPr>
            <w:r>
              <w:rPr>
                <w:sz w:val="20"/>
                <w:szCs w:val="20"/>
              </w:rPr>
              <w:t>Auckland, New Zealand</w:t>
            </w:r>
          </w:p>
          <w:p>
            <w:pPr>
              <w:pStyle w:val="Tabelleninhalt"/>
              <w:rPr>
                <w:sz w:val="20"/>
                <w:szCs w:val="20"/>
              </w:rPr>
            </w:pPr>
            <w:r>
              <w:rPr>
                <w:sz w:val="20"/>
                <w:szCs w:val="20"/>
              </w:rPr>
            </w:r>
          </w:p>
          <w:p>
            <w:pPr>
              <w:pStyle w:val="Tabelleninhalt"/>
              <w:rPr>
                <w:sz w:val="20"/>
                <w:szCs w:val="20"/>
              </w:rPr>
            </w:pPr>
            <w:r>
              <w:rPr>
                <w:sz w:val="20"/>
                <w:szCs w:val="20"/>
              </w:rPr>
            </w:r>
          </w:p>
        </w:tc>
        <w:tc>
          <w:tcPr>
            <w:tcW w:w="1924" w:type="dxa"/>
            <w:tcBorders>
              <w:left w:val="single" w:sz="2" w:space="0" w:color="000000"/>
              <w:bottom w:val="single" w:sz="2" w:space="0" w:color="000000"/>
            </w:tcBorders>
            <w:shd w:color="auto" w:fill="auto" w:val="clear"/>
          </w:tcPr>
          <w:p>
            <w:pPr>
              <w:pStyle w:val="Tabelleninhalt"/>
              <w:rPr>
                <w:sz w:val="20"/>
                <w:szCs w:val="20"/>
                <w:lang w:val="en-US"/>
              </w:rPr>
            </w:pPr>
            <w:r>
              <w:rPr>
                <w:sz w:val="20"/>
                <w:szCs w:val="20"/>
                <w:lang w:val="en-US"/>
              </w:rPr>
              <w:t xml:space="preserve">8 to 13 years olds and their parents </w:t>
            </w:r>
          </w:p>
        </w:tc>
        <w:tc>
          <w:tcPr>
            <w:tcW w:w="3857" w:type="dxa"/>
            <w:tcBorders>
              <w:left w:val="single" w:sz="2" w:space="0" w:color="000000"/>
              <w:bottom w:val="single" w:sz="2" w:space="0" w:color="000000"/>
              <w:right w:val="single" w:sz="2" w:space="0" w:color="000000"/>
            </w:tcBorders>
            <w:shd w:color="auto" w:fill="auto" w:val="clear"/>
          </w:tcPr>
          <w:p>
            <w:pPr>
              <w:pStyle w:val="Tabelleninhalt"/>
              <w:rPr>
                <w:sz w:val="20"/>
                <w:szCs w:val="20"/>
                <w:lang w:val="en-US"/>
              </w:rPr>
            </w:pPr>
            <w:r>
              <w:rPr>
                <w:sz w:val="20"/>
                <w:szCs w:val="20"/>
                <w:lang w:val="en-US"/>
              </w:rPr>
              <w:t>"Parental perceptions of convenience, traffic safety and social interactions as well as child perception of neighbourhood safety were mutually associated with children’s AST.</w:t>
            </w:r>
          </w:p>
        </w:tc>
      </w:tr>
      <w:tr>
        <w:trPr/>
        <w:tc>
          <w:tcPr>
            <w:tcW w:w="1925" w:type="dxa"/>
            <w:tcBorders>
              <w:left w:val="single" w:sz="2" w:space="0" w:color="000000"/>
              <w:bottom w:val="single" w:sz="2" w:space="0" w:color="000000"/>
            </w:tcBorders>
            <w:shd w:color="auto" w:fill="auto" w:val="clear"/>
          </w:tcPr>
          <w:p>
            <w:pPr>
              <w:pStyle w:val="Tabelleninhalt"/>
              <w:rPr>
                <w:sz w:val="20"/>
                <w:szCs w:val="20"/>
              </w:rPr>
            </w:pPr>
            <w:r>
              <w:rPr>
                <w:sz w:val="20"/>
                <w:szCs w:val="20"/>
              </w:rPr>
              <w:t xml:space="preserve">Aranda-Balboa et al. 2021 </w:t>
            </w:r>
            <w:bookmarkStart w:id="22" w:name="__UnoMark__1045_1371022195"/>
            <w:bookmarkStart w:id="23" w:name="__UnoMark__929_1371022195"/>
            <w:bookmarkStart w:id="24" w:name="__UnoMark__985_1371022195"/>
            <w:r>
              <w:rPr>
                <w:sz w:val="20"/>
                <w:szCs w:val="20"/>
              </w:rPr>
              <w:t>[6]</w:t>
            </w:r>
            <w:bookmarkEnd w:id="22"/>
            <w:bookmarkEnd w:id="23"/>
            <w:bookmarkEnd w:id="24"/>
          </w:p>
        </w:tc>
        <w:tc>
          <w:tcPr>
            <w:tcW w:w="1931" w:type="dxa"/>
            <w:tcBorders>
              <w:left w:val="single" w:sz="2" w:space="0" w:color="000000"/>
              <w:bottom w:val="single" w:sz="2" w:space="0" w:color="000000"/>
            </w:tcBorders>
            <w:shd w:color="auto" w:fill="auto" w:val="clear"/>
          </w:tcPr>
          <w:p>
            <w:pPr>
              <w:pStyle w:val="Tabelleninhalt"/>
              <w:rPr>
                <w:sz w:val="20"/>
                <w:szCs w:val="20"/>
              </w:rPr>
            </w:pPr>
            <w:r>
              <w:rPr>
                <w:sz w:val="20"/>
                <w:szCs w:val="20"/>
              </w:rPr>
              <w:t>Four Spanish cities</w:t>
            </w:r>
          </w:p>
        </w:tc>
        <w:tc>
          <w:tcPr>
            <w:tcW w:w="1924" w:type="dxa"/>
            <w:tcBorders>
              <w:left w:val="single" w:sz="2" w:space="0" w:color="000000"/>
              <w:bottom w:val="single" w:sz="2" w:space="0" w:color="000000"/>
            </w:tcBorders>
            <w:shd w:color="auto" w:fill="auto" w:val="clear"/>
          </w:tcPr>
          <w:p>
            <w:pPr>
              <w:pStyle w:val="Tabelleninhalt"/>
              <w:rPr>
                <w:sz w:val="20"/>
                <w:szCs w:val="20"/>
                <w:lang w:val="en-US"/>
              </w:rPr>
            </w:pPr>
            <w:r>
              <w:rPr>
                <w:sz w:val="20"/>
                <w:szCs w:val="20"/>
                <w:lang w:val="en-US"/>
              </w:rPr>
              <w:t xml:space="preserve">Children and adolescents and their parents </w:t>
            </w:r>
          </w:p>
          <w:p>
            <w:pPr>
              <w:pStyle w:val="Tabelleninhalt"/>
              <w:rPr>
                <w:sz w:val="20"/>
                <w:szCs w:val="20"/>
                <w:lang w:val="en-US"/>
              </w:rPr>
            </w:pPr>
            <w:r>
              <w:rPr>
                <w:sz w:val="20"/>
                <w:szCs w:val="20"/>
                <w:lang w:val="en-US"/>
              </w:rPr>
            </w:r>
          </w:p>
          <w:p>
            <w:pPr>
              <w:pStyle w:val="Tabelleninhalt"/>
              <w:rPr>
                <w:sz w:val="20"/>
                <w:szCs w:val="20"/>
                <w:lang w:val="en-US"/>
              </w:rPr>
            </w:pPr>
            <w:r>
              <w:rPr>
                <w:sz w:val="20"/>
                <w:szCs w:val="20"/>
                <w:lang w:val="en-US"/>
              </w:rPr>
              <w:t>(girls’ mean age: 13.04 ± 1.89 years old; boys’ mean age: 13.02 ± 1.90 years old)</w:t>
            </w:r>
          </w:p>
        </w:tc>
        <w:tc>
          <w:tcPr>
            <w:tcW w:w="3857" w:type="dxa"/>
            <w:tcBorders>
              <w:left w:val="single" w:sz="2" w:space="0" w:color="000000"/>
              <w:bottom w:val="single" w:sz="2" w:space="0" w:color="000000"/>
              <w:right w:val="single" w:sz="2" w:space="0" w:color="000000"/>
            </w:tcBorders>
            <w:shd w:color="auto" w:fill="auto" w:val="clear"/>
          </w:tcPr>
          <w:p>
            <w:pPr>
              <w:pStyle w:val="Tabelleninhalt"/>
              <w:rPr>
                <w:sz w:val="20"/>
                <w:szCs w:val="20"/>
                <w:lang w:val="en-US"/>
              </w:rPr>
            </w:pPr>
            <w:r>
              <w:rPr>
                <w:sz w:val="20"/>
                <w:szCs w:val="20"/>
                <w:lang w:val="en-US"/>
              </w:rPr>
              <w:t>"Both children and adolescents perceived higher physical and motivational barriers and social support barriers towards ACS than their parents" "Additionally, the parents perceived higher distance, traffic safety, convenience, built environment, crime-related safety and weather as barriers towards ACS, than their children"</w:t>
            </w:r>
          </w:p>
        </w:tc>
      </w:tr>
      <w:tr>
        <w:trPr/>
        <w:tc>
          <w:tcPr>
            <w:tcW w:w="1925" w:type="dxa"/>
            <w:tcBorders>
              <w:left w:val="single" w:sz="2" w:space="0" w:color="000000"/>
              <w:bottom w:val="single" w:sz="2" w:space="0" w:color="000000"/>
            </w:tcBorders>
            <w:shd w:color="auto" w:fill="auto" w:val="clear"/>
          </w:tcPr>
          <w:p>
            <w:pPr>
              <w:pStyle w:val="Tabelleninhalt"/>
              <w:rPr>
                <w:sz w:val="20"/>
                <w:szCs w:val="20"/>
              </w:rPr>
            </w:pPr>
            <w:r>
              <w:rPr>
                <w:sz w:val="20"/>
                <w:szCs w:val="20"/>
              </w:rPr>
              <w:t xml:space="preserve">Pfledderer et al. 2021 </w:t>
            </w:r>
            <w:bookmarkStart w:id="25" w:name="__UnoMark__931_1371022195"/>
            <w:bookmarkStart w:id="26" w:name="__UnoMark__987_1371022195"/>
            <w:bookmarkStart w:id="27" w:name="__UnoMark__1047_1371022195"/>
            <w:r>
              <w:rPr>
                <w:sz w:val="20"/>
                <w:szCs w:val="20"/>
              </w:rPr>
              <w:t>[7]</w:t>
            </w:r>
            <w:bookmarkEnd w:id="25"/>
            <w:bookmarkEnd w:id="26"/>
            <w:bookmarkEnd w:id="27"/>
          </w:p>
        </w:tc>
        <w:tc>
          <w:tcPr>
            <w:tcW w:w="1931" w:type="dxa"/>
            <w:tcBorders>
              <w:left w:val="single" w:sz="2" w:space="0" w:color="000000"/>
              <w:bottom w:val="single" w:sz="2" w:space="0" w:color="000000"/>
            </w:tcBorders>
            <w:shd w:color="auto" w:fill="auto" w:val="clear"/>
          </w:tcPr>
          <w:p>
            <w:pPr>
              <w:pStyle w:val="Tabelleninhalt"/>
              <w:rPr>
                <w:sz w:val="20"/>
                <w:szCs w:val="20"/>
              </w:rPr>
            </w:pPr>
            <w:r>
              <w:rPr>
                <w:sz w:val="20"/>
                <w:szCs w:val="20"/>
              </w:rPr>
              <w:t>A metropolitan area of Utah, USA</w:t>
            </w:r>
          </w:p>
        </w:tc>
        <w:tc>
          <w:tcPr>
            <w:tcW w:w="1924" w:type="dxa"/>
            <w:tcBorders>
              <w:left w:val="single" w:sz="2" w:space="0" w:color="000000"/>
              <w:bottom w:val="single" w:sz="2" w:space="0" w:color="000000"/>
            </w:tcBorders>
            <w:shd w:color="auto" w:fill="auto" w:val="clear"/>
          </w:tcPr>
          <w:p>
            <w:pPr>
              <w:pStyle w:val="Tabelleninhalt"/>
              <w:rPr>
                <w:sz w:val="20"/>
                <w:szCs w:val="20"/>
                <w:lang w:val="en-US"/>
              </w:rPr>
            </w:pPr>
            <w:r>
              <w:rPr>
                <w:sz w:val="20"/>
                <w:szCs w:val="20"/>
                <w:lang w:val="en-US"/>
              </w:rPr>
              <w:t>Primary school childern and their parents</w:t>
            </w:r>
          </w:p>
        </w:tc>
        <w:tc>
          <w:tcPr>
            <w:tcW w:w="3857" w:type="dxa"/>
            <w:tcBorders>
              <w:left w:val="single" w:sz="2" w:space="0" w:color="000000"/>
              <w:bottom w:val="single" w:sz="2" w:space="0" w:color="000000"/>
              <w:right w:val="single" w:sz="2" w:space="0" w:color="000000"/>
            </w:tcBorders>
            <w:shd w:color="auto" w:fill="auto" w:val="clear"/>
          </w:tcPr>
          <w:p>
            <w:pPr>
              <w:pStyle w:val="Tabelleninhalt"/>
              <w:rPr>
                <w:sz w:val="20"/>
                <w:szCs w:val="20"/>
                <w:lang w:val="en-US"/>
              </w:rPr>
            </w:pPr>
            <w:r>
              <w:rPr>
                <w:sz w:val="20"/>
                <w:szCs w:val="20"/>
                <w:lang w:val="en-US"/>
              </w:rPr>
              <w:t>"All parent and child perceptions of barriers to AC to school had low agreement."</w:t>
            </w:r>
          </w:p>
          <w:p>
            <w:pPr>
              <w:pStyle w:val="Tabelleninhalt"/>
              <w:rPr>
                <w:sz w:val="20"/>
                <w:szCs w:val="20"/>
                <w:lang w:val="en-US"/>
              </w:rPr>
            </w:pPr>
            <w:r>
              <w:rPr>
                <w:sz w:val="20"/>
                <w:szCs w:val="20"/>
                <w:lang w:val="en-US"/>
              </w:rPr>
            </w:r>
          </w:p>
          <w:p>
            <w:pPr>
              <w:pStyle w:val="Tabelleninhalt"/>
              <w:rPr>
                <w:sz w:val="20"/>
                <w:szCs w:val="20"/>
                <w:lang w:val="en-US"/>
              </w:rPr>
            </w:pPr>
            <w:r>
              <w:rPr>
                <w:sz w:val="20"/>
                <w:szCs w:val="20"/>
                <w:lang w:val="en-US"/>
              </w:rPr>
              <w:t>" [...]more parent perceptions correlate with rates of AC when compared to child perceptions."</w:t>
            </w:r>
          </w:p>
        </w:tc>
      </w:tr>
      <w:tr>
        <w:trPr/>
        <w:tc>
          <w:tcPr>
            <w:tcW w:w="1925" w:type="dxa"/>
            <w:tcBorders>
              <w:left w:val="single" w:sz="2" w:space="0" w:color="000000"/>
              <w:bottom w:val="single" w:sz="2" w:space="0" w:color="000000"/>
            </w:tcBorders>
            <w:shd w:color="auto" w:fill="auto" w:val="clear"/>
          </w:tcPr>
          <w:p>
            <w:pPr>
              <w:pStyle w:val="Tabelleninhalt"/>
              <w:rPr>
                <w:sz w:val="20"/>
                <w:szCs w:val="20"/>
              </w:rPr>
            </w:pPr>
            <w:r>
              <w:rPr>
                <w:sz w:val="20"/>
                <w:szCs w:val="20"/>
              </w:rPr>
              <w:t>Onywera et al. 2018</w:t>
            </w:r>
            <w:bookmarkStart w:id="28" w:name="__UnoMark__971_1371022195"/>
            <w:bookmarkEnd w:id="28"/>
            <w:r>
              <w:rPr>
                <w:sz w:val="20"/>
                <w:szCs w:val="20"/>
              </w:rPr>
              <w:t xml:space="preserve"> </w:t>
            </w:r>
            <w:bookmarkStart w:id="29" w:name="__UnoMark__982_1371022195"/>
            <w:bookmarkStart w:id="30" w:name="__UnoMark__1041_1371022195"/>
            <w:r>
              <w:rPr>
                <w:sz w:val="20"/>
                <w:szCs w:val="20"/>
              </w:rPr>
              <w:t>[8]</w:t>
            </w:r>
            <w:bookmarkStart w:id="31" w:name="__UnoMark__974_1371022195"/>
            <w:bookmarkEnd w:id="29"/>
            <w:bookmarkEnd w:id="30"/>
            <w:bookmarkEnd w:id="31"/>
            <w:r>
              <w:rPr>
                <w:sz w:val="20"/>
                <w:szCs w:val="20"/>
              </w:rPr>
              <w:t xml:space="preserve"> </w:t>
            </w:r>
          </w:p>
          <w:p>
            <w:pPr>
              <w:pStyle w:val="Tabelleninhalt"/>
              <w:rPr>
                <w:sz w:val="20"/>
                <w:szCs w:val="20"/>
              </w:rPr>
            </w:pPr>
            <w:r>
              <w:rPr>
                <w:sz w:val="20"/>
                <w:szCs w:val="20"/>
              </w:rPr>
            </w:r>
          </w:p>
        </w:tc>
        <w:tc>
          <w:tcPr>
            <w:tcW w:w="1931" w:type="dxa"/>
            <w:tcBorders>
              <w:left w:val="single" w:sz="2" w:space="0" w:color="000000"/>
              <w:bottom w:val="single" w:sz="2" w:space="0" w:color="000000"/>
            </w:tcBorders>
            <w:shd w:color="auto" w:fill="auto" w:val="clear"/>
          </w:tcPr>
          <w:p>
            <w:pPr>
              <w:pStyle w:val="Tabelleninhalt"/>
              <w:rPr>
                <w:sz w:val="20"/>
                <w:szCs w:val="20"/>
                <w:lang w:val="en-US"/>
              </w:rPr>
            </w:pPr>
            <w:r>
              <w:rPr>
                <w:sz w:val="20"/>
                <w:szCs w:val="20"/>
                <w:lang w:val="en-US"/>
              </w:rPr>
              <w:t>Urban, suburban and rural areas in Kenya, Mozambique and Nigeria</w:t>
            </w:r>
          </w:p>
          <w:p>
            <w:pPr>
              <w:pStyle w:val="Tabelleninhalt"/>
              <w:rPr>
                <w:sz w:val="20"/>
                <w:szCs w:val="20"/>
                <w:lang w:val="en-US"/>
              </w:rPr>
            </w:pPr>
            <w:r>
              <w:rPr>
                <w:sz w:val="20"/>
                <w:szCs w:val="20"/>
                <w:lang w:val="en-US"/>
              </w:rPr>
            </w:r>
          </w:p>
        </w:tc>
        <w:tc>
          <w:tcPr>
            <w:tcW w:w="1924" w:type="dxa"/>
            <w:tcBorders>
              <w:left w:val="single" w:sz="2" w:space="0" w:color="000000"/>
              <w:bottom w:val="single" w:sz="2" w:space="0" w:color="000000"/>
            </w:tcBorders>
            <w:shd w:color="auto" w:fill="auto" w:val="clear"/>
          </w:tcPr>
          <w:p>
            <w:pPr>
              <w:pStyle w:val="Tabelleninhalt"/>
              <w:rPr>
                <w:sz w:val="20"/>
                <w:szCs w:val="20"/>
                <w:lang w:val="en-US"/>
              </w:rPr>
            </w:pPr>
            <w:r>
              <w:rPr>
                <w:sz w:val="20"/>
                <w:szCs w:val="20"/>
                <w:lang w:val="en-US"/>
              </w:rPr>
              <w:t xml:space="preserve">Youth aged 10 to 12y and their parents </w:t>
            </w:r>
          </w:p>
        </w:tc>
        <w:tc>
          <w:tcPr>
            <w:tcW w:w="3857" w:type="dxa"/>
            <w:tcBorders>
              <w:left w:val="single" w:sz="2" w:space="0" w:color="000000"/>
              <w:bottom w:val="single" w:sz="2" w:space="0" w:color="000000"/>
              <w:right w:val="single" w:sz="2" w:space="0" w:color="000000"/>
            </w:tcBorders>
            <w:shd w:color="auto" w:fill="auto" w:val="clear"/>
          </w:tcPr>
          <w:p>
            <w:pPr>
              <w:pStyle w:val="Tabelleninhalt"/>
              <w:rPr>
                <w:sz w:val="20"/>
                <w:szCs w:val="20"/>
                <w:lang w:val="en-US"/>
              </w:rPr>
            </w:pPr>
            <w:r>
              <w:rPr>
                <w:sz w:val="20"/>
                <w:szCs w:val="20"/>
                <w:lang w:val="en-US"/>
              </w:rPr>
              <w:t>“</w:t>
            </w:r>
            <w:r>
              <w:rPr>
                <w:sz w:val="20"/>
                <w:szCs w:val="20"/>
                <w:lang w:val="en-US"/>
              </w:rPr>
              <w:t>Convergent validity for challenges/barriers to active transportation to school ranged from fair (0.30 - The route does not have good lighting) to substantial (0.77 - My child has a disability)“ and varied between different study sites“</w:t>
            </w:r>
          </w:p>
        </w:tc>
      </w:tr>
      <w:tr>
        <w:trPr/>
        <w:tc>
          <w:tcPr>
            <w:tcW w:w="1925" w:type="dxa"/>
            <w:tcBorders>
              <w:left w:val="single" w:sz="2" w:space="0" w:color="000000"/>
              <w:bottom w:val="single" w:sz="2" w:space="0" w:color="000000"/>
            </w:tcBorders>
            <w:shd w:color="auto" w:fill="auto" w:val="clear"/>
          </w:tcPr>
          <w:p>
            <w:pPr>
              <w:pStyle w:val="Tabelleninhalt"/>
              <w:rPr>
                <w:sz w:val="20"/>
                <w:szCs w:val="20"/>
              </w:rPr>
            </w:pPr>
            <w:r>
              <w:rPr>
                <w:sz w:val="20"/>
                <w:szCs w:val="20"/>
              </w:rPr>
              <w:t>Wilson et al. 2018</w:t>
            </w:r>
            <w:bookmarkStart w:id="32" w:name="__UnoMark__1035_1371022195"/>
            <w:bookmarkEnd w:id="32"/>
            <w:r>
              <w:rPr>
                <w:sz w:val="20"/>
                <w:szCs w:val="20"/>
              </w:rPr>
              <w:t xml:space="preserve"> </w:t>
            </w:r>
            <w:bookmarkStart w:id="33" w:name="__UnoMark__1043_1371022195"/>
            <w:r>
              <w:rPr>
                <w:sz w:val="20"/>
                <w:szCs w:val="20"/>
              </w:rPr>
              <w:t>[</w:t>
            </w:r>
            <w:bookmarkStart w:id="34" w:name="__UnoMark__976_1371022195"/>
            <w:r>
              <w:rPr>
                <w:sz w:val="20"/>
                <w:szCs w:val="20"/>
              </w:rPr>
              <w:t>9]</w:t>
            </w:r>
            <w:bookmarkEnd w:id="33"/>
            <w:bookmarkEnd w:id="34"/>
          </w:p>
        </w:tc>
        <w:tc>
          <w:tcPr>
            <w:tcW w:w="1931" w:type="dxa"/>
            <w:tcBorders>
              <w:left w:val="single" w:sz="2" w:space="0" w:color="000000"/>
              <w:bottom w:val="single" w:sz="2" w:space="0" w:color="000000"/>
            </w:tcBorders>
            <w:shd w:color="auto" w:fill="auto" w:val="clear"/>
          </w:tcPr>
          <w:p>
            <w:pPr>
              <w:pStyle w:val="Tabelleninhalt"/>
              <w:rPr>
                <w:sz w:val="20"/>
                <w:szCs w:val="20"/>
              </w:rPr>
            </w:pPr>
            <w:r>
              <w:rPr>
                <w:sz w:val="20"/>
                <w:szCs w:val="20"/>
              </w:rPr>
              <w:t>Southwestern</w:t>
            </w:r>
          </w:p>
          <w:p>
            <w:pPr>
              <w:pStyle w:val="Tabelleninhalt"/>
              <w:rPr>
                <w:sz w:val="20"/>
                <w:szCs w:val="20"/>
              </w:rPr>
            </w:pPr>
            <w:r>
              <w:rPr>
                <w:sz w:val="20"/>
                <w:szCs w:val="20"/>
              </w:rPr>
              <w:t>Ontario, Canada</w:t>
            </w:r>
          </w:p>
        </w:tc>
        <w:tc>
          <w:tcPr>
            <w:tcW w:w="1924" w:type="dxa"/>
            <w:tcBorders>
              <w:left w:val="single" w:sz="2" w:space="0" w:color="000000"/>
              <w:bottom w:val="single" w:sz="2" w:space="0" w:color="000000"/>
            </w:tcBorders>
            <w:shd w:color="auto" w:fill="auto" w:val="clear"/>
          </w:tcPr>
          <w:p>
            <w:pPr>
              <w:pStyle w:val="Tabelleninhalt"/>
              <w:rPr>
                <w:sz w:val="20"/>
                <w:szCs w:val="20"/>
                <w:lang w:val="en-US"/>
              </w:rPr>
            </w:pPr>
            <w:r>
              <w:rPr>
                <w:sz w:val="20"/>
                <w:szCs w:val="20"/>
                <w:lang w:val="en-US"/>
              </w:rPr>
              <w:t>Elementary school children and their parents</w:t>
            </w:r>
          </w:p>
        </w:tc>
        <w:tc>
          <w:tcPr>
            <w:tcW w:w="3857" w:type="dxa"/>
            <w:tcBorders>
              <w:left w:val="single" w:sz="2" w:space="0" w:color="000000"/>
              <w:bottom w:val="single" w:sz="2" w:space="0" w:color="000000"/>
              <w:right w:val="single" w:sz="2" w:space="0" w:color="000000"/>
            </w:tcBorders>
            <w:shd w:color="auto" w:fill="auto" w:val="clear"/>
          </w:tcPr>
          <w:p>
            <w:pPr>
              <w:pStyle w:val="Tabelleninhalt"/>
              <w:rPr>
                <w:sz w:val="20"/>
                <w:szCs w:val="20"/>
                <w:lang w:val="en-US"/>
              </w:rPr>
            </w:pPr>
            <w:r>
              <w:rPr>
                <w:sz w:val="20"/>
                <w:szCs w:val="20"/>
                <w:lang w:val="en-US"/>
              </w:rPr>
              <w:t>"[…] parents perceive more barriers to AST than children, although both parents and children perceptions have an impact on AST behaviour."</w:t>
            </w:r>
          </w:p>
          <w:p>
            <w:pPr>
              <w:pStyle w:val="Tabelleninhalt"/>
              <w:rPr>
                <w:sz w:val="20"/>
                <w:szCs w:val="20"/>
                <w:lang w:val="en-US"/>
              </w:rPr>
            </w:pPr>
            <w:r>
              <w:rPr>
                <w:sz w:val="20"/>
                <w:szCs w:val="20"/>
                <w:lang w:val="en-US"/>
              </w:rPr>
            </w:r>
          </w:p>
          <w:p>
            <w:pPr>
              <w:pStyle w:val="Tabelleninhalt"/>
              <w:rPr>
                <w:sz w:val="20"/>
                <w:szCs w:val="20"/>
                <w:lang w:val="en-US"/>
              </w:rPr>
            </w:pPr>
            <w:r>
              <w:rPr>
                <w:sz w:val="20"/>
                <w:szCs w:val="20"/>
                <w:lang w:val="en-US"/>
              </w:rPr>
              <w:t>"[...]social barriers were only significant when perceived by parents."</w:t>
            </w:r>
          </w:p>
          <w:p>
            <w:pPr>
              <w:pStyle w:val="Tabelleninhalt"/>
              <w:rPr>
                <w:sz w:val="20"/>
                <w:szCs w:val="20"/>
                <w:lang w:val="en-US"/>
              </w:rPr>
            </w:pPr>
            <w:r>
              <w:rPr>
                <w:sz w:val="20"/>
                <w:szCs w:val="20"/>
                <w:lang w:val="en-US"/>
              </w:rPr>
            </w:r>
          </w:p>
          <w:p>
            <w:pPr>
              <w:pStyle w:val="Tabelleninhalt"/>
              <w:rPr>
                <w:sz w:val="20"/>
                <w:szCs w:val="20"/>
                <w:lang w:val="en-US"/>
              </w:rPr>
            </w:pPr>
            <w:r>
              <w:rPr>
                <w:sz w:val="20"/>
                <w:szCs w:val="20"/>
                <w:lang w:val="en-US"/>
              </w:rPr>
              <w:t>"[…] a combination of per-</w:t>
            </w:r>
          </w:p>
          <w:p>
            <w:pPr>
              <w:pStyle w:val="Tabelleninhalt"/>
              <w:rPr>
                <w:sz w:val="20"/>
                <w:szCs w:val="20"/>
                <w:lang w:val="en-US"/>
              </w:rPr>
            </w:pPr>
            <w:r>
              <w:rPr>
                <w:sz w:val="20"/>
                <w:szCs w:val="20"/>
                <w:lang w:val="en-US"/>
              </w:rPr>
              <w:t>ceptions on environmental, safety, social, and preference</w:t>
            </w:r>
          </w:p>
          <w:p>
            <w:pPr>
              <w:pStyle w:val="Tabelleninhalt"/>
              <w:rPr>
                <w:sz w:val="20"/>
                <w:szCs w:val="20"/>
              </w:rPr>
            </w:pPr>
            <w:r>
              <w:rPr>
                <w:sz w:val="20"/>
                <w:szCs w:val="20"/>
              </w:rPr>
              <w:t>barriers influence children AST."</w:t>
            </w:r>
          </w:p>
        </w:tc>
      </w:tr>
    </w:tbl>
    <w:p>
      <w:pPr>
        <w:pStyle w:val="Normal"/>
        <w:rPr>
          <w:sz w:val="20"/>
          <w:szCs w:val="20"/>
        </w:rPr>
      </w:pPr>
      <w:r>
        <w:rPr>
          <w:sz w:val="20"/>
          <w:szCs w:val="20"/>
        </w:rPr>
      </w:r>
    </w:p>
    <w:p>
      <w:pPr>
        <w:sectPr>
          <w:type w:val="nextPage"/>
          <w:pgSz w:w="11906" w:h="16838"/>
          <w:pgMar w:left="1134" w:right="1134" w:header="0" w:top="1134" w:footer="0" w:bottom="1134" w:gutter="0"/>
          <w:pgNumType w:fmt="decimal"/>
          <w:formProt w:val="false"/>
          <w:textDirection w:val="lrTb"/>
          <w:docGrid w:type="default" w:linePitch="312" w:charSpace="0"/>
        </w:sectPr>
      </w:pPr>
    </w:p>
    <w:p>
      <w:pPr>
        <w:pStyle w:val="Literaturverzeichnis1"/>
        <w:rPr>
          <w:sz w:val="20"/>
          <w:szCs w:val="20"/>
          <w:lang w:val="en-US"/>
        </w:rPr>
      </w:pPr>
      <w:bookmarkStart w:id="35" w:name="__UnoMark__1134_1371022195"/>
      <w:bookmarkEnd w:id="35"/>
      <w:r>
        <w:rPr>
          <w:sz w:val="20"/>
          <w:szCs w:val="20"/>
          <w:lang w:val="en-US"/>
        </w:rPr>
        <w:t>1. Lu W, McKyer ELJ, Lee C, Goodson P, Ory MG, Wang S. Perceived barriers to children’s active commuting to school: a systematic review of empirical, methodological and theoretical evidence. Int J Behav Nutr Phys Act. 2014;11:140.</w:t>
      </w:r>
    </w:p>
    <w:p>
      <w:pPr>
        <w:pStyle w:val="Literaturverzeichnis1"/>
        <w:rPr>
          <w:sz w:val="20"/>
          <w:szCs w:val="20"/>
          <w:lang w:val="en-US"/>
        </w:rPr>
      </w:pPr>
      <w:r>
        <w:rPr>
          <w:sz w:val="20"/>
          <w:szCs w:val="20"/>
          <w:lang w:val="en-US"/>
        </w:rPr>
        <w:t>2. Schönbach DMI, Vondung C, Hidding LM, Altenburg TM, Chinapaw MJM, Demetriou Y. Gender Influence on Students, Parents, and Teachers’ Perceptions of What Children and Adolescents in Germany Need to Cycle to School: A Concept Mapping Study. International Journal of Environmental Research and Public Health. 2020;17:6872.</w:t>
      </w:r>
    </w:p>
    <w:p>
      <w:pPr>
        <w:pStyle w:val="Literaturverzeichnis1"/>
        <w:rPr>
          <w:sz w:val="20"/>
          <w:szCs w:val="20"/>
          <w:lang w:val="en-US"/>
        </w:rPr>
      </w:pPr>
      <w:r>
        <w:rPr>
          <w:sz w:val="20"/>
          <w:szCs w:val="20"/>
          <w:lang w:val="en-US"/>
        </w:rPr>
        <w:t>3. Ozbil A, Yesiltepe D, Argin G, Rybarczyk G. Children’s Active School Travel: Examining the Combined Perceived and Objective Built-Environment Factors from Space Syntax. Int J Environ Res Public Health. 2021;18:E286.</w:t>
      </w:r>
    </w:p>
    <w:p>
      <w:pPr>
        <w:pStyle w:val="Literaturverzeichnis1"/>
        <w:rPr>
          <w:sz w:val="20"/>
          <w:szCs w:val="20"/>
          <w:lang w:val="en-US"/>
        </w:rPr>
      </w:pPr>
      <w:r>
        <w:rPr>
          <w:sz w:val="20"/>
          <w:szCs w:val="20"/>
          <w:lang w:val="en-US"/>
        </w:rPr>
        <w:t>4. Chillón P, Hales D, Vaughn A, Gizlice Z, Ni A, Ward DS. A cross-sectional study of demographic, environmental and parental barriers to active school travel among children in the United States. Int J Behav Nutr Phys Act. 2014;11:61.</w:t>
      </w:r>
    </w:p>
    <w:p>
      <w:pPr>
        <w:pStyle w:val="Literaturverzeichnis1"/>
        <w:rPr>
          <w:sz w:val="20"/>
          <w:szCs w:val="20"/>
          <w:lang w:val="en-US"/>
        </w:rPr>
      </w:pPr>
      <w:r>
        <w:rPr>
          <w:sz w:val="20"/>
          <w:szCs w:val="20"/>
          <w:lang w:val="en-US"/>
        </w:rPr>
        <w:t>5. Ikeda E, Hinckson E, Witten K, Smith M. Assessment of direct and indirect associations between children active school travel and environmental, household and child factors using structural equation modelling. Int J Behav Nutr Phys Act. 2019;16:32.</w:t>
      </w:r>
    </w:p>
    <w:p>
      <w:pPr>
        <w:pStyle w:val="Literaturverzeichnis1"/>
        <w:rPr>
          <w:sz w:val="20"/>
          <w:szCs w:val="20"/>
          <w:lang w:val="en-US"/>
        </w:rPr>
      </w:pPr>
      <w:r>
        <w:rPr>
          <w:sz w:val="20"/>
          <w:szCs w:val="20"/>
          <w:lang w:val="en-US"/>
        </w:rPr>
        <w:t>6. Aranda-Balboa MJ, Chillón P, Saucedo-Araujo RG, Molina-García J, Huertas-Delgado FJ. Children and Parental Barriers to Active Commuting to School: A Comparison Study. Int J Environ Res Public Health. 2021;18:2504.</w:t>
      </w:r>
    </w:p>
    <w:p>
      <w:pPr>
        <w:pStyle w:val="Literaturverzeichnis1"/>
        <w:rPr>
          <w:sz w:val="20"/>
          <w:szCs w:val="20"/>
          <w:lang w:val="en-US"/>
        </w:rPr>
      </w:pPr>
      <w:r>
        <w:rPr>
          <w:sz w:val="20"/>
          <w:szCs w:val="20"/>
          <w:lang w:val="en-US"/>
        </w:rPr>
        <w:t>7. Pfledderer CD, Burns RD, Byun W, Carson RL, Welk GJ, Brusseau TA. Parent and Child Perceptions of Barriers to Active School Commuting. J Sch Health. 2021;91:1014–23.</w:t>
      </w:r>
    </w:p>
    <w:p>
      <w:pPr>
        <w:pStyle w:val="Literaturverzeichnis1"/>
        <w:rPr>
          <w:sz w:val="20"/>
          <w:szCs w:val="20"/>
          <w:lang w:val="en-US"/>
        </w:rPr>
      </w:pPr>
      <w:r>
        <w:rPr>
          <w:sz w:val="20"/>
          <w:szCs w:val="20"/>
          <w:lang w:val="en-US"/>
        </w:rPr>
        <w:t>8. Onywera VO, Larouche R, Oyeyemi AL, Prista A, Akinroye KK, Heyker S, et al. Development and convergent validity of new self-administered questionnaires of active transportation in three African countries: Kenya, Mozambique and Nigeria. BMC Public Health. 2018;18:1018.</w:t>
      </w:r>
    </w:p>
    <w:p>
      <w:pPr>
        <w:pStyle w:val="Literaturverzeichnis1"/>
        <w:rPr>
          <w:sz w:val="20"/>
          <w:szCs w:val="20"/>
        </w:rPr>
      </w:pPr>
      <w:r>
        <w:rPr>
          <w:sz w:val="20"/>
          <w:szCs w:val="20"/>
          <w:lang w:val="en-US"/>
        </w:rPr>
        <w:t xml:space="preserve">9. Wilson K, Clark AF, Gilliland JA. Understanding Child and Parent Perceptions of Barriers Influencing Children’s Active School Travel. </w:t>
      </w:r>
      <w:r>
        <w:rPr>
          <w:sz w:val="20"/>
          <w:szCs w:val="20"/>
        </w:rPr>
        <w:t>BMC Public Health. 2018;18.</w:t>
      </w:r>
      <w:bookmarkStart w:id="36" w:name="__UnoMark__1137_1371022195"/>
      <w:bookmarkStart w:id="37" w:name="__UnoMark__1138_1371022195"/>
      <w:bookmarkStart w:id="38" w:name="__UnoMark__1145_1371022195"/>
      <w:bookmarkStart w:id="39" w:name="__UnoMark__1146_1371022195"/>
      <w:bookmarkEnd w:id="36"/>
      <w:bookmarkEnd w:id="37"/>
      <w:bookmarkEnd w:id="38"/>
      <w:bookmarkEnd w:id="39"/>
    </w:p>
    <w:p>
      <w:pPr>
        <w:sectPr>
          <w:type w:val="continuous"/>
          <w:pgSz w:w="11906" w:h="16838"/>
          <w:pgMar w:left="1134" w:right="1134" w:header="0" w:top="1134" w:footer="0" w:bottom="1134" w:gutter="0"/>
          <w:formProt w:val="false"/>
          <w:textDirection w:val="lrTb"/>
          <w:docGrid w:type="default" w:linePitch="312" w:charSpace="0"/>
        </w:sectPr>
      </w:pP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pPr>
      <w:r>
        <w:rPr/>
      </w:r>
    </w:p>
    <w:sectPr>
      <w:type w:val="continuous"/>
      <w:pgSz w:w="11906" w:h="16838"/>
      <w:pgMar w:left="1134" w:right="1134" w:header="0" w:top="1134" w:footer="0" w:bottom="1134" w:gutter="0"/>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Berschrift2"/>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Cs w:val="24"/>
        <w:lang w:val="de-DE" w:eastAsia="zh-CN" w:bidi="hi-IN"/>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overflowPunct w:val="false"/>
      <w:bidi w:val="0"/>
      <w:spacing w:before="0" w:after="0"/>
      <w:jc w:val="left"/>
    </w:pPr>
    <w:rPr>
      <w:rFonts w:ascii="Liberation Serif" w:hAnsi="Liberation Serif" w:eastAsia="Noto Serif CJK SC" w:cs="Lohit Devanagari"/>
      <w:color w:val="auto"/>
      <w:kern w:val="2"/>
      <w:sz w:val="24"/>
      <w:szCs w:val="24"/>
      <w:lang w:val="de-DE" w:eastAsia="zh-CN" w:bidi="hi-IN"/>
    </w:rPr>
  </w:style>
  <w:style w:type="paragraph" w:styleId="Berschrift2">
    <w:name w:val="Heading 2"/>
    <w:basedOn w:val="Berschrift"/>
    <w:next w:val="Textkrper"/>
    <w:uiPriority w:val="9"/>
    <w:semiHidden/>
    <w:unhideWhenUsed/>
    <w:qFormat/>
    <w:pPr>
      <w:numPr>
        <w:ilvl w:val="1"/>
        <w:numId w:val="1"/>
      </w:numPr>
      <w:spacing w:before="200" w:after="120"/>
      <w:outlineLvl w:val="1"/>
    </w:pPr>
    <w:rPr>
      <w:b/>
      <w:bCs/>
      <w:sz w:val="32"/>
      <w:szCs w:val="32"/>
    </w:rPr>
  </w:style>
  <w:style w:type="character" w:styleId="DefaultParagraphFont" w:default="1">
    <w:name w:val="Default Paragraph Font"/>
    <w:uiPriority w:val="1"/>
    <w:semiHidden/>
    <w:unhideWhenUsed/>
    <w:qFormat/>
    <w:rPr/>
  </w:style>
  <w:style w:type="character" w:styleId="Internetverknpfung" w:customStyle="1">
    <w:name w:val="Internetverknüpfung"/>
    <w:rPr>
      <w:color w:val="000080"/>
      <w:u w:val="single"/>
    </w:rPr>
  </w:style>
  <w:style w:type="character" w:styleId="Betont" w:customStyle="1">
    <w:name w:val="Betont"/>
    <w:qFormat/>
    <w:rPr>
      <w:i/>
      <w:iCs/>
    </w:rPr>
  </w:style>
  <w:style w:type="character" w:styleId="Starkbetont" w:customStyle="1">
    <w:name w:val="Stark betont"/>
    <w:qFormat/>
    <w:rPr>
      <w:b/>
      <w:bCs/>
    </w:rPr>
  </w:style>
  <w:style w:type="paragraph" w:styleId="Berschrift" w:customStyle="1">
    <w:name w:val="Überschrift"/>
    <w:basedOn w:val="Normal"/>
    <w:next w:val="Textkrper"/>
    <w:qFormat/>
    <w:pPr>
      <w:keepNext w:val="true"/>
      <w:spacing w:before="240" w:after="120"/>
    </w:pPr>
    <w:rPr>
      <w:rFonts w:ascii="Liberation Sans" w:hAnsi="Liberation Sans" w:eastAsia="Noto Sans CJK SC"/>
      <w:sz w:val="28"/>
      <w:szCs w:val="28"/>
    </w:rPr>
  </w:style>
  <w:style w:type="paragraph" w:styleId="Textkrper">
    <w:name w:val="Body Text"/>
    <w:basedOn w:val="Normal"/>
    <w:pPr>
      <w:spacing w:lineRule="auto" w:line="276" w:before="0" w:after="140"/>
    </w:pPr>
    <w:rPr/>
  </w:style>
  <w:style w:type="paragraph" w:styleId="Liste">
    <w:name w:val="List"/>
    <w:basedOn w:val="Textkrper"/>
    <w:pPr/>
    <w:rPr/>
  </w:style>
  <w:style w:type="paragraph" w:styleId="Beschriftung">
    <w:name w:val="Caption"/>
    <w:basedOn w:val="Normal"/>
    <w:qFormat/>
    <w:pPr>
      <w:suppressLineNumbers/>
      <w:spacing w:before="120" w:after="120"/>
    </w:pPr>
    <w:rPr>
      <w:rFonts w:cs="Lohit Devanagari"/>
      <w:i/>
      <w:iCs/>
      <w:sz w:val="24"/>
      <w:szCs w:val="24"/>
    </w:rPr>
  </w:style>
  <w:style w:type="paragraph" w:styleId="Verzeichnis" w:customStyle="1">
    <w:name w:val="Verzeichnis"/>
    <w:basedOn w:val="Normal"/>
    <w:qFormat/>
    <w:pPr>
      <w:suppressLineNumbers/>
    </w:pPr>
    <w:rPr/>
  </w:style>
  <w:style w:type="paragraph" w:styleId="Caption">
    <w:name w:val="caption"/>
    <w:basedOn w:val="Normal"/>
    <w:qFormat/>
    <w:pPr>
      <w:suppressLineNumbers/>
      <w:spacing w:before="120" w:after="120"/>
    </w:pPr>
    <w:rPr>
      <w:i/>
      <w:iCs/>
    </w:rPr>
  </w:style>
  <w:style w:type="paragraph" w:styleId="Tabelleninhalt" w:customStyle="1">
    <w:name w:val="Tabelleninhalt"/>
    <w:basedOn w:val="Normal"/>
    <w:qFormat/>
    <w:pPr>
      <w:suppressLineNumbers/>
    </w:pPr>
    <w:rPr/>
  </w:style>
  <w:style w:type="paragraph" w:styleId="Tabellenberschrift" w:customStyle="1">
    <w:name w:val="Tabellenüberschrift"/>
    <w:basedOn w:val="Tabelleninhalt"/>
    <w:qFormat/>
    <w:pPr>
      <w:jc w:val="center"/>
    </w:pPr>
    <w:rPr>
      <w:b/>
      <w:bCs/>
    </w:rPr>
  </w:style>
  <w:style w:type="paragraph" w:styleId="Literaturverzeichnis1" w:customStyle="1">
    <w:name w:val="Literaturverzeichnis 1"/>
    <w:basedOn w:val="Verzeichnis"/>
    <w:qFormat/>
    <w:pPr>
      <w:spacing w:lineRule="atLeast" w:line="240" w:before="0" w:after="240"/>
    </w:pPr>
    <w:rPr/>
  </w:style>
  <w:style w:type="numbering" w:styleId="NoList" w:default="1">
    <w:name w:val="No List"/>
    <w:uiPriority w:val="99"/>
    <w:semiHidden/>
    <w:unhideWhenUsed/>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Application>LibreOffice/6.3.5.2$Linux_X86_64 LibreOffice_project/30$Build-2</Application>
  <Pages>2</Pages>
  <Words>809</Words>
  <Characters>4599</Characters>
  <CharactersWithSpaces>5376</CharactersWithSpaces>
  <Paragraphs>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2022-12-19T16:46:00Z</dcterms:created>
  <dc:creator>Wex, Isabel</dc:creator>
  <dc:description/>
  <dc:language>de-DE</dc:language>
  <cp:lastModifiedBy/>
  <dcterms:modified xsi:type="dcterms:W3CDTF">2023-01-08T12:17:38Z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y fmtid="{D5CDD505-2E9C-101B-9397-08002B2CF9AE}" pid="8" name="ZOTERO_PREF_1">
    <vt:lpwstr>&lt;data data-version="3" zotero-version="5.0.80"&gt;&lt;session id="Pq5hInSe"/&gt;&lt;style id="http://www.zotero.org/styles/bmc-public-health" hasBibliography="1" bibliographyStyleHasBeenSet="1"/&gt;&lt;prefs&gt;&lt;pref name="fieldType" value="ReferenceMark"/&gt;&lt;/prefs&gt;&lt;/data&gt;</vt:lpwstr>
  </property>
</Properties>
</file>