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950" w:rsidRPr="009F78EF" w:rsidRDefault="00426950" w:rsidP="00426950">
      <w:pPr>
        <w:pStyle w:val="Heading1"/>
        <w:spacing w:before="0" w:line="276" w:lineRule="auto"/>
        <w:jc w:val="both"/>
        <w:rPr>
          <w:rFonts w:ascii="Times New Roman" w:hAnsi="Times New Roman" w:cs="Times New Roman"/>
          <w:b/>
          <w:color w:val="auto"/>
          <w:sz w:val="24"/>
          <w:szCs w:val="24"/>
          <w:lang w:val="en-US"/>
        </w:rPr>
      </w:pPr>
      <w:bookmarkStart w:id="0" w:name="_Toc129355987"/>
      <w:bookmarkStart w:id="1" w:name="_Toc129621276"/>
      <w:bookmarkStart w:id="2" w:name="_GoBack"/>
      <w:bookmarkEnd w:id="2"/>
      <w:proofErr w:type="gramStart"/>
      <w:r w:rsidRPr="009F78EF">
        <w:rPr>
          <w:rFonts w:ascii="Times New Roman" w:hAnsi="Times New Roman" w:cs="Times New Roman"/>
          <w:b/>
          <w:color w:val="auto"/>
          <w:sz w:val="24"/>
          <w:szCs w:val="24"/>
          <w:lang w:val="en-GB"/>
        </w:rPr>
        <w:t>ADDITIONAL FILE 2.</w:t>
      </w:r>
      <w:proofErr w:type="gramEnd"/>
      <w:r w:rsidRPr="009F78EF">
        <w:rPr>
          <w:rFonts w:ascii="Times New Roman" w:hAnsi="Times New Roman" w:cs="Times New Roman"/>
          <w:b/>
          <w:color w:val="auto"/>
          <w:sz w:val="24"/>
          <w:szCs w:val="24"/>
          <w:lang w:val="en-GB"/>
        </w:rPr>
        <w:t xml:space="preserve"> </w:t>
      </w:r>
      <w:r w:rsidRPr="009F78EF">
        <w:rPr>
          <w:rFonts w:ascii="Times New Roman" w:hAnsi="Times New Roman" w:cs="Times New Roman"/>
          <w:b/>
          <w:color w:val="auto"/>
          <w:sz w:val="24"/>
          <w:szCs w:val="24"/>
          <w:lang w:val="en-US"/>
        </w:rPr>
        <w:t>MATHEMATICAL APPENDIX</w:t>
      </w:r>
      <w:bookmarkEnd w:id="0"/>
      <w:bookmarkEnd w:id="1"/>
    </w:p>
    <w:p w:rsidR="00426950" w:rsidRPr="009F78EF" w:rsidRDefault="00426950" w:rsidP="00426950">
      <w:pPr>
        <w:spacing w:line="276" w:lineRule="auto"/>
        <w:jc w:val="both"/>
        <w:rPr>
          <w:lang w:val="en-US"/>
        </w:rPr>
      </w:pPr>
    </w:p>
    <w:p w:rsidR="00426950" w:rsidRPr="009F78EF" w:rsidRDefault="00426950" w:rsidP="00426950">
      <w:pPr>
        <w:pStyle w:val="Heading2"/>
        <w:numPr>
          <w:ilvl w:val="1"/>
          <w:numId w:val="1"/>
        </w:numPr>
        <w:spacing w:before="0" w:line="276" w:lineRule="auto"/>
        <w:jc w:val="both"/>
        <w:rPr>
          <w:rFonts w:ascii="Times New Roman" w:hAnsi="Times New Roman" w:cs="Times New Roman"/>
          <w:b/>
          <w:color w:val="auto"/>
          <w:sz w:val="24"/>
          <w:szCs w:val="24"/>
          <w:lang w:val="en-US"/>
        </w:rPr>
      </w:pPr>
      <w:r w:rsidRPr="009F78EF">
        <w:rPr>
          <w:rFonts w:ascii="Times New Roman" w:hAnsi="Times New Roman" w:cs="Times New Roman"/>
          <w:b/>
          <w:color w:val="auto"/>
          <w:sz w:val="24"/>
          <w:szCs w:val="24"/>
          <w:lang w:val="en-US"/>
        </w:rPr>
        <w:t xml:space="preserve"> </w:t>
      </w:r>
      <w:bookmarkStart w:id="3" w:name="_Toc129355988"/>
      <w:bookmarkStart w:id="4" w:name="_Toc129621277"/>
      <w:r w:rsidRPr="009F78EF">
        <w:rPr>
          <w:rFonts w:ascii="Times New Roman" w:hAnsi="Times New Roman" w:cs="Times New Roman"/>
          <w:b/>
          <w:color w:val="auto"/>
          <w:sz w:val="24"/>
          <w:szCs w:val="24"/>
          <w:lang w:val="en-US"/>
        </w:rPr>
        <w:t>Fractionalization index</w:t>
      </w:r>
      <w:bookmarkEnd w:id="3"/>
      <w:bookmarkEnd w:id="4"/>
    </w:p>
    <w:p w:rsidR="00426950" w:rsidRPr="009F78EF" w:rsidRDefault="00426950" w:rsidP="00426950">
      <w:pPr>
        <w:spacing w:line="276" w:lineRule="auto"/>
        <w:jc w:val="both"/>
      </w:pPr>
    </w:p>
    <w:p w:rsidR="00426950" w:rsidRPr="009F78EF" w:rsidRDefault="00426950" w:rsidP="00426950">
      <w:pPr>
        <w:spacing w:line="276" w:lineRule="auto"/>
        <w:jc w:val="both"/>
        <w:rPr>
          <w:lang w:val="en-US"/>
        </w:rPr>
      </w:pPr>
      <w:r w:rsidRPr="009F78EF">
        <w:rPr>
          <w:lang w:val="en-US"/>
        </w:rPr>
        <w:t>The fractionalization index (</w:t>
      </w:r>
      <m:oMath>
        <m:r>
          <w:rPr>
            <w:rFonts w:ascii="Cambria Math" w:hAnsi="Cambria Math"/>
          </w:rPr>
          <m:t>F</m:t>
        </m:r>
      </m:oMath>
      <w:r w:rsidRPr="009F78EF">
        <w:rPr>
          <w:lang w:val="en-US"/>
        </w:rPr>
        <w:t xml:space="preserve">) can be expressed as: </w:t>
      </w:r>
    </w:p>
    <w:p w:rsidR="00426950" w:rsidRPr="009F78EF" w:rsidRDefault="00426950" w:rsidP="00426950">
      <w:pPr>
        <w:spacing w:line="276" w:lineRule="auto"/>
        <w:jc w:val="both"/>
        <w:rPr>
          <w:lang w:val="en-US"/>
        </w:rPr>
      </w:pPr>
    </w:p>
    <w:p w:rsidR="00426950" w:rsidRPr="00FE0DD6" w:rsidRDefault="00426950" w:rsidP="00426950">
      <w:pPr>
        <w:spacing w:line="276" w:lineRule="auto"/>
        <w:jc w:val="both"/>
        <w:rPr>
          <w:rFonts w:eastAsiaTheme="minorEastAsia"/>
          <w:iCs/>
          <w:color w:val="000000" w:themeColor="text1"/>
          <w:lang w:eastAsia="en-US"/>
        </w:rPr>
      </w:pPr>
      <m:oMathPara>
        <m:oMath>
          <m:r>
            <w:rPr>
              <w:rFonts w:ascii="Cambria Math" w:hAnsi="Cambria Math"/>
            </w:rPr>
            <m:t>F</m:t>
          </m:r>
          <m:r>
            <w:rPr>
              <w:rFonts w:ascii="Cambria Math" w:hAnsi="Cambria Math"/>
              <w:lang w:val="en-US"/>
            </w:rPr>
            <m:t>=1- </m:t>
          </m:r>
          <m:nary>
            <m:naryPr>
              <m:chr m:val="∑"/>
              <m:limLoc m:val="undOvr"/>
              <m:ctrlPr>
                <w:rPr>
                  <w:rFonts w:ascii="Cambria Math" w:hAnsi="Cambria Math"/>
                  <w:i/>
                  <w:iCs/>
                  <w:lang w:eastAsia="en-US"/>
                </w:rPr>
              </m:ctrlPr>
            </m:naryPr>
            <m:sub>
              <m:r>
                <w:rPr>
                  <w:rFonts w:ascii="Cambria Math" w:hAnsi="Cambria Math"/>
                  <w:lang w:eastAsia="en-US"/>
                </w:rPr>
                <m:t>i=1</m:t>
              </m:r>
            </m:sub>
            <m:sup>
              <m:r>
                <w:rPr>
                  <w:rFonts w:ascii="Cambria Math" w:hAnsi="Cambria Math"/>
                  <w:lang w:eastAsia="en-US"/>
                </w:rPr>
                <m:t>k</m:t>
              </m:r>
            </m:sup>
            <m:e>
              <m:sSubSup>
                <m:sSubSupPr>
                  <m:ctrlPr>
                    <w:rPr>
                      <w:rFonts w:ascii="Cambria Math" w:hAnsi="Cambria Math"/>
                      <w:i/>
                      <w:iCs/>
                      <w:lang w:eastAsia="en-US"/>
                    </w:rPr>
                  </m:ctrlPr>
                </m:sSubSupPr>
                <m:e>
                  <m:r>
                    <w:rPr>
                      <w:rFonts w:ascii="Cambria Math" w:hAnsi="Cambria Math"/>
                      <w:lang w:eastAsia="en-US"/>
                    </w:rPr>
                    <m:t>p</m:t>
                  </m:r>
                </m:e>
                <m:sub>
                  <m:r>
                    <w:rPr>
                      <w:rFonts w:ascii="Cambria Math" w:hAnsi="Cambria Math"/>
                      <w:lang w:eastAsia="en-US"/>
                    </w:rPr>
                    <m:t>i</m:t>
                  </m:r>
                </m:sub>
                <m:sup>
                  <m:r>
                    <w:rPr>
                      <w:rFonts w:ascii="Cambria Math" w:hAnsi="Cambria Math"/>
                      <w:lang w:eastAsia="en-US"/>
                    </w:rPr>
                    <m:t>2</m:t>
                  </m:r>
                </m:sup>
              </m:sSubSup>
            </m:e>
          </m:nary>
          <m:r>
            <w:rPr>
              <w:rFonts w:ascii="Cambria Math" w:eastAsiaTheme="minorEastAsia" w:hAnsi="Cambria Math"/>
              <w:color w:val="000000" w:themeColor="text1"/>
              <w:lang w:eastAsia="en-US"/>
            </w:rPr>
            <m:t xml:space="preserve">          [1]</m:t>
          </m:r>
        </m:oMath>
      </m:oMathPara>
    </w:p>
    <w:p w:rsidR="00426950" w:rsidRPr="009F78EF" w:rsidRDefault="00426950" w:rsidP="00426950">
      <w:pPr>
        <w:spacing w:line="276" w:lineRule="auto"/>
        <w:jc w:val="both"/>
        <w:rPr>
          <w:rFonts w:eastAsiaTheme="minorEastAsia"/>
          <w:iCs/>
          <w:lang w:val="en-US"/>
        </w:rPr>
      </w:pPr>
    </w:p>
    <w:p w:rsidR="00426950" w:rsidRPr="009F78EF" w:rsidRDefault="00426950" w:rsidP="00426950">
      <w:pPr>
        <w:spacing w:line="276" w:lineRule="auto"/>
        <w:jc w:val="both"/>
        <w:rPr>
          <w:lang w:val="en-US"/>
        </w:rPr>
      </w:pPr>
      <w:proofErr w:type="gramStart"/>
      <w:r w:rsidRPr="009F78EF">
        <w:rPr>
          <w:lang w:val="en-US"/>
        </w:rPr>
        <w:t>where</w:t>
      </w:r>
      <w:proofErr w:type="gramEnd"/>
      <w:r w:rsidRPr="009F78EF">
        <w:rPr>
          <w:lang w:val="en-US"/>
        </w:rPr>
        <w:t xml:space="preserve"> </w:t>
      </w:r>
      <m:oMath>
        <m:sSub>
          <m:sSubPr>
            <m:ctrlPr>
              <w:rPr>
                <w:rFonts w:ascii="Cambria Math" w:hAnsi="Cambria Math"/>
                <w:i/>
                <w:iCs/>
                <w:lang w:eastAsia="en-US"/>
              </w:rPr>
            </m:ctrlPr>
          </m:sSubPr>
          <m:e>
            <m:r>
              <w:rPr>
                <w:rFonts w:ascii="Cambria Math" w:hAnsi="Cambria Math"/>
              </w:rPr>
              <m:t>p</m:t>
            </m:r>
          </m:e>
          <m:sub>
            <m:r>
              <w:rPr>
                <w:rFonts w:ascii="Cambria Math" w:hAnsi="Cambria Math"/>
              </w:rPr>
              <m:t>i</m:t>
            </m:r>
          </m:sub>
        </m:sSub>
      </m:oMath>
      <w:r w:rsidRPr="009F78EF">
        <w:rPr>
          <w:lang w:val="en-US"/>
        </w:rPr>
        <w:t xml:space="preserve"> is the share of deaths from cause </w:t>
      </w:r>
      <m:oMath>
        <m:r>
          <w:rPr>
            <w:rFonts w:ascii="Cambria Math" w:hAnsi="Cambria Math"/>
            <w:lang w:eastAsia="en-US"/>
          </w:rPr>
          <m:t>i</m:t>
        </m:r>
      </m:oMath>
      <w:r w:rsidRPr="009F78EF">
        <w:rPr>
          <w:iCs/>
          <w:lang w:val="en-US" w:eastAsia="en-US"/>
        </w:rPr>
        <w:t xml:space="preserve"> taken from the life table, and </w:t>
      </w:r>
      <m:oMath>
        <m:r>
          <w:rPr>
            <w:rFonts w:ascii="Cambria Math" w:hAnsi="Cambria Math"/>
            <w:lang w:eastAsia="en-US"/>
          </w:rPr>
          <m:t>k</m:t>
        </m:r>
      </m:oMath>
      <w:r w:rsidRPr="009F78EF">
        <w:rPr>
          <w:iCs/>
          <w:lang w:val="en-US" w:eastAsia="en-US"/>
        </w:rPr>
        <w:t xml:space="preserve"> is the number of causes of death. By construction, the sum of the different </w:t>
      </w:r>
      <m:oMath>
        <m:sSub>
          <m:sSubPr>
            <m:ctrlPr>
              <w:rPr>
                <w:rFonts w:ascii="Cambria Math" w:hAnsi="Cambria Math"/>
                <w:i/>
                <w:iCs/>
                <w:lang w:eastAsia="en-US"/>
              </w:rPr>
            </m:ctrlPr>
          </m:sSubPr>
          <m:e>
            <m:r>
              <w:rPr>
                <w:rFonts w:ascii="Cambria Math" w:hAnsi="Cambria Math"/>
              </w:rPr>
              <m:t>p</m:t>
            </m:r>
          </m:e>
          <m:sub>
            <m:r>
              <w:rPr>
                <w:rFonts w:ascii="Cambria Math" w:hAnsi="Cambria Math"/>
              </w:rPr>
              <m:t>i</m:t>
            </m:r>
          </m:sub>
        </m:sSub>
      </m:oMath>
      <w:r w:rsidRPr="009F78EF">
        <w:rPr>
          <w:iCs/>
          <w:lang w:val="en-US" w:eastAsia="en-US"/>
        </w:rPr>
        <w:t xml:space="preserve"> equals 1. </w:t>
      </w:r>
      <w:r w:rsidRPr="009F78EF">
        <w:rPr>
          <w:lang w:val="en-US"/>
        </w:rPr>
        <w:t xml:space="preserve">Assuming all deaths are classified in a list of mutually exclusive causes, the index is defined as the probability that two randomly chosen deaths are attributable to different causes. The Fractionalization index is </w:t>
      </w:r>
      <w:r>
        <w:rPr>
          <w:lang w:val="en-US"/>
        </w:rPr>
        <w:t xml:space="preserve">also known as </w:t>
      </w:r>
      <w:r w:rsidRPr="009F78EF">
        <w:rPr>
          <w:lang w:val="en-US"/>
        </w:rPr>
        <w:t>the Simpson index</w:t>
      </w:r>
      <w:r>
        <w:rPr>
          <w:lang w:val="en-US"/>
        </w:rPr>
        <w:t xml:space="preserve"> of diversity</w:t>
      </w:r>
      <w:r w:rsidRPr="009F78EF">
        <w:rPr>
          <w:lang w:val="en-US"/>
        </w:rPr>
        <w:t>, which has been widely used in ecology studies to assess the extent of biodiversity in an ecosystem.</w:t>
      </w:r>
    </w:p>
    <w:p w:rsidR="00426950" w:rsidRPr="009F78EF" w:rsidRDefault="00426950" w:rsidP="00426950">
      <w:pPr>
        <w:spacing w:line="276" w:lineRule="auto"/>
        <w:jc w:val="both"/>
        <w:rPr>
          <w:lang w:val="en-US"/>
        </w:rPr>
      </w:pPr>
    </w:p>
    <w:p w:rsidR="00426950" w:rsidRPr="009F78EF" w:rsidRDefault="00426950" w:rsidP="00426950">
      <w:pPr>
        <w:pStyle w:val="Heading2"/>
        <w:numPr>
          <w:ilvl w:val="1"/>
          <w:numId w:val="1"/>
        </w:numPr>
        <w:spacing w:before="0" w:line="276" w:lineRule="auto"/>
        <w:rPr>
          <w:rFonts w:ascii="Times New Roman" w:hAnsi="Times New Roman" w:cs="Times New Roman"/>
          <w:b/>
          <w:color w:val="auto"/>
          <w:sz w:val="24"/>
          <w:szCs w:val="24"/>
          <w:lang w:val="en-US"/>
        </w:rPr>
      </w:pPr>
      <w:r w:rsidRPr="009F78EF">
        <w:rPr>
          <w:rFonts w:ascii="Times New Roman" w:hAnsi="Times New Roman" w:cs="Times New Roman"/>
          <w:b/>
          <w:color w:val="auto"/>
          <w:sz w:val="24"/>
          <w:szCs w:val="24"/>
          <w:lang w:val="en-US"/>
        </w:rPr>
        <w:t xml:space="preserve"> </w:t>
      </w:r>
      <w:bookmarkStart w:id="5" w:name="_Toc129355989"/>
      <w:bookmarkStart w:id="6" w:name="_Toc129621278"/>
      <w:r w:rsidRPr="009F78EF">
        <w:rPr>
          <w:rFonts w:ascii="Times New Roman" w:hAnsi="Times New Roman" w:cs="Times New Roman"/>
          <w:b/>
          <w:color w:val="auto"/>
          <w:sz w:val="24"/>
          <w:szCs w:val="24"/>
          <w:lang w:val="en-US"/>
        </w:rPr>
        <w:t>Life expectancy at birth</w:t>
      </w:r>
      <w:bookmarkEnd w:id="5"/>
      <w:bookmarkEnd w:id="6"/>
    </w:p>
    <w:p w:rsidR="00426950" w:rsidRPr="009F78EF" w:rsidRDefault="00426950" w:rsidP="00426950">
      <w:pPr>
        <w:pStyle w:val="ListParagraph"/>
        <w:spacing w:after="0" w:line="276" w:lineRule="auto"/>
        <w:ind w:left="360"/>
        <w:rPr>
          <w:rFonts w:ascii="Times New Roman" w:hAnsi="Times New Roman" w:cs="Times New Roman"/>
          <w:sz w:val="24"/>
          <w:szCs w:val="24"/>
        </w:rPr>
      </w:pPr>
    </w:p>
    <w:p w:rsidR="00426950" w:rsidRPr="009F78EF" w:rsidRDefault="00426950" w:rsidP="00426950">
      <w:pPr>
        <w:spacing w:line="276" w:lineRule="auto"/>
        <w:jc w:val="both"/>
        <w:rPr>
          <w:lang w:val="en-US"/>
        </w:rPr>
      </w:pPr>
      <w:r w:rsidRPr="009F78EF">
        <w:rPr>
          <w:lang w:val="en-US"/>
        </w:rPr>
        <w:t xml:space="preserve">Life expectancy at birth can be defined as the average number of years a cohort would expect to live if it experienced the prevailing mortality rates, from birth to death, in a period of </w:t>
      </w:r>
      <w:proofErr w:type="gramStart"/>
      <w:r w:rsidRPr="009F78EF">
        <w:rPr>
          <w:lang w:val="en-US"/>
        </w:rPr>
        <w:t xml:space="preserve">time </w:t>
      </w:r>
      <w:proofErr w:type="gramEnd"/>
      <m:oMath>
        <m:r>
          <w:rPr>
            <w:rFonts w:ascii="Cambria Math" w:eastAsia="Cambria Math" w:hAnsi="Cambria Math"/>
          </w:rPr>
          <m:t>t</m:t>
        </m:r>
      </m:oMath>
      <w:r w:rsidRPr="009F78EF">
        <w:rPr>
          <w:lang w:val="en-US"/>
        </w:rPr>
        <w:t>. Formally, it is calculated as:</w:t>
      </w:r>
    </w:p>
    <w:p w:rsidR="00426950" w:rsidRPr="009F78EF" w:rsidRDefault="00426950" w:rsidP="00426950">
      <w:pPr>
        <w:spacing w:line="276" w:lineRule="auto"/>
        <w:jc w:val="both"/>
        <w:rPr>
          <w:lang w:val="en-US"/>
        </w:rPr>
      </w:pPr>
    </w:p>
    <w:p w:rsidR="00426950" w:rsidRPr="009F78EF" w:rsidRDefault="00426950" w:rsidP="00426950">
      <w:pPr>
        <w:spacing w:line="276" w:lineRule="auto"/>
        <w:jc w:val="center"/>
        <w:rPr>
          <w:lang w:eastAsia="en-US"/>
        </w:rPr>
      </w:pPr>
      <m:oMathPara>
        <m:oMath>
          <m:sSub>
            <m:sSubPr>
              <m:ctrlPr>
                <w:rPr>
                  <w:rFonts w:ascii="Cambria Math" w:eastAsia="Cambria Math" w:hAnsi="Cambria Math"/>
                  <w:i/>
                  <w:lang w:val="en-US"/>
                </w:rPr>
              </m:ctrlPr>
            </m:sSubPr>
            <m:e>
              <m:r>
                <w:rPr>
                  <w:rFonts w:ascii="Cambria Math" w:eastAsia="Cambria Math" w:hAnsi="Cambria Math"/>
                  <w:lang w:val="en-US"/>
                </w:rPr>
                <m:t>e</m:t>
              </m:r>
            </m:e>
            <m:sub>
              <m:r>
                <w:rPr>
                  <w:rFonts w:ascii="Cambria Math" w:eastAsia="Cambria Math" w:hAnsi="Cambria Math"/>
                  <w:lang w:val="en-US"/>
                </w:rPr>
                <m:t>0</m:t>
              </m:r>
            </m:sub>
          </m:sSub>
          <m:d>
            <m:dPr>
              <m:ctrlPr>
                <w:rPr>
                  <w:rFonts w:ascii="Cambria Math" w:eastAsia="Cambria Math" w:hAnsi="Cambria Math"/>
                  <w:i/>
                  <w:lang w:val="en-US"/>
                </w:rPr>
              </m:ctrlPr>
            </m:dPr>
            <m:e>
              <m:r>
                <w:rPr>
                  <w:rFonts w:ascii="Cambria Math" w:eastAsia="Cambria Math" w:hAnsi="Cambria Math"/>
                </w:rPr>
                <m:t>t</m:t>
              </m:r>
            </m:e>
          </m:d>
          <m:r>
            <w:rPr>
              <w:rFonts w:ascii="Cambria Math" w:eastAsia="Cambria Math" w:hAnsi="Cambria Math"/>
              <w:lang w:val="en-US"/>
            </w:rPr>
            <m:t xml:space="preserve">= </m:t>
          </m:r>
          <m:nary>
            <m:naryPr>
              <m:ctrlPr>
                <w:rPr>
                  <w:rFonts w:ascii="Cambria Math" w:eastAsia="Cambria Math" w:hAnsi="Cambria Math"/>
                  <w:lang w:eastAsia="en-US"/>
                </w:rPr>
              </m:ctrlPr>
            </m:naryPr>
            <m:sub>
              <m:r>
                <w:rPr>
                  <w:rFonts w:ascii="Cambria Math" w:eastAsia="Cambria Math" w:hAnsi="Cambria Math"/>
                  <w:lang w:val="en-US"/>
                </w:rPr>
                <m:t>0</m:t>
              </m:r>
            </m:sub>
            <m:sup>
              <m:r>
                <w:rPr>
                  <w:rFonts w:ascii="Cambria Math" w:eastAsia="Cambria Math" w:hAnsi="Cambria Math"/>
                </w:rPr>
                <m:t>ω</m:t>
              </m:r>
            </m:sup>
            <m:e>
              <m:r>
                <w:rPr>
                  <w:rFonts w:ascii="Cambria Math" w:eastAsia="Cambria Math" w:hAnsi="Cambria Math"/>
                </w:rPr>
                <m:t>l</m:t>
              </m:r>
              <m:d>
                <m:dPr>
                  <m:ctrlPr>
                    <w:rPr>
                      <w:rFonts w:ascii="Cambria Math" w:eastAsia="Cambria Math" w:hAnsi="Cambria Math"/>
                      <w:lang w:eastAsia="en-US"/>
                    </w:rPr>
                  </m:ctrlPr>
                </m:dPr>
                <m:e>
                  <m:r>
                    <w:rPr>
                      <w:rFonts w:ascii="Cambria Math" w:eastAsia="Cambria Math" w:hAnsi="Cambria Math"/>
                    </w:rPr>
                    <m:t>a</m:t>
                  </m:r>
                  <m:r>
                    <w:rPr>
                      <w:rFonts w:ascii="Cambria Math" w:eastAsia="Cambria Math" w:hAnsi="Cambria Math"/>
                      <w:lang w:val="en-US"/>
                    </w:rPr>
                    <m:t xml:space="preserve">, </m:t>
                  </m:r>
                  <m:r>
                    <w:rPr>
                      <w:rFonts w:ascii="Cambria Math" w:eastAsia="Cambria Math" w:hAnsi="Cambria Math"/>
                    </w:rPr>
                    <m:t>t</m:t>
                  </m:r>
                </m:e>
              </m:d>
              <m:r>
                <w:rPr>
                  <w:rFonts w:ascii="Cambria Math" w:eastAsia="Cambria Math" w:hAnsi="Cambria Math"/>
                </w:rPr>
                <m:t>da</m:t>
              </m:r>
            </m:e>
          </m:nary>
          <m:r>
            <w:rPr>
              <w:rFonts w:ascii="Cambria Math" w:hAnsi="Cambria Math"/>
              <w:lang w:eastAsia="en-US"/>
            </w:rPr>
            <m:t xml:space="preserve">          [2]</m:t>
          </m:r>
        </m:oMath>
      </m:oMathPara>
    </w:p>
    <w:p w:rsidR="00426950" w:rsidRPr="009F78EF" w:rsidRDefault="00426950" w:rsidP="00426950">
      <w:pPr>
        <w:spacing w:line="276" w:lineRule="auto"/>
        <w:jc w:val="center"/>
        <w:rPr>
          <w:lang w:val="en-US"/>
        </w:rPr>
      </w:pPr>
      <w:r w:rsidRPr="009F78EF">
        <w:rPr>
          <w:lang w:val="en-US"/>
        </w:rPr>
        <w:t xml:space="preserve">                </w:t>
      </w:r>
      <w:r w:rsidRPr="009F78EF">
        <w:rPr>
          <w:lang w:val="en-US"/>
        </w:rPr>
        <w:tab/>
        <w:t xml:space="preserve"> </w:t>
      </w:r>
    </w:p>
    <w:p w:rsidR="00426950" w:rsidRPr="009F78EF" w:rsidRDefault="00426950" w:rsidP="00426950">
      <w:pPr>
        <w:spacing w:line="276" w:lineRule="auto"/>
        <w:jc w:val="both"/>
        <w:rPr>
          <w:lang w:val="en-US"/>
        </w:rPr>
      </w:pPr>
      <w:proofErr w:type="gramStart"/>
      <w:r w:rsidRPr="009F78EF">
        <w:rPr>
          <w:lang w:val="en-US"/>
        </w:rPr>
        <w:t>where</w:t>
      </w:r>
      <w:proofErr w:type="gramEnd"/>
      <w:r w:rsidRPr="009F78EF">
        <w:rPr>
          <w:lang w:val="en-US"/>
        </w:rPr>
        <w:t xml:space="preserve"> </w:t>
      </w:r>
      <m:oMath>
        <m:r>
          <w:rPr>
            <w:rFonts w:ascii="Cambria Math" w:eastAsia="Cambria Math" w:hAnsi="Cambria Math"/>
          </w:rPr>
          <m:t>l</m:t>
        </m:r>
        <m:d>
          <m:dPr>
            <m:ctrlPr>
              <w:rPr>
                <w:rFonts w:ascii="Cambria Math" w:eastAsia="Cambria Math" w:hAnsi="Cambria Math"/>
                <w:lang w:eastAsia="en-US"/>
              </w:rPr>
            </m:ctrlPr>
          </m:dPr>
          <m:e>
            <m:r>
              <w:rPr>
                <w:rFonts w:ascii="Cambria Math" w:eastAsia="Cambria Math" w:hAnsi="Cambria Math"/>
              </w:rPr>
              <m:t>a</m:t>
            </m:r>
            <m:r>
              <w:rPr>
                <w:rFonts w:ascii="Cambria Math" w:eastAsia="Cambria Math" w:hAnsi="Cambria Math"/>
                <w:lang w:val="en-US"/>
              </w:rPr>
              <m:t xml:space="preserve">, </m:t>
            </m:r>
            <m:r>
              <w:rPr>
                <w:rFonts w:ascii="Cambria Math" w:eastAsia="Cambria Math" w:hAnsi="Cambria Math"/>
              </w:rPr>
              <m:t>t</m:t>
            </m:r>
          </m:e>
        </m:d>
      </m:oMath>
      <w:r w:rsidRPr="009F78EF">
        <w:rPr>
          <w:lang w:val="en-US"/>
        </w:rPr>
        <w:t xml:space="preserve"> is the probability of survival from birth to age</w:t>
      </w:r>
      <w:r w:rsidRPr="009F78EF">
        <w:rPr>
          <w:i/>
          <w:lang w:val="en-US"/>
        </w:rPr>
        <w:t xml:space="preserve"> </w:t>
      </w:r>
      <m:oMath>
        <m:r>
          <w:rPr>
            <w:rFonts w:ascii="Cambria Math" w:eastAsia="Cambria Math" w:hAnsi="Cambria Math"/>
          </w:rPr>
          <m:t>a</m:t>
        </m:r>
      </m:oMath>
      <w:r w:rsidRPr="009F78EF">
        <w:rPr>
          <w:lang w:val="en-US"/>
        </w:rPr>
        <w:t xml:space="preserve"> at time </w:t>
      </w:r>
      <m:oMath>
        <m:r>
          <w:rPr>
            <w:rFonts w:ascii="Cambria Math" w:eastAsia="Cambria Math" w:hAnsi="Cambria Math"/>
          </w:rPr>
          <m:t>t</m:t>
        </m:r>
      </m:oMath>
      <w:r w:rsidRPr="009F78EF">
        <w:rPr>
          <w:lang w:val="en-US"/>
        </w:rPr>
        <w:t xml:space="preserve"> from the life table, and </w:t>
      </w:r>
      <m:oMath>
        <m:r>
          <w:rPr>
            <w:rFonts w:ascii="Cambria Math" w:eastAsia="Cambria Math" w:hAnsi="Cambria Math"/>
          </w:rPr>
          <m:t>ω</m:t>
        </m:r>
      </m:oMath>
      <w:r w:rsidRPr="009F78EF">
        <w:rPr>
          <w:lang w:val="en-US"/>
        </w:rPr>
        <w:t xml:space="preserve"> is the maximum lifespan. More generally, the life expectancy at age </w:t>
      </w:r>
      <m:oMath>
        <m:r>
          <w:rPr>
            <w:rFonts w:ascii="Cambria Math" w:hAnsi="Cambria Math"/>
            <w:lang w:val="en-US"/>
          </w:rPr>
          <m:t>x</m:t>
        </m:r>
      </m:oMath>
      <w:r w:rsidRPr="009F78EF">
        <w:rPr>
          <w:lang w:val="en-US"/>
        </w:rPr>
        <w:t xml:space="preserve"> in time </w:t>
      </w:r>
      <m:oMath>
        <m:r>
          <w:rPr>
            <w:rFonts w:ascii="Cambria Math" w:eastAsia="Cambria Math" w:hAnsi="Cambria Math"/>
          </w:rPr>
          <m:t>t</m:t>
        </m:r>
      </m:oMath>
      <w:r w:rsidRPr="009F78EF">
        <w:rPr>
          <w:lang w:val="en-US"/>
        </w:rPr>
        <w:t xml:space="preserve"> is defined as:</w:t>
      </w:r>
    </w:p>
    <w:p w:rsidR="00426950" w:rsidRPr="009F78EF" w:rsidRDefault="00426950" w:rsidP="00426950">
      <w:pPr>
        <w:spacing w:line="276" w:lineRule="auto"/>
        <w:jc w:val="both"/>
        <w:rPr>
          <w:lang w:val="en-US"/>
        </w:rPr>
      </w:pPr>
    </w:p>
    <w:p w:rsidR="00426950" w:rsidRPr="009F78EF" w:rsidRDefault="00426950" w:rsidP="00426950">
      <w:pPr>
        <w:spacing w:line="276" w:lineRule="auto"/>
        <w:jc w:val="center"/>
        <w:rPr>
          <w:lang w:eastAsia="en-US"/>
        </w:rPr>
      </w:pPr>
      <m:oMathPara>
        <m:oMath>
          <m:sSub>
            <m:sSubPr>
              <m:ctrlPr>
                <w:rPr>
                  <w:rFonts w:ascii="Cambria Math" w:eastAsia="Cambria Math" w:hAnsi="Cambria Math"/>
                  <w:i/>
                  <w:lang w:val="en-US"/>
                </w:rPr>
              </m:ctrlPr>
            </m:sSubPr>
            <m:e>
              <m:r>
                <w:rPr>
                  <w:rFonts w:ascii="Cambria Math" w:eastAsia="Cambria Math" w:hAnsi="Cambria Math"/>
                  <w:lang w:val="en-US"/>
                </w:rPr>
                <m:t>e</m:t>
              </m:r>
            </m:e>
            <m:sub>
              <m:r>
                <w:rPr>
                  <w:rFonts w:ascii="Cambria Math" w:eastAsia="Cambria Math" w:hAnsi="Cambria Math"/>
                  <w:lang w:val="en-US"/>
                </w:rPr>
                <m:t>x</m:t>
              </m:r>
            </m:sub>
          </m:sSub>
          <m:d>
            <m:dPr>
              <m:ctrlPr>
                <w:rPr>
                  <w:rFonts w:ascii="Cambria Math" w:eastAsia="Cambria Math" w:hAnsi="Cambria Math"/>
                  <w:i/>
                  <w:lang w:val="en-US"/>
                </w:rPr>
              </m:ctrlPr>
            </m:dPr>
            <m:e>
              <m:r>
                <w:rPr>
                  <w:rFonts w:ascii="Cambria Math" w:eastAsia="Cambria Math" w:hAnsi="Cambria Math"/>
                </w:rPr>
                <m:t>t</m:t>
              </m:r>
            </m:e>
          </m:d>
          <m:r>
            <w:rPr>
              <w:rFonts w:ascii="Cambria Math" w:eastAsia="Cambria Math" w:hAnsi="Cambria Math"/>
              <w:lang w:val="en-US"/>
            </w:rPr>
            <m:t xml:space="preserve">= </m:t>
          </m:r>
          <m:nary>
            <m:naryPr>
              <m:ctrlPr>
                <w:rPr>
                  <w:rFonts w:ascii="Cambria Math" w:eastAsia="Cambria Math" w:hAnsi="Cambria Math"/>
                  <w:lang w:eastAsia="en-US"/>
                </w:rPr>
              </m:ctrlPr>
            </m:naryPr>
            <m:sub>
              <m:r>
                <w:rPr>
                  <w:rFonts w:ascii="Cambria Math" w:eastAsia="Cambria Math" w:hAnsi="Cambria Math"/>
                  <w:lang w:val="en-US"/>
                </w:rPr>
                <m:t>x</m:t>
              </m:r>
            </m:sub>
            <m:sup>
              <m:r>
                <w:rPr>
                  <w:rFonts w:ascii="Cambria Math" w:eastAsia="Cambria Math" w:hAnsi="Cambria Math"/>
                </w:rPr>
                <m:t>ω</m:t>
              </m:r>
            </m:sup>
            <m:e>
              <m:r>
                <w:rPr>
                  <w:rFonts w:ascii="Cambria Math" w:eastAsia="Cambria Math" w:hAnsi="Cambria Math"/>
                </w:rPr>
                <m:t>l</m:t>
              </m:r>
              <m:d>
                <m:dPr>
                  <m:ctrlPr>
                    <w:rPr>
                      <w:rFonts w:ascii="Cambria Math" w:eastAsia="Cambria Math" w:hAnsi="Cambria Math"/>
                      <w:lang w:eastAsia="en-US"/>
                    </w:rPr>
                  </m:ctrlPr>
                </m:dPr>
                <m:e>
                  <m:r>
                    <w:rPr>
                      <w:rFonts w:ascii="Cambria Math" w:eastAsia="Cambria Math" w:hAnsi="Cambria Math"/>
                    </w:rPr>
                    <m:t>a</m:t>
                  </m:r>
                  <m:r>
                    <w:rPr>
                      <w:rFonts w:ascii="Cambria Math" w:eastAsia="Cambria Math" w:hAnsi="Cambria Math"/>
                      <w:lang w:val="en-US"/>
                    </w:rPr>
                    <m:t xml:space="preserve">, </m:t>
                  </m:r>
                  <m:r>
                    <w:rPr>
                      <w:rFonts w:ascii="Cambria Math" w:eastAsia="Cambria Math" w:hAnsi="Cambria Math"/>
                    </w:rPr>
                    <m:t>t</m:t>
                  </m:r>
                </m:e>
              </m:d>
              <m:r>
                <w:rPr>
                  <w:rFonts w:ascii="Cambria Math" w:eastAsia="Cambria Math" w:hAnsi="Cambria Math"/>
                </w:rPr>
                <m:t>da</m:t>
              </m:r>
            </m:e>
          </m:nary>
          <m:r>
            <w:rPr>
              <w:rFonts w:ascii="Cambria Math" w:hAnsi="Cambria Math"/>
              <w:lang w:eastAsia="en-US"/>
            </w:rPr>
            <m:t xml:space="preserve">          [3]</m:t>
          </m:r>
        </m:oMath>
      </m:oMathPara>
    </w:p>
    <w:p w:rsidR="00426950" w:rsidRPr="009F78EF" w:rsidRDefault="00426950" w:rsidP="00426950">
      <w:pPr>
        <w:spacing w:line="276" w:lineRule="auto"/>
        <w:jc w:val="both"/>
        <w:rPr>
          <w:lang w:val="en-US"/>
        </w:rPr>
      </w:pPr>
    </w:p>
    <w:p w:rsidR="00426950" w:rsidRPr="009F78EF" w:rsidRDefault="00426950" w:rsidP="00426950">
      <w:pPr>
        <w:spacing w:line="276" w:lineRule="auto"/>
        <w:jc w:val="both"/>
        <w:rPr>
          <w:lang w:val="en-US"/>
        </w:rPr>
      </w:pPr>
    </w:p>
    <w:p w:rsidR="00426950" w:rsidRPr="009F78EF" w:rsidRDefault="00426950" w:rsidP="00426950">
      <w:pPr>
        <w:pStyle w:val="Heading2"/>
        <w:numPr>
          <w:ilvl w:val="1"/>
          <w:numId w:val="1"/>
        </w:numPr>
        <w:spacing w:before="0" w:line="276" w:lineRule="auto"/>
        <w:rPr>
          <w:rFonts w:ascii="Times New Roman" w:hAnsi="Times New Roman" w:cs="Times New Roman"/>
          <w:b/>
          <w:color w:val="auto"/>
          <w:sz w:val="24"/>
          <w:szCs w:val="24"/>
          <w:lang w:val="en-US"/>
        </w:rPr>
      </w:pPr>
      <w:bookmarkStart w:id="7" w:name="_Toc129355990"/>
      <w:bookmarkStart w:id="8" w:name="_Toc129621279"/>
      <w:r w:rsidRPr="009F78EF">
        <w:rPr>
          <w:rFonts w:ascii="Times New Roman" w:hAnsi="Times New Roman" w:cs="Times New Roman"/>
          <w:b/>
          <w:color w:val="auto"/>
          <w:sz w:val="24"/>
          <w:szCs w:val="24"/>
          <w:lang w:val="en-US"/>
        </w:rPr>
        <w:t>Life disparity</w:t>
      </w:r>
      <w:bookmarkEnd w:id="7"/>
      <w:bookmarkEnd w:id="8"/>
    </w:p>
    <w:p w:rsidR="00426950" w:rsidRPr="009F78EF" w:rsidRDefault="00426950" w:rsidP="00426950">
      <w:pPr>
        <w:spacing w:line="276" w:lineRule="auto"/>
        <w:rPr>
          <w:lang w:val="en-US"/>
        </w:rPr>
      </w:pPr>
    </w:p>
    <w:p w:rsidR="00426950" w:rsidRPr="009F78EF" w:rsidRDefault="00426950" w:rsidP="00426950">
      <w:pPr>
        <w:spacing w:line="276" w:lineRule="auto"/>
        <w:jc w:val="both"/>
        <w:rPr>
          <w:lang w:val="en-US"/>
        </w:rPr>
      </w:pPr>
      <w:r w:rsidRPr="009F78EF">
        <w:rPr>
          <w:lang w:val="en-US"/>
        </w:rPr>
        <w:t>The dispersion of age at death is measured by the life disparity indicator, e-dagger (</w:t>
      </w:r>
      <m:oMath>
        <m:sSubSup>
          <m:sSubSupPr>
            <m:ctrlPr>
              <w:rPr>
                <w:rFonts w:ascii="Cambria Math" w:eastAsia="Cambria Math" w:hAnsi="Cambria Math"/>
                <w:lang w:val="en-US" w:eastAsia="en-US"/>
              </w:rPr>
            </m:ctrlPr>
          </m:sSubSupPr>
          <m:e>
            <m:r>
              <w:rPr>
                <w:rFonts w:ascii="Cambria Math" w:eastAsia="Cambria Math" w:hAnsi="Cambria Math"/>
                <w:lang w:val="en-US"/>
              </w:rPr>
              <m:t>e</m:t>
            </m:r>
          </m:e>
          <m:sub>
            <m:r>
              <w:rPr>
                <w:rFonts w:ascii="Cambria Math" w:eastAsia="Cambria Math" w:hAnsi="Cambria Math"/>
                <w:lang w:val="en-US" w:eastAsia="en-US"/>
              </w:rPr>
              <m:t>0</m:t>
            </m:r>
          </m:sub>
          <m:sup>
            <m:r>
              <w:rPr>
                <w:rFonts w:ascii="Cambria Math" w:eastAsia="Cambria Math" w:hAnsi="Cambria Math"/>
                <w:lang w:val="en-US"/>
              </w:rPr>
              <m:t>†</m:t>
            </m:r>
          </m:sup>
        </m:sSubSup>
      </m:oMath>
      <w:r w:rsidRPr="009F78EF">
        <w:rPr>
          <w:lang w:val="en-US"/>
        </w:rPr>
        <w:t>), which in turn can be defined as the average remaining life expectancy weighted by the age distribution of deaths:</w:t>
      </w:r>
    </w:p>
    <w:p w:rsidR="00426950" w:rsidRPr="009F78EF" w:rsidRDefault="00426950" w:rsidP="00426950">
      <w:pPr>
        <w:spacing w:line="276" w:lineRule="auto"/>
        <w:jc w:val="both"/>
        <w:rPr>
          <w:lang w:val="en-US"/>
        </w:rPr>
      </w:pPr>
    </w:p>
    <w:p w:rsidR="00426950" w:rsidRPr="009F78EF" w:rsidRDefault="00426950" w:rsidP="00426950">
      <w:pPr>
        <w:spacing w:line="276" w:lineRule="auto"/>
        <w:jc w:val="center"/>
        <w:rPr>
          <w:lang w:val="en-US" w:eastAsia="en-US"/>
        </w:rPr>
      </w:pPr>
      <m:oMathPara>
        <m:oMath>
          <m:sSubSup>
            <m:sSubSupPr>
              <m:ctrlPr>
                <w:rPr>
                  <w:rFonts w:ascii="Cambria Math" w:eastAsia="Cambria Math" w:hAnsi="Cambria Math"/>
                  <w:lang w:val="en-US" w:eastAsia="en-US"/>
                </w:rPr>
              </m:ctrlPr>
            </m:sSubSupPr>
            <m:e>
              <m:r>
                <w:rPr>
                  <w:rFonts w:ascii="Cambria Math" w:eastAsia="Cambria Math" w:hAnsi="Cambria Math"/>
                  <w:lang w:val="en-US"/>
                </w:rPr>
                <m:t>e</m:t>
              </m:r>
            </m:e>
            <m:sub>
              <m:r>
                <w:rPr>
                  <w:rFonts w:ascii="Cambria Math" w:eastAsia="Cambria Math" w:hAnsi="Cambria Math"/>
                  <w:lang w:val="en-US" w:eastAsia="en-US"/>
                </w:rPr>
                <m:t>0</m:t>
              </m:r>
            </m:sub>
            <m:sup>
              <m:r>
                <w:rPr>
                  <w:rFonts w:ascii="Cambria Math" w:eastAsia="Cambria Math" w:hAnsi="Cambria Math"/>
                  <w:lang w:val="en-US"/>
                </w:rPr>
                <m:t>†</m:t>
              </m:r>
            </m:sup>
          </m:sSubSup>
          <m:d>
            <m:dPr>
              <m:ctrlPr>
                <w:rPr>
                  <w:rFonts w:ascii="Cambria Math" w:eastAsia="Cambria Math" w:hAnsi="Cambria Math"/>
                  <w:i/>
                  <w:lang w:val="en-US"/>
                </w:rPr>
              </m:ctrlPr>
            </m:dPr>
            <m:e>
              <m:r>
                <w:rPr>
                  <w:rFonts w:ascii="Cambria Math" w:eastAsia="Cambria Math" w:hAnsi="Cambria Math"/>
                  <w:lang w:val="en-US"/>
                </w:rPr>
                <m:t>t</m:t>
              </m:r>
            </m:e>
          </m:d>
          <m:r>
            <w:rPr>
              <w:rFonts w:ascii="Cambria Math" w:eastAsia="Cambria Math" w:hAnsi="Cambria Math"/>
              <w:lang w:val="en-US"/>
            </w:rPr>
            <m:t xml:space="preserve">= </m:t>
          </m:r>
          <m:nary>
            <m:naryPr>
              <m:ctrlPr>
                <w:rPr>
                  <w:rFonts w:ascii="Cambria Math" w:eastAsia="Cambria Math" w:hAnsi="Cambria Math"/>
                  <w:lang w:val="en-US" w:eastAsia="en-US"/>
                </w:rPr>
              </m:ctrlPr>
            </m:naryPr>
            <m:sub>
              <m:r>
                <w:rPr>
                  <w:rFonts w:ascii="Cambria Math" w:eastAsia="Cambria Math" w:hAnsi="Cambria Math"/>
                  <w:lang w:val="en-US"/>
                </w:rPr>
                <m:t>0</m:t>
              </m:r>
            </m:sub>
            <m:sup>
              <m:r>
                <w:rPr>
                  <w:rFonts w:ascii="Cambria Math" w:eastAsia="Cambria Math" w:hAnsi="Cambria Math"/>
                  <w:lang w:val="en-US"/>
                </w:rPr>
                <m:t>ω</m:t>
              </m:r>
            </m:sup>
            <m:e>
              <m:sSub>
                <m:sSubPr>
                  <m:ctrlPr>
                    <w:rPr>
                      <w:rFonts w:ascii="Cambria Math" w:eastAsia="Cambria Math" w:hAnsi="Cambria Math"/>
                      <w:i/>
                      <w:lang w:val="en-US"/>
                    </w:rPr>
                  </m:ctrlPr>
                </m:sSubPr>
                <m:e>
                  <m:r>
                    <w:rPr>
                      <w:rFonts w:ascii="Cambria Math" w:eastAsia="Cambria Math" w:hAnsi="Cambria Math"/>
                      <w:lang w:val="en-US"/>
                    </w:rPr>
                    <m:t>e</m:t>
                  </m:r>
                </m:e>
                <m:sub>
                  <m:r>
                    <w:rPr>
                      <w:rFonts w:ascii="Cambria Math" w:eastAsia="Cambria Math" w:hAnsi="Cambria Math"/>
                      <w:lang w:val="en-US"/>
                    </w:rPr>
                    <m:t>x</m:t>
                  </m:r>
                </m:sub>
              </m:sSub>
              <m:d>
                <m:dPr>
                  <m:ctrlPr>
                    <w:rPr>
                      <w:rFonts w:ascii="Cambria Math" w:eastAsia="Cambria Math" w:hAnsi="Cambria Math"/>
                      <w:i/>
                      <w:lang w:val="en-US"/>
                    </w:rPr>
                  </m:ctrlPr>
                </m:dPr>
                <m:e>
                  <m:r>
                    <w:rPr>
                      <w:rFonts w:ascii="Cambria Math" w:eastAsia="Cambria Math" w:hAnsi="Cambria Math"/>
                      <w:lang w:val="en-US"/>
                    </w:rPr>
                    <m:t>t</m:t>
                  </m:r>
                </m:e>
              </m:d>
              <m:r>
                <w:rPr>
                  <w:rFonts w:ascii="Cambria Math" w:eastAsia="Cambria Math" w:hAnsi="Cambria Math"/>
                  <w:lang w:val="en-US"/>
                </w:rPr>
                <m:t>f</m:t>
              </m:r>
              <m:d>
                <m:dPr>
                  <m:ctrlPr>
                    <w:rPr>
                      <w:rFonts w:ascii="Cambria Math" w:eastAsia="Cambria Math" w:hAnsi="Cambria Math"/>
                      <w:lang w:val="en-US" w:eastAsia="en-US"/>
                    </w:rPr>
                  </m:ctrlPr>
                </m:dPr>
                <m:e>
                  <m:r>
                    <w:rPr>
                      <w:rFonts w:ascii="Cambria Math" w:eastAsia="Cambria Math" w:hAnsi="Cambria Math"/>
                      <w:lang w:val="en-US"/>
                    </w:rPr>
                    <m:t>x,t</m:t>
                  </m:r>
                </m:e>
              </m:d>
              <m:r>
                <w:rPr>
                  <w:rFonts w:ascii="Cambria Math" w:eastAsia="Cambria Math" w:hAnsi="Cambria Math"/>
                  <w:lang w:val="en-US"/>
                </w:rPr>
                <m:t>dx         [4]</m:t>
              </m:r>
            </m:e>
          </m:nary>
        </m:oMath>
      </m:oMathPara>
    </w:p>
    <w:p w:rsidR="00426950" w:rsidRPr="009F78EF" w:rsidRDefault="00426950" w:rsidP="00426950">
      <w:pPr>
        <w:spacing w:line="276" w:lineRule="auto"/>
        <w:rPr>
          <w:lang w:val="en-US"/>
        </w:rPr>
      </w:pPr>
    </w:p>
    <w:p w:rsidR="00426950" w:rsidRPr="009F78EF" w:rsidRDefault="00426950" w:rsidP="00426950">
      <w:pPr>
        <w:spacing w:line="276" w:lineRule="auto"/>
        <w:rPr>
          <w:i/>
          <w:lang w:val="en-US"/>
        </w:rPr>
      </w:pPr>
      <w:proofErr w:type="gramStart"/>
      <w:r w:rsidRPr="009F78EF">
        <w:rPr>
          <w:lang w:val="en-US"/>
        </w:rPr>
        <w:t>where</w:t>
      </w:r>
      <w:proofErr w:type="gramEnd"/>
      <w:r w:rsidRPr="009F78EF">
        <w:rPr>
          <w:lang w:val="en-US"/>
        </w:rPr>
        <w:t xml:space="preserve"> </w:t>
      </w:r>
      <m:oMath>
        <m:sSub>
          <m:sSubPr>
            <m:ctrlPr>
              <w:rPr>
                <w:rFonts w:ascii="Cambria Math" w:eastAsia="Cambria Math" w:hAnsi="Cambria Math"/>
                <w:i/>
                <w:lang w:val="en-US"/>
              </w:rPr>
            </m:ctrlPr>
          </m:sSubPr>
          <m:e>
            <m:r>
              <w:rPr>
                <w:rFonts w:ascii="Cambria Math" w:eastAsia="Cambria Math" w:hAnsi="Cambria Math"/>
                <w:lang w:val="en-US"/>
              </w:rPr>
              <m:t>e</m:t>
            </m:r>
          </m:e>
          <m:sub>
            <m:r>
              <w:rPr>
                <w:rFonts w:ascii="Cambria Math" w:eastAsia="Cambria Math" w:hAnsi="Cambria Math"/>
                <w:lang w:val="en-US"/>
              </w:rPr>
              <m:t>x</m:t>
            </m:r>
          </m:sub>
        </m:sSub>
        <m:d>
          <m:dPr>
            <m:ctrlPr>
              <w:rPr>
                <w:rFonts w:ascii="Cambria Math" w:eastAsia="Cambria Math" w:hAnsi="Cambria Math"/>
                <w:i/>
                <w:lang w:val="en-US"/>
              </w:rPr>
            </m:ctrlPr>
          </m:dPr>
          <m:e>
            <m:r>
              <w:rPr>
                <w:rFonts w:ascii="Cambria Math" w:eastAsia="Cambria Math" w:hAnsi="Cambria Math"/>
                <w:lang w:val="en-US"/>
              </w:rPr>
              <m:t>t</m:t>
            </m:r>
          </m:e>
        </m:d>
      </m:oMath>
      <w:r w:rsidRPr="009F78EF">
        <w:rPr>
          <w:lang w:val="en-US"/>
        </w:rPr>
        <w:t xml:space="preserve"> is the remaining life expectancy at age </w:t>
      </w:r>
      <m:oMath>
        <m:r>
          <w:rPr>
            <w:rFonts w:ascii="Cambria Math" w:hAnsi="Cambria Math"/>
            <w:lang w:val="en-US"/>
          </w:rPr>
          <m:t>x</m:t>
        </m:r>
      </m:oMath>
      <w:r w:rsidRPr="009F78EF">
        <w:rPr>
          <w:lang w:val="en-US"/>
        </w:rPr>
        <w:t xml:space="preserve"> and time </w:t>
      </w:r>
      <m:oMath>
        <m:r>
          <w:rPr>
            <w:rFonts w:ascii="Cambria Math" w:eastAsia="Cambria Math" w:hAnsi="Cambria Math"/>
            <w:lang w:val="en-US"/>
          </w:rPr>
          <m:t>t</m:t>
        </m:r>
      </m:oMath>
      <w:r w:rsidRPr="009F78EF">
        <w:rPr>
          <w:lang w:val="en-US"/>
        </w:rPr>
        <w:t xml:space="preserve"> (see equation [3]), and </w:t>
      </w:r>
      <m:oMath>
        <m:r>
          <w:rPr>
            <w:rFonts w:ascii="Cambria Math" w:eastAsia="Cambria Math" w:hAnsi="Cambria Math"/>
            <w:lang w:val="en-US"/>
          </w:rPr>
          <m:t>f</m:t>
        </m:r>
        <m:d>
          <m:dPr>
            <m:ctrlPr>
              <w:rPr>
                <w:rFonts w:ascii="Cambria Math" w:eastAsia="Cambria Math" w:hAnsi="Cambria Math"/>
                <w:lang w:val="en-US" w:eastAsia="en-US"/>
              </w:rPr>
            </m:ctrlPr>
          </m:dPr>
          <m:e>
            <m:r>
              <w:rPr>
                <w:rFonts w:ascii="Cambria Math" w:eastAsia="Cambria Math" w:hAnsi="Cambria Math"/>
                <w:lang w:val="en-US"/>
              </w:rPr>
              <m:t>x,t</m:t>
            </m:r>
          </m:e>
        </m:d>
      </m:oMath>
      <w:r w:rsidRPr="009F78EF">
        <w:rPr>
          <w:lang w:val="en-US" w:eastAsia="en-US"/>
        </w:rPr>
        <w:t xml:space="preserve"> is the life table distribution of deaths </w:t>
      </w:r>
      <w:r w:rsidRPr="009F78EF">
        <w:rPr>
          <w:lang w:val="en-US"/>
        </w:rPr>
        <w:t xml:space="preserve">at age </w:t>
      </w:r>
      <m:oMath>
        <m:r>
          <w:rPr>
            <w:rFonts w:ascii="Cambria Math" w:hAnsi="Cambria Math"/>
            <w:lang w:val="en-US"/>
          </w:rPr>
          <m:t>x</m:t>
        </m:r>
      </m:oMath>
      <w:r w:rsidRPr="009F78EF">
        <w:rPr>
          <w:lang w:val="en-US"/>
        </w:rPr>
        <w:t xml:space="preserve"> and time </w:t>
      </w:r>
      <m:oMath>
        <m:r>
          <w:rPr>
            <w:rFonts w:ascii="Cambria Math" w:eastAsia="Cambria Math" w:hAnsi="Cambria Math"/>
            <w:lang w:val="en-US"/>
          </w:rPr>
          <m:t>t</m:t>
        </m:r>
      </m:oMath>
      <w:r w:rsidRPr="009F78EF">
        <w:rPr>
          <w:lang w:val="en-US"/>
        </w:rPr>
        <w:t>.</w:t>
      </w:r>
    </w:p>
    <w:p w:rsidR="00426950" w:rsidRPr="009F78EF" w:rsidRDefault="00426950" w:rsidP="00426950">
      <w:pPr>
        <w:spacing w:line="276" w:lineRule="auto"/>
        <w:rPr>
          <w:lang w:val="en-US"/>
        </w:rPr>
      </w:pPr>
    </w:p>
    <w:p w:rsidR="00426950" w:rsidRPr="009F78EF" w:rsidRDefault="00426950" w:rsidP="00426950">
      <w:pPr>
        <w:spacing w:line="276" w:lineRule="auto"/>
        <w:rPr>
          <w:lang w:val="en-US"/>
        </w:rPr>
      </w:pPr>
    </w:p>
    <w:p w:rsidR="00426950" w:rsidRPr="00BB0E53" w:rsidRDefault="00426950" w:rsidP="00426950">
      <w:pPr>
        <w:pStyle w:val="Heading2"/>
        <w:numPr>
          <w:ilvl w:val="1"/>
          <w:numId w:val="1"/>
        </w:numPr>
        <w:spacing w:before="0" w:line="276" w:lineRule="auto"/>
        <w:rPr>
          <w:rFonts w:ascii="Times New Roman" w:hAnsi="Times New Roman"/>
          <w:b/>
          <w:color w:val="000000" w:themeColor="text1"/>
          <w:sz w:val="24"/>
          <w:lang w:val="en-US"/>
        </w:rPr>
      </w:pPr>
      <w:r w:rsidRPr="00BB0E53">
        <w:rPr>
          <w:rFonts w:ascii="Times New Roman" w:hAnsi="Times New Roman"/>
          <w:b/>
          <w:color w:val="000000" w:themeColor="text1"/>
          <w:sz w:val="24"/>
          <w:lang w:val="en-US"/>
        </w:rPr>
        <w:t xml:space="preserve"> </w:t>
      </w:r>
      <w:bookmarkStart w:id="9" w:name="_Toc129355991"/>
      <w:bookmarkStart w:id="10" w:name="_Toc129621280"/>
      <w:r w:rsidRPr="00BB0E53">
        <w:rPr>
          <w:rFonts w:ascii="Times New Roman" w:hAnsi="Times New Roman"/>
          <w:b/>
          <w:color w:val="000000" w:themeColor="text1"/>
          <w:sz w:val="24"/>
          <w:lang w:val="en-US"/>
        </w:rPr>
        <w:t>Decomposition</w:t>
      </w:r>
      <w:bookmarkEnd w:id="9"/>
      <w:bookmarkEnd w:id="10"/>
    </w:p>
    <w:p w:rsidR="00426950" w:rsidRPr="009F78EF" w:rsidRDefault="00426950" w:rsidP="00426950">
      <w:pPr>
        <w:rPr>
          <w:lang w:val="en-US" w:eastAsia="en-US"/>
        </w:rPr>
      </w:pPr>
    </w:p>
    <w:p w:rsidR="00426950" w:rsidRPr="006A7F01" w:rsidRDefault="00426950" w:rsidP="00426950">
      <w:pPr>
        <w:spacing w:line="360" w:lineRule="auto"/>
        <w:jc w:val="both"/>
        <w:rPr>
          <w:color w:val="0E101A"/>
          <w:lang w:val="en-US"/>
        </w:rPr>
      </w:pPr>
      <w:r w:rsidRPr="009F78EF">
        <w:rPr>
          <w:lang w:val="en-US"/>
        </w:rPr>
        <w:t>The decomposition method used here is based on the line integral model (</w:t>
      </w:r>
      <w:proofErr w:type="spellStart"/>
      <w:r w:rsidRPr="009F78EF">
        <w:rPr>
          <w:lang w:val="en-US"/>
        </w:rPr>
        <w:t>Horiuchi</w:t>
      </w:r>
      <w:proofErr w:type="spellEnd"/>
      <w:r w:rsidRPr="009F78EF">
        <w:rPr>
          <w:lang w:val="en-US"/>
        </w:rPr>
        <w:t xml:space="preserve"> et al. 2008). Suppose that the Fractionalization index </w:t>
      </w:r>
      <w:r w:rsidRPr="009F78EF">
        <w:rPr>
          <w:i/>
          <w:lang w:val="en-US"/>
        </w:rPr>
        <w:t>F</w:t>
      </w:r>
      <w:r w:rsidRPr="009F78EF">
        <w:rPr>
          <w:lang w:val="en-US"/>
        </w:rPr>
        <w:t xml:space="preserve"> is a differentiable function of n covariates (age-cause specific mortality rate) denoted by the vector A=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m:t>
            </m:r>
          </m:sub>
        </m:sSub>
      </m:oMath>
      <w:r w:rsidRPr="009F78EF">
        <w:rPr>
          <w:lang w:val="en-US"/>
        </w:rPr>
        <w:t>]</w:t>
      </w:r>
      <w:r w:rsidRPr="009F78EF">
        <w:rPr>
          <w:vertAlign w:val="superscript"/>
          <w:lang w:val="en-US"/>
        </w:rPr>
        <w:t>T</w:t>
      </w:r>
      <w:r w:rsidRPr="009F78EF">
        <w:rPr>
          <w:lang w:val="en-US"/>
        </w:rPr>
        <w:t xml:space="preserve">. Assume that </w:t>
      </w:r>
      <w:r w:rsidRPr="009F78EF">
        <w:rPr>
          <w:i/>
          <w:lang w:val="en-US"/>
        </w:rPr>
        <w:t>F</w:t>
      </w:r>
      <w:r w:rsidRPr="009F78EF">
        <w:rPr>
          <w:lang w:val="en-US"/>
        </w:rPr>
        <w:t xml:space="preserve"> and A depend on the underlying dimension </w:t>
      </w:r>
      <w:r w:rsidRPr="009F78EF">
        <w:rPr>
          <w:i/>
          <w:lang w:val="en-US"/>
        </w:rPr>
        <w:t>t</w:t>
      </w:r>
      <w:r w:rsidRPr="009F78EF">
        <w:rPr>
          <w:lang w:val="en-US"/>
        </w:rPr>
        <w:t xml:space="preserve">, which is time in this case, and that we have observations available in two time points, 1990 and 2019. Assuming that A is a differentiable function of </w:t>
      </w:r>
      <w:r w:rsidRPr="009F78EF">
        <w:rPr>
          <w:i/>
          <w:lang w:val="en-US"/>
        </w:rPr>
        <w:t>t</w:t>
      </w:r>
      <w:r w:rsidRPr="009F78EF">
        <w:rPr>
          <w:lang w:val="en-US"/>
        </w:rPr>
        <w:t xml:space="preserve"> between 1990 and 2019, the difference in </w:t>
      </w:r>
      <w:r w:rsidRPr="009F78EF">
        <w:rPr>
          <w:i/>
          <w:lang w:val="en-US"/>
        </w:rPr>
        <w:t>F</w:t>
      </w:r>
      <w:r w:rsidRPr="009F78EF">
        <w:rPr>
          <w:lang w:val="en-US"/>
        </w:rPr>
        <w:t xml:space="preserve"> over time can be </w:t>
      </w:r>
      <w:r w:rsidRPr="006A7F01">
        <w:rPr>
          <w:color w:val="0E101A"/>
          <w:lang w:val="en-US"/>
        </w:rPr>
        <w:t>expressed as a sum of the effects of the covariates:</w:t>
      </w:r>
    </w:p>
    <w:p w:rsidR="00426950" w:rsidRPr="006A7F01" w:rsidRDefault="00426950" w:rsidP="00426950">
      <w:pPr>
        <w:spacing w:line="360" w:lineRule="auto"/>
        <w:jc w:val="both"/>
        <w:rPr>
          <w:color w:val="0E101A"/>
          <w:lang w:val="en-US"/>
        </w:rPr>
      </w:pPr>
      <w:r w:rsidRPr="006A7F01">
        <w:rPr>
          <w:color w:val="0E101A"/>
          <w:lang w:val="en-US"/>
        </w:rPr>
        <w:t> </w:t>
      </w:r>
    </w:p>
    <w:p w:rsidR="00426950" w:rsidRPr="009F78EF" w:rsidRDefault="00426950" w:rsidP="00426950">
      <w:pPr>
        <w:pStyle w:val="NormalWeb"/>
        <w:spacing w:before="0" w:beforeAutospacing="0" w:after="0" w:afterAutospacing="0" w:line="360" w:lineRule="auto"/>
        <w:jc w:val="center"/>
        <w:rPr>
          <w:lang w:val="en-US"/>
        </w:rPr>
      </w:pPr>
      <m:oMath>
        <m:r>
          <w:rPr>
            <w:rFonts w:ascii="Cambria Math" w:hAnsi="Cambria Math"/>
            <w:lang w:val="en-US"/>
          </w:rPr>
          <m:t xml:space="preserve">∆F= </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2019</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1990</m:t>
            </m:r>
          </m:sub>
        </m:sSub>
        <m:r>
          <w:rPr>
            <w:rFonts w:ascii="Cambria Math" w:hAnsi="Cambria Math"/>
            <w:lang w:val="en-US"/>
          </w:rPr>
          <m:t xml:space="preserve">= </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e>
        </m:nary>
      </m:oMath>
      <w:r w:rsidRPr="009F78EF">
        <w:rPr>
          <w:lang w:val="en-US"/>
        </w:rPr>
        <w:t xml:space="preserve">  </w:t>
      </w:r>
      <w:proofErr w:type="gramStart"/>
      <w:r w:rsidRPr="009F78EF">
        <w:rPr>
          <w:lang w:val="en-US"/>
        </w:rPr>
        <w:t>where</w:t>
      </w:r>
      <w:proofErr w:type="gramEnd"/>
      <w:r w:rsidRPr="009F78EF">
        <w:rPr>
          <w:lang w:val="en-US"/>
        </w:rPr>
        <w:t xml:space="preserv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 xml:space="preserve">= </m:t>
        </m:r>
        <m:nary>
          <m:naryPr>
            <m:limLoc m:val="subSup"/>
            <m:ctrlPr>
              <w:rPr>
                <w:rFonts w:ascii="Cambria Math" w:hAnsi="Cambria Math"/>
                <w:i/>
                <w:lang w:val="en-US"/>
              </w:rPr>
            </m:ctrlPr>
          </m:naryPr>
          <m:sub>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i1</m:t>
                </m:r>
              </m:sub>
            </m:sSub>
          </m:sub>
          <m:sup>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i2</m:t>
                </m:r>
              </m:sub>
            </m:sSub>
          </m:sup>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i1</m:t>
                    </m:r>
                  </m:sub>
                </m:sSub>
              </m:den>
            </m:f>
            <m:sSub>
              <m:sSubPr>
                <m:ctrlPr>
                  <w:rPr>
                    <w:rFonts w:ascii="Cambria Math" w:hAnsi="Cambria Math"/>
                    <w:i/>
                    <w:lang w:val="en-US"/>
                  </w:rPr>
                </m:ctrlPr>
              </m:sSubPr>
              <m:e>
                <m:r>
                  <w:rPr>
                    <w:rFonts w:ascii="Cambria Math" w:hAnsi="Cambria Math"/>
                    <w:lang w:val="en-US"/>
                  </w:rPr>
                  <m:t>dx</m:t>
                </m:r>
              </m:e>
              <m:sub>
                <m:r>
                  <w:rPr>
                    <w:rFonts w:ascii="Cambria Math" w:hAnsi="Cambria Math"/>
                    <w:lang w:val="en-US"/>
                  </w:rPr>
                  <m:t>i</m:t>
                </m:r>
              </m:sub>
            </m:sSub>
          </m:e>
        </m:nary>
      </m:oMath>
      <w:r w:rsidRPr="009F78EF">
        <w:rPr>
          <w:lang w:val="en-US"/>
        </w:rPr>
        <w:t xml:space="preserve">     [5]</w:t>
      </w:r>
    </w:p>
    <w:p w:rsidR="00426950" w:rsidRPr="00BB0E53" w:rsidRDefault="00426950" w:rsidP="00426950">
      <w:pPr>
        <w:spacing w:line="360" w:lineRule="auto"/>
        <w:jc w:val="both"/>
        <w:rPr>
          <w:color w:val="0E101A"/>
          <w:lang w:val="en-US"/>
        </w:rPr>
      </w:pPr>
      <w:r w:rsidRPr="00BB0E53">
        <w:rPr>
          <w:color w:val="0E101A"/>
          <w:lang w:val="en-US"/>
        </w:rPr>
        <w:t> </w:t>
      </w:r>
    </w:p>
    <w:p w:rsidR="00426950" w:rsidRPr="009F78EF" w:rsidRDefault="00426950" w:rsidP="00426950">
      <w:pPr>
        <w:pStyle w:val="NormalWeb"/>
        <w:spacing w:before="0" w:beforeAutospacing="0" w:after="0" w:afterAutospacing="0" w:line="360" w:lineRule="auto"/>
        <w:jc w:val="both"/>
        <w:rPr>
          <w:lang w:val="en-US"/>
        </w:rPr>
      </w:pPr>
      <w:r w:rsidRPr="009F78EF">
        <w:rPr>
          <w:lang w:val="en-US"/>
        </w:rPr>
        <w:t>The decomposition was calculated from the R package "</w:t>
      </w:r>
      <w:proofErr w:type="spellStart"/>
      <w:r w:rsidRPr="009F78EF">
        <w:rPr>
          <w:lang w:val="en-US"/>
        </w:rPr>
        <w:t>DemoDecomp</w:t>
      </w:r>
      <w:proofErr w:type="spellEnd"/>
      <w:r w:rsidRPr="009F78EF">
        <w:rPr>
          <w:lang w:val="en-US"/>
        </w:rPr>
        <w:t xml:space="preserve">", authored by Tim </w:t>
      </w:r>
      <w:proofErr w:type="spellStart"/>
      <w:r w:rsidRPr="009F78EF">
        <w:rPr>
          <w:lang w:val="en-US"/>
        </w:rPr>
        <w:t>Riffe</w:t>
      </w:r>
      <w:proofErr w:type="spellEnd"/>
      <w:r w:rsidRPr="009F78EF">
        <w:rPr>
          <w:lang w:val="en-US"/>
        </w:rPr>
        <w:t>, with documentation available at:</w:t>
      </w:r>
    </w:p>
    <w:p w:rsidR="00426950" w:rsidRPr="009F78EF" w:rsidRDefault="00426950" w:rsidP="00426950">
      <w:pPr>
        <w:pStyle w:val="NormalWeb"/>
        <w:spacing w:before="0" w:beforeAutospacing="0" w:after="0" w:afterAutospacing="0" w:line="360" w:lineRule="auto"/>
        <w:jc w:val="both"/>
        <w:rPr>
          <w:lang w:val="en-US"/>
        </w:rPr>
      </w:pPr>
      <w:hyperlink r:id="rId8" w:history="1">
        <w:r w:rsidRPr="00BB0E53">
          <w:rPr>
            <w:rStyle w:val="Hyperlink"/>
            <w:lang w:val="en-US"/>
          </w:rPr>
          <w:t>https://cran.r-project.org/web/packages/DemoDecomp/DemoDecomp.pdf</w:t>
        </w:r>
      </w:hyperlink>
      <w:r w:rsidRPr="009F78EF">
        <w:rPr>
          <w:lang w:val="en-US"/>
        </w:rPr>
        <w:t>.</w:t>
      </w:r>
    </w:p>
    <w:p w:rsidR="00426950" w:rsidRPr="009F78EF" w:rsidRDefault="00426950" w:rsidP="00426950">
      <w:pPr>
        <w:pStyle w:val="NormalWeb"/>
        <w:spacing w:before="0" w:beforeAutospacing="0" w:after="0" w:afterAutospacing="0" w:line="360" w:lineRule="auto"/>
        <w:jc w:val="both"/>
        <w:rPr>
          <w:lang w:val="en-US"/>
        </w:rPr>
      </w:pPr>
    </w:p>
    <w:p w:rsidR="00426950" w:rsidRPr="009F78EF" w:rsidRDefault="00426950" w:rsidP="00426950">
      <w:pPr>
        <w:rPr>
          <w:lang w:val="en-US" w:eastAsia="en-US"/>
        </w:rPr>
      </w:pPr>
    </w:p>
    <w:p w:rsidR="00426950" w:rsidRPr="00BB0E53" w:rsidRDefault="00426950" w:rsidP="00426950">
      <w:pPr>
        <w:pStyle w:val="Heading2"/>
        <w:numPr>
          <w:ilvl w:val="1"/>
          <w:numId w:val="1"/>
        </w:numPr>
        <w:spacing w:before="0" w:line="276" w:lineRule="auto"/>
        <w:rPr>
          <w:rStyle w:val="Emphasis"/>
          <w:rFonts w:ascii="Times New Roman" w:hAnsi="Times New Roman"/>
          <w:b/>
          <w:i w:val="0"/>
          <w:color w:val="000000" w:themeColor="text1"/>
          <w:sz w:val="24"/>
          <w:lang w:val="en-US"/>
        </w:rPr>
      </w:pPr>
      <w:r w:rsidRPr="00BB0E53">
        <w:rPr>
          <w:rStyle w:val="Emphasis"/>
          <w:rFonts w:ascii="Times New Roman" w:hAnsi="Times New Roman"/>
          <w:b/>
          <w:color w:val="000000" w:themeColor="text1"/>
          <w:sz w:val="24"/>
          <w:lang w:val="en-US"/>
        </w:rPr>
        <w:t xml:space="preserve"> </w:t>
      </w:r>
      <w:bookmarkStart w:id="11" w:name="_Toc129355992"/>
      <w:bookmarkStart w:id="12" w:name="_Toc129621281"/>
      <w:r w:rsidRPr="00BB0E53">
        <w:rPr>
          <w:rStyle w:val="Emphasis"/>
          <w:rFonts w:ascii="Times New Roman" w:hAnsi="Times New Roman"/>
          <w:b/>
          <w:color w:val="000000" w:themeColor="text1"/>
          <w:sz w:val="24"/>
          <w:lang w:val="en-US"/>
        </w:rPr>
        <w:t>Uncertainty analysis</w:t>
      </w:r>
      <w:bookmarkEnd w:id="11"/>
      <w:bookmarkEnd w:id="12"/>
    </w:p>
    <w:p w:rsidR="00426950" w:rsidRPr="009F78EF" w:rsidRDefault="00426950" w:rsidP="00426950">
      <w:pPr>
        <w:jc w:val="both"/>
        <w:rPr>
          <w:lang w:val="en-GB" w:eastAsia="en-US"/>
        </w:rPr>
      </w:pPr>
    </w:p>
    <w:p w:rsidR="00426950" w:rsidRPr="00FE0DD6" w:rsidRDefault="00426950" w:rsidP="00426950">
      <w:pPr>
        <w:spacing w:line="360" w:lineRule="auto"/>
        <w:jc w:val="both"/>
        <w:rPr>
          <w:color w:val="000000" w:themeColor="text1"/>
          <w:lang w:val="en-GB" w:eastAsia="en-US"/>
        </w:rPr>
      </w:pPr>
      <w:r w:rsidRPr="00C10B5E">
        <w:rPr>
          <w:lang w:val="en-GB" w:eastAsia="en-US"/>
        </w:rPr>
        <w:t>The GBD provi</w:t>
      </w:r>
      <w:r w:rsidRPr="00FE0DD6">
        <w:rPr>
          <w:color w:val="000000" w:themeColor="text1"/>
          <w:lang w:val="en-GB" w:eastAsia="en-US"/>
        </w:rPr>
        <w:t xml:space="preserve">des its mortality estimates with the 95% uncertainty interval. Thus, the proportion of deaths by cause in the life table used to calculate the Fractionalization indicator will consider both the uncertainty in estimating the </w:t>
      </w:r>
      <w:r w:rsidRPr="00FE0DD6">
        <w:rPr>
          <w:i/>
          <w:iCs/>
          <w:color w:val="000000" w:themeColor="text1"/>
          <w:lang w:val="en-GB" w:eastAsia="en-US"/>
        </w:rPr>
        <w:t>dx</w:t>
      </w:r>
      <w:r w:rsidRPr="00FE0DD6">
        <w:rPr>
          <w:color w:val="000000" w:themeColor="text1"/>
          <w:lang w:val="en-GB" w:eastAsia="en-US"/>
        </w:rPr>
        <w:t xml:space="preserve"> function and the uncertainty in estimating the proportions of deaths by causes before correction by age structure based on the life table.</w:t>
      </w:r>
    </w:p>
    <w:p w:rsidR="00426950" w:rsidRPr="00FE0DD6" w:rsidRDefault="00426950" w:rsidP="00426950">
      <w:pPr>
        <w:spacing w:line="360" w:lineRule="auto"/>
        <w:jc w:val="both"/>
        <w:rPr>
          <w:color w:val="000000" w:themeColor="text1"/>
          <w:lang w:val="en-GB" w:eastAsia="en-US"/>
        </w:rPr>
      </w:pPr>
    </w:p>
    <w:p w:rsidR="00426950" w:rsidRPr="009F78EF" w:rsidRDefault="00426950" w:rsidP="00426950">
      <w:pPr>
        <w:spacing w:line="360" w:lineRule="auto"/>
        <w:jc w:val="both"/>
        <w:rPr>
          <w:lang w:val="en-GB" w:eastAsia="en-US"/>
        </w:rPr>
      </w:pPr>
      <w:r w:rsidRPr="00FE0DD6">
        <w:rPr>
          <w:color w:val="000000" w:themeColor="text1"/>
          <w:lang w:val="en-GB" w:eastAsia="en-US"/>
        </w:rPr>
        <w:lastRenderedPageBreak/>
        <w:t>We assumed that the proportion of deaths by cause from the life table follows a log-normal distribution, since it cannot assume values less than zero</w:t>
      </w:r>
      <w:r w:rsidRPr="00FE0DD6">
        <w:rPr>
          <w:rStyle w:val="FootnoteReference"/>
          <w:color w:val="000000" w:themeColor="text1"/>
          <w:lang w:val="en-GB" w:eastAsia="en-US"/>
        </w:rPr>
        <w:footnoteReference w:id="1"/>
      </w:r>
      <w:r w:rsidRPr="00FE0DD6">
        <w:rPr>
          <w:color w:val="000000" w:themeColor="text1"/>
          <w:lang w:val="en-GB" w:eastAsia="en-US"/>
        </w:rPr>
        <w:t>. Thus, we a</w:t>
      </w:r>
      <w:r w:rsidRPr="009F78EF">
        <w:rPr>
          <w:lang w:val="en-GB" w:eastAsia="en-US"/>
        </w:rPr>
        <w:t>pproximated the standard deviation by dividing the 95% uncertainty interval range by 3.92. We randomly drew 20,000 samples, using Monte Carlo simulation techniques, for the proportion of each of the 21 cause groups and obtained the uncertainty intervals from the selected percentiles.</w:t>
      </w:r>
    </w:p>
    <w:p w:rsidR="00426950" w:rsidRPr="009F78EF" w:rsidRDefault="00426950" w:rsidP="00426950">
      <w:pPr>
        <w:spacing w:line="360" w:lineRule="auto"/>
        <w:jc w:val="both"/>
        <w:rPr>
          <w:lang w:val="en-GB" w:eastAsia="en-US"/>
        </w:rPr>
      </w:pPr>
    </w:p>
    <w:p w:rsidR="00426950" w:rsidRPr="009F78EF" w:rsidRDefault="00426950" w:rsidP="00426950">
      <w:pPr>
        <w:spacing w:line="360" w:lineRule="auto"/>
        <w:jc w:val="both"/>
        <w:rPr>
          <w:lang w:val="en-GB" w:eastAsia="en-US"/>
        </w:rPr>
      </w:pPr>
      <w:r w:rsidRPr="009F78EF">
        <w:rPr>
          <w:lang w:val="en-GB" w:eastAsia="en-US"/>
        </w:rPr>
        <w:t xml:space="preserve">We used the uncertainty intervals for each of the causes to obtain the upper and lower bounds of the fractionalization index. The fractionalization index is the probability that two randomly chosen deaths are attributable to different causes and, therefore, cannot </w:t>
      </w:r>
      <w:r w:rsidRPr="00FE0DD6">
        <w:rPr>
          <w:color w:val="000000" w:themeColor="text1"/>
          <w:lang w:val="en-GB" w:eastAsia="en-US"/>
        </w:rPr>
        <w:t xml:space="preserve">also </w:t>
      </w:r>
      <w:r w:rsidRPr="009F78EF">
        <w:rPr>
          <w:lang w:val="en-GB" w:eastAsia="en-US"/>
        </w:rPr>
        <w:t>assume values less than zero. Thus, to calculate the uncertainty around the Fractionalization index, we assume that it follows a log-normal distribution, with mean μ and standard deviation s:</w:t>
      </w:r>
    </w:p>
    <w:p w:rsidR="00426950" w:rsidRPr="009F78EF" w:rsidRDefault="00426950" w:rsidP="00426950">
      <w:pPr>
        <w:spacing w:line="360" w:lineRule="auto"/>
        <w:jc w:val="both"/>
        <w:rPr>
          <w:lang w:val="en-GB" w:eastAsia="en-US"/>
        </w:rPr>
      </w:pPr>
    </w:p>
    <w:p w:rsidR="00426950" w:rsidRPr="009F78EF" w:rsidRDefault="00426950" w:rsidP="00426950">
      <w:pPr>
        <w:spacing w:line="360" w:lineRule="auto"/>
        <w:jc w:val="center"/>
        <w:rPr>
          <w:lang w:val="en-GB" w:eastAsia="en-US"/>
        </w:rPr>
      </w:pPr>
      <m:oMath>
        <m:r>
          <w:rPr>
            <w:rFonts w:ascii="Cambria Math" w:hAnsi="Cambria Math"/>
            <w:lang w:val="en-GB" w:eastAsia="en-US"/>
          </w:rPr>
          <m:t>μ=</m:t>
        </m:r>
        <m:func>
          <m:funcPr>
            <m:ctrlPr>
              <w:rPr>
                <w:rFonts w:ascii="Cambria Math" w:hAnsi="Cambria Math"/>
                <w:i/>
                <w:lang w:val="en-GB" w:eastAsia="en-US"/>
              </w:rPr>
            </m:ctrlPr>
          </m:funcPr>
          <m:fName>
            <m:r>
              <m:rPr>
                <m:sty m:val="p"/>
              </m:rPr>
              <w:rPr>
                <w:rFonts w:ascii="Cambria Math" w:hAnsi="Cambria Math"/>
                <w:lang w:val="en-GB" w:eastAsia="en-US"/>
              </w:rPr>
              <m:t>log</m:t>
            </m:r>
          </m:fName>
          <m:e>
            <m:d>
              <m:dPr>
                <m:ctrlPr>
                  <w:rPr>
                    <w:rFonts w:ascii="Cambria Math" w:hAnsi="Cambria Math"/>
                    <w:i/>
                    <w:lang w:val="en-GB" w:eastAsia="en-US"/>
                  </w:rPr>
                </m:ctrlPr>
              </m:dPr>
              <m:e>
                <m:f>
                  <m:fPr>
                    <m:ctrlPr>
                      <w:rPr>
                        <w:rFonts w:ascii="Cambria Math" w:hAnsi="Cambria Math"/>
                        <w:i/>
                        <w:lang w:val="en-GB" w:eastAsia="en-US"/>
                      </w:rPr>
                    </m:ctrlPr>
                  </m:fPr>
                  <m:num>
                    <m:sSup>
                      <m:sSupPr>
                        <m:ctrlPr>
                          <w:rPr>
                            <w:rFonts w:ascii="Cambria Math" w:hAnsi="Cambria Math"/>
                            <w:i/>
                            <w:lang w:val="en-GB" w:eastAsia="en-US"/>
                          </w:rPr>
                        </m:ctrlPr>
                      </m:sSupPr>
                      <m:e>
                        <m:r>
                          <w:rPr>
                            <w:rFonts w:ascii="Cambria Math" w:hAnsi="Cambria Math"/>
                            <w:lang w:val="en-GB" w:eastAsia="en-US"/>
                          </w:rPr>
                          <m:t>m</m:t>
                        </m:r>
                      </m:e>
                      <m:sup>
                        <m:r>
                          <w:rPr>
                            <w:rFonts w:ascii="Cambria Math" w:hAnsi="Cambria Math"/>
                            <w:lang w:val="en-GB" w:eastAsia="en-US"/>
                          </w:rPr>
                          <m:t>2</m:t>
                        </m:r>
                      </m:sup>
                    </m:sSup>
                  </m:num>
                  <m:den>
                    <m:rad>
                      <m:radPr>
                        <m:degHide m:val="1"/>
                        <m:ctrlPr>
                          <w:rPr>
                            <w:rFonts w:ascii="Cambria Math" w:hAnsi="Cambria Math"/>
                            <w:i/>
                            <w:lang w:val="en-GB" w:eastAsia="en-US"/>
                          </w:rPr>
                        </m:ctrlPr>
                      </m:radPr>
                      <m:deg/>
                      <m:e>
                        <m:sSup>
                          <m:sSupPr>
                            <m:ctrlPr>
                              <w:rPr>
                                <w:rFonts w:ascii="Cambria Math" w:hAnsi="Cambria Math"/>
                                <w:i/>
                                <w:lang w:val="en-GB" w:eastAsia="en-US"/>
                              </w:rPr>
                            </m:ctrlPr>
                          </m:sSupPr>
                          <m:e>
                            <m:r>
                              <w:rPr>
                                <w:rFonts w:ascii="Cambria Math" w:hAnsi="Cambria Math"/>
                                <w:lang w:val="en-GB" w:eastAsia="en-US"/>
                              </w:rPr>
                              <m:t>s</m:t>
                            </m:r>
                          </m:e>
                          <m:sup>
                            <m:r>
                              <w:rPr>
                                <w:rFonts w:ascii="Cambria Math" w:hAnsi="Cambria Math"/>
                                <w:lang w:val="en-GB" w:eastAsia="en-US"/>
                              </w:rPr>
                              <m:t>2</m:t>
                            </m:r>
                          </m:sup>
                        </m:sSup>
                        <m:r>
                          <w:rPr>
                            <w:rFonts w:ascii="Cambria Math" w:hAnsi="Cambria Math"/>
                            <w:lang w:val="en-GB" w:eastAsia="en-US"/>
                          </w:rPr>
                          <m:t>+</m:t>
                        </m:r>
                        <m:sSup>
                          <m:sSupPr>
                            <m:ctrlPr>
                              <w:rPr>
                                <w:rFonts w:ascii="Cambria Math" w:hAnsi="Cambria Math"/>
                                <w:i/>
                                <w:lang w:val="en-GB" w:eastAsia="en-US"/>
                              </w:rPr>
                            </m:ctrlPr>
                          </m:sSupPr>
                          <m:e>
                            <m:r>
                              <w:rPr>
                                <w:rFonts w:ascii="Cambria Math" w:hAnsi="Cambria Math"/>
                                <w:lang w:val="en-GB" w:eastAsia="en-US"/>
                              </w:rPr>
                              <m:t>m</m:t>
                            </m:r>
                          </m:e>
                          <m:sup>
                            <m:r>
                              <w:rPr>
                                <w:rFonts w:ascii="Cambria Math" w:hAnsi="Cambria Math"/>
                                <w:lang w:val="en-GB" w:eastAsia="en-US"/>
                              </w:rPr>
                              <m:t>2</m:t>
                            </m:r>
                          </m:sup>
                        </m:sSup>
                      </m:e>
                    </m:rad>
                  </m:den>
                </m:f>
              </m:e>
            </m:d>
          </m:e>
        </m:func>
        <m:r>
          <w:rPr>
            <w:rFonts w:ascii="Cambria Math" w:hAnsi="Cambria Math"/>
            <w:lang w:val="en-GB" w:eastAsia="en-US"/>
          </w:rPr>
          <m:t xml:space="preserve">   </m:t>
        </m:r>
        <m:r>
          <m:rPr>
            <m:sty m:val="p"/>
          </m:rPr>
          <w:rPr>
            <w:rFonts w:ascii="Cambria Math" w:hAnsi="Cambria Math"/>
            <w:lang w:val="en-GB" w:eastAsia="en-US"/>
          </w:rPr>
          <m:t xml:space="preserve">and  </m:t>
        </m:r>
        <m:r>
          <w:rPr>
            <w:rFonts w:ascii="Cambria Math" w:hAnsi="Cambria Math"/>
            <w:lang w:val="en-GB" w:eastAsia="en-US"/>
          </w:rPr>
          <m:t xml:space="preserve"> </m:t>
        </m:r>
        <m:sSup>
          <m:sSupPr>
            <m:ctrlPr>
              <w:rPr>
                <w:rFonts w:ascii="Cambria Math" w:hAnsi="Cambria Math"/>
                <w:i/>
                <w:lang w:val="en-GB" w:eastAsia="en-US"/>
              </w:rPr>
            </m:ctrlPr>
          </m:sSupPr>
          <m:e>
            <m:r>
              <w:rPr>
                <w:rFonts w:ascii="Cambria Math" w:hAnsi="Cambria Math"/>
                <w:lang w:val="en-GB" w:eastAsia="en-US"/>
              </w:rPr>
              <m:t>σ</m:t>
            </m:r>
          </m:e>
          <m:sup>
            <m:r>
              <w:rPr>
                <w:rFonts w:ascii="Cambria Math" w:hAnsi="Cambria Math"/>
                <w:lang w:val="en-GB" w:eastAsia="en-US"/>
              </w:rPr>
              <m:t>2</m:t>
            </m:r>
          </m:sup>
        </m:sSup>
        <m:r>
          <w:rPr>
            <w:rFonts w:ascii="Cambria Math" w:hAnsi="Cambria Math"/>
            <w:lang w:val="en-GB" w:eastAsia="en-US"/>
          </w:rPr>
          <m:t>=</m:t>
        </m:r>
        <m:func>
          <m:funcPr>
            <m:ctrlPr>
              <w:rPr>
                <w:rFonts w:ascii="Cambria Math" w:hAnsi="Cambria Math"/>
                <w:i/>
                <w:lang w:val="en-GB" w:eastAsia="en-US"/>
              </w:rPr>
            </m:ctrlPr>
          </m:funcPr>
          <m:fName>
            <m:r>
              <m:rPr>
                <m:sty m:val="p"/>
              </m:rPr>
              <w:rPr>
                <w:rFonts w:ascii="Cambria Math" w:hAnsi="Cambria Math"/>
                <w:lang w:val="en-GB" w:eastAsia="en-US"/>
              </w:rPr>
              <m:t>log</m:t>
            </m:r>
          </m:fName>
          <m:e>
            <m:d>
              <m:dPr>
                <m:ctrlPr>
                  <w:rPr>
                    <w:rFonts w:ascii="Cambria Math" w:hAnsi="Cambria Math"/>
                    <w:i/>
                    <w:lang w:val="en-GB" w:eastAsia="en-US"/>
                  </w:rPr>
                </m:ctrlPr>
              </m:dPr>
              <m:e>
                <m:r>
                  <w:rPr>
                    <w:rFonts w:ascii="Cambria Math" w:hAnsi="Cambria Math"/>
                    <w:lang w:val="en-GB" w:eastAsia="en-US"/>
                  </w:rPr>
                  <m:t>1+</m:t>
                </m:r>
                <m:f>
                  <m:fPr>
                    <m:ctrlPr>
                      <w:rPr>
                        <w:rFonts w:ascii="Cambria Math" w:hAnsi="Cambria Math"/>
                        <w:i/>
                        <w:lang w:val="en-GB" w:eastAsia="en-US"/>
                      </w:rPr>
                    </m:ctrlPr>
                  </m:fPr>
                  <m:num>
                    <m:sSup>
                      <m:sSupPr>
                        <m:ctrlPr>
                          <w:rPr>
                            <w:rFonts w:ascii="Cambria Math" w:hAnsi="Cambria Math"/>
                            <w:i/>
                            <w:lang w:val="en-GB" w:eastAsia="en-US"/>
                          </w:rPr>
                        </m:ctrlPr>
                      </m:sSupPr>
                      <m:e>
                        <m:r>
                          <w:rPr>
                            <w:rFonts w:ascii="Cambria Math" w:hAnsi="Cambria Math"/>
                            <w:lang w:val="en-GB" w:eastAsia="en-US"/>
                          </w:rPr>
                          <m:t>s</m:t>
                        </m:r>
                      </m:e>
                      <m:sup>
                        <m:r>
                          <w:rPr>
                            <w:rFonts w:ascii="Cambria Math" w:hAnsi="Cambria Math"/>
                            <w:lang w:val="en-GB" w:eastAsia="en-US"/>
                          </w:rPr>
                          <m:t>2</m:t>
                        </m:r>
                      </m:sup>
                    </m:sSup>
                  </m:num>
                  <m:den>
                    <m:sSup>
                      <m:sSupPr>
                        <m:ctrlPr>
                          <w:rPr>
                            <w:rFonts w:ascii="Cambria Math" w:hAnsi="Cambria Math"/>
                            <w:i/>
                            <w:lang w:val="en-GB" w:eastAsia="en-US"/>
                          </w:rPr>
                        </m:ctrlPr>
                      </m:sSupPr>
                      <m:e>
                        <m:r>
                          <w:rPr>
                            <w:rFonts w:ascii="Cambria Math" w:hAnsi="Cambria Math"/>
                            <w:lang w:val="en-GB" w:eastAsia="en-US"/>
                          </w:rPr>
                          <m:t>m</m:t>
                        </m:r>
                      </m:e>
                      <m:sup>
                        <m:r>
                          <w:rPr>
                            <w:rFonts w:ascii="Cambria Math" w:hAnsi="Cambria Math"/>
                            <w:lang w:val="en-GB" w:eastAsia="en-US"/>
                          </w:rPr>
                          <m:t>2</m:t>
                        </m:r>
                      </m:sup>
                    </m:sSup>
                  </m:den>
                </m:f>
              </m:e>
            </m:d>
          </m:e>
        </m:func>
      </m:oMath>
      <w:r w:rsidRPr="009F78EF">
        <w:rPr>
          <w:lang w:val="en-GB" w:eastAsia="en-US"/>
        </w:rPr>
        <w:t xml:space="preserve">           [6]</w:t>
      </w:r>
    </w:p>
    <w:p w:rsidR="00426950" w:rsidRPr="009F78EF" w:rsidRDefault="00426950" w:rsidP="00426950">
      <w:pPr>
        <w:spacing w:line="360" w:lineRule="auto"/>
        <w:jc w:val="both"/>
        <w:rPr>
          <w:lang w:val="en-GB" w:eastAsia="en-US"/>
        </w:rPr>
      </w:pPr>
    </w:p>
    <w:p w:rsidR="00426950" w:rsidRPr="009F78EF" w:rsidRDefault="00426950" w:rsidP="00426950">
      <w:pPr>
        <w:spacing w:line="360" w:lineRule="auto"/>
        <w:jc w:val="both"/>
        <w:rPr>
          <w:lang w:val="en-GB" w:eastAsia="en-US"/>
        </w:rPr>
      </w:pPr>
      <w:r w:rsidRPr="009F78EF">
        <w:rPr>
          <w:lang w:val="en-GB" w:eastAsia="en-US"/>
        </w:rPr>
        <w:t xml:space="preserve">Since </w:t>
      </w:r>
      <m:oMath>
        <m:r>
          <w:rPr>
            <w:rFonts w:ascii="Cambria Math" w:hAnsi="Cambria Math"/>
            <w:lang w:val="en-GB" w:eastAsia="en-US"/>
          </w:rPr>
          <m:t>m</m:t>
        </m:r>
      </m:oMath>
      <w:r w:rsidRPr="009F78EF">
        <w:rPr>
          <w:lang w:val="en-GB" w:eastAsia="en-US"/>
        </w:rPr>
        <w:t xml:space="preserve"> is the mean and </w:t>
      </w:r>
      <m:oMath>
        <m:r>
          <w:rPr>
            <w:rFonts w:ascii="Cambria Math" w:hAnsi="Cambria Math"/>
            <w:lang w:val="en-GB" w:eastAsia="en-US"/>
          </w:rPr>
          <m:t>s</m:t>
        </m:r>
      </m:oMath>
      <w:r w:rsidRPr="009F78EF">
        <w:rPr>
          <w:lang w:val="en-GB" w:eastAsia="en-US"/>
        </w:rPr>
        <w:t xml:space="preserve"> is the standard deviation of the normal distribution, we approximated the standard deviation by dividing the range of the 95% uncertainty interval by 3.92. We randomly drew 20,000 samples from these values, using Monte Carlo simulation techniques to obtain the uncertainty intervals for the index from the selected percentiles.</w:t>
      </w:r>
    </w:p>
    <w:p w:rsidR="00426950" w:rsidRPr="009F78EF" w:rsidRDefault="00426950" w:rsidP="00426950">
      <w:pPr>
        <w:spacing w:line="360" w:lineRule="auto"/>
        <w:jc w:val="both"/>
        <w:rPr>
          <w:lang w:val="en-GB" w:eastAsia="en-US"/>
        </w:rPr>
      </w:pPr>
    </w:p>
    <w:p w:rsidR="00426950" w:rsidRPr="009F78EF" w:rsidRDefault="00426950" w:rsidP="00426950">
      <w:pPr>
        <w:spacing w:line="360" w:lineRule="auto"/>
        <w:jc w:val="both"/>
        <w:rPr>
          <w:lang w:val="en-GB" w:eastAsia="en-US"/>
        </w:rPr>
      </w:pPr>
      <w:r w:rsidRPr="009F78EF">
        <w:rPr>
          <w:lang w:val="en-GB" w:eastAsia="en-US"/>
        </w:rPr>
        <w:t xml:space="preserve">Finally, we also incorporated the uncertainty in calculating the contribution of each of the causes on the variation of the fractionalization index in the </w:t>
      </w:r>
      <w:proofErr w:type="spellStart"/>
      <w:r w:rsidRPr="009F78EF">
        <w:rPr>
          <w:lang w:val="en-GB" w:eastAsia="en-US"/>
        </w:rPr>
        <w:t>Horiuchi</w:t>
      </w:r>
      <w:proofErr w:type="spellEnd"/>
      <w:r w:rsidRPr="009F78EF">
        <w:rPr>
          <w:lang w:val="en-GB" w:eastAsia="en-US"/>
        </w:rPr>
        <w:t xml:space="preserve"> decomposition. Since the contributions of each cause can take both negative and positive values on the variation of the fractionalization index, we assume that the contributions follow a normal distribution. We randomly drew 20,000 samples, using Monte Carlo simulation techniques, for the proportion of each of the 21 cause groups and obtained the uncertainty intervals from the selected percentiles.</w:t>
      </w:r>
    </w:p>
    <w:p w:rsidR="00426950" w:rsidRPr="006F4C1B" w:rsidRDefault="00426950" w:rsidP="00426950">
      <w:pPr>
        <w:spacing w:line="360" w:lineRule="auto"/>
        <w:rPr>
          <w:lang w:val="en-US" w:eastAsia="en-US"/>
        </w:rPr>
      </w:pPr>
    </w:p>
    <w:p w:rsidR="009A2306" w:rsidRDefault="009A2306"/>
    <w:sectPr w:rsidR="009A23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D07" w:rsidRDefault="00735D07" w:rsidP="00426950">
      <w:r>
        <w:separator/>
      </w:r>
    </w:p>
  </w:endnote>
  <w:endnote w:type="continuationSeparator" w:id="0">
    <w:p w:rsidR="00735D07" w:rsidRDefault="00735D07" w:rsidP="0042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D07" w:rsidRDefault="00735D07" w:rsidP="00426950">
      <w:r>
        <w:separator/>
      </w:r>
    </w:p>
  </w:footnote>
  <w:footnote w:type="continuationSeparator" w:id="0">
    <w:p w:rsidR="00735D07" w:rsidRDefault="00735D07" w:rsidP="00426950">
      <w:r>
        <w:continuationSeparator/>
      </w:r>
    </w:p>
  </w:footnote>
  <w:footnote w:id="1">
    <w:p w:rsidR="00426950" w:rsidRPr="00FE0DD6" w:rsidRDefault="00426950" w:rsidP="00426950">
      <w:pPr>
        <w:pStyle w:val="FootnoteText"/>
        <w:rPr>
          <w:color w:val="000000" w:themeColor="text1"/>
          <w:lang w:val="en-US"/>
        </w:rPr>
      </w:pPr>
      <w:r w:rsidRPr="00FE0DD6">
        <w:rPr>
          <w:rStyle w:val="FootnoteReference"/>
          <w:color w:val="000000" w:themeColor="text1"/>
        </w:rPr>
        <w:footnoteRef/>
      </w:r>
      <w:r w:rsidRPr="00FE0DD6">
        <w:rPr>
          <w:color w:val="000000" w:themeColor="text1"/>
          <w:lang w:val="en-US"/>
        </w:rPr>
        <w:t xml:space="preserve"> See Liu L, Villavicencio F, </w:t>
      </w:r>
      <w:proofErr w:type="spellStart"/>
      <w:r w:rsidRPr="00FE0DD6">
        <w:rPr>
          <w:color w:val="000000" w:themeColor="text1"/>
          <w:lang w:val="en-US"/>
        </w:rPr>
        <w:t>Yeung</w:t>
      </w:r>
      <w:proofErr w:type="spellEnd"/>
      <w:r w:rsidRPr="00FE0DD6">
        <w:rPr>
          <w:color w:val="000000" w:themeColor="text1"/>
          <w:lang w:val="en-US"/>
        </w:rPr>
        <w:t xml:space="preserve"> D, </w:t>
      </w:r>
      <w:proofErr w:type="spellStart"/>
      <w:r w:rsidRPr="00FE0DD6">
        <w:rPr>
          <w:color w:val="000000" w:themeColor="text1"/>
          <w:lang w:val="en-US"/>
        </w:rPr>
        <w:t>Perin</w:t>
      </w:r>
      <w:proofErr w:type="spellEnd"/>
      <w:r w:rsidRPr="00FE0DD6">
        <w:rPr>
          <w:color w:val="000000" w:themeColor="text1"/>
          <w:lang w:val="en-US"/>
        </w:rPr>
        <w:t xml:space="preserve"> J, Lopez G, Strong KL, et al. National, regional, and global causes of mortality in 5-19-year-olds from 2000 to 2019: a systematic analysis. </w:t>
      </w:r>
      <w:proofErr w:type="gramStart"/>
      <w:r w:rsidRPr="00FE0DD6">
        <w:rPr>
          <w:color w:val="000000" w:themeColor="text1"/>
          <w:lang w:val="en-US"/>
        </w:rPr>
        <w:t>Lancet Glob Health [Internet].</w:t>
      </w:r>
      <w:proofErr w:type="gramEnd"/>
      <w:r w:rsidRPr="00FE0DD6">
        <w:rPr>
          <w:color w:val="000000" w:themeColor="text1"/>
          <w:lang w:val="en-US"/>
        </w:rPr>
        <w:t xml:space="preserve"> 2022</w:t>
      </w:r>
      <w:proofErr w:type="gramStart"/>
      <w:r w:rsidRPr="00FE0DD6">
        <w:rPr>
          <w:color w:val="000000" w:themeColor="text1"/>
          <w:lang w:val="en-US"/>
        </w:rPr>
        <w:t>;10</w:t>
      </w:r>
      <w:proofErr w:type="gramEnd"/>
      <w:r w:rsidRPr="00FE0DD6">
        <w:rPr>
          <w:color w:val="000000" w:themeColor="text1"/>
          <w:lang w:val="en-US"/>
        </w:rPr>
        <w:t xml:space="preserve">(3): e337–47. Available from: </w:t>
      </w:r>
      <w:hyperlink r:id="rId1" w:history="1">
        <w:r w:rsidRPr="00FE0DD6">
          <w:rPr>
            <w:rStyle w:val="Hyperlink"/>
            <w:rFonts w:eastAsiaTheme="majorEastAsia"/>
            <w:color w:val="000000" w:themeColor="text1"/>
            <w:lang w:val="en-US"/>
          </w:rPr>
          <w:t>http://dx.doi.org/10.1016/S2214-109X(21)00566-0</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86659"/>
    <w:multiLevelType w:val="multilevel"/>
    <w:tmpl w:val="83F86128"/>
    <w:lvl w:ilvl="0">
      <w:start w:val="2"/>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950"/>
    <w:rsid w:val="00426950"/>
    <w:rsid w:val="00646915"/>
    <w:rsid w:val="00735D07"/>
    <w:rsid w:val="009A2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950"/>
    <w:pPr>
      <w:spacing w:after="0" w:line="240" w:lineRule="auto"/>
    </w:pPr>
    <w:rPr>
      <w:rFonts w:ascii="Times New Roman" w:eastAsia="Times New Roman" w:hAnsi="Times New Roman" w:cs="Times New Roman"/>
      <w:sz w:val="24"/>
      <w:szCs w:val="24"/>
      <w:lang w:val="es-ES" w:eastAsia="zh-CN"/>
    </w:rPr>
  </w:style>
  <w:style w:type="paragraph" w:styleId="Heading1">
    <w:name w:val="heading 1"/>
    <w:basedOn w:val="Normal"/>
    <w:next w:val="Normal"/>
    <w:link w:val="Heading1Char"/>
    <w:uiPriority w:val="9"/>
    <w:qFormat/>
    <w:rsid w:val="00426950"/>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426950"/>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950"/>
    <w:rPr>
      <w:rFonts w:asciiTheme="majorHAnsi" w:eastAsiaTheme="majorEastAsia" w:hAnsiTheme="majorHAnsi" w:cstheme="majorBidi"/>
      <w:color w:val="365F91" w:themeColor="accent1" w:themeShade="BF"/>
      <w:sz w:val="32"/>
      <w:szCs w:val="32"/>
      <w:lang w:val="es-ES"/>
    </w:rPr>
  </w:style>
  <w:style w:type="character" w:customStyle="1" w:styleId="Heading2Char">
    <w:name w:val="Heading 2 Char"/>
    <w:basedOn w:val="DefaultParagraphFont"/>
    <w:link w:val="Heading2"/>
    <w:uiPriority w:val="9"/>
    <w:rsid w:val="00426950"/>
    <w:rPr>
      <w:rFonts w:asciiTheme="majorHAnsi" w:eastAsiaTheme="majorEastAsia" w:hAnsiTheme="majorHAnsi" w:cstheme="majorBidi"/>
      <w:color w:val="365F91" w:themeColor="accent1" w:themeShade="BF"/>
      <w:sz w:val="26"/>
      <w:szCs w:val="26"/>
      <w:lang w:val="es-ES"/>
    </w:rPr>
  </w:style>
  <w:style w:type="paragraph" w:styleId="NormalWeb">
    <w:name w:val="Normal (Web)"/>
    <w:basedOn w:val="Normal"/>
    <w:uiPriority w:val="99"/>
    <w:unhideWhenUsed/>
    <w:rsid w:val="00426950"/>
    <w:pPr>
      <w:spacing w:before="100" w:beforeAutospacing="1" w:after="100" w:afterAutospacing="1"/>
    </w:pPr>
    <w:rPr>
      <w:lang w:eastAsia="es-ES"/>
    </w:rPr>
  </w:style>
  <w:style w:type="character" w:styleId="Emphasis">
    <w:name w:val="Emphasis"/>
    <w:basedOn w:val="DefaultParagraphFont"/>
    <w:uiPriority w:val="20"/>
    <w:qFormat/>
    <w:rsid w:val="00426950"/>
    <w:rPr>
      <w:i/>
      <w:iCs/>
    </w:rPr>
  </w:style>
  <w:style w:type="character" w:styleId="Hyperlink">
    <w:name w:val="Hyperlink"/>
    <w:basedOn w:val="DefaultParagraphFont"/>
    <w:uiPriority w:val="99"/>
    <w:unhideWhenUsed/>
    <w:rsid w:val="00426950"/>
    <w:rPr>
      <w:color w:val="0000FF"/>
      <w:u w:val="single"/>
    </w:rPr>
  </w:style>
  <w:style w:type="paragraph" w:styleId="ListParagraph">
    <w:name w:val="List Paragraph"/>
    <w:basedOn w:val="Normal"/>
    <w:uiPriority w:val="34"/>
    <w:qFormat/>
    <w:rsid w:val="00426950"/>
    <w:pPr>
      <w:spacing w:after="160" w:line="259" w:lineRule="auto"/>
      <w:ind w:left="720"/>
      <w:contextualSpacing/>
    </w:pPr>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426950"/>
    <w:rPr>
      <w:sz w:val="20"/>
      <w:szCs w:val="20"/>
    </w:rPr>
  </w:style>
  <w:style w:type="character" w:customStyle="1" w:styleId="FootnoteTextChar">
    <w:name w:val="Footnote Text Char"/>
    <w:basedOn w:val="DefaultParagraphFont"/>
    <w:link w:val="FootnoteText"/>
    <w:uiPriority w:val="99"/>
    <w:semiHidden/>
    <w:rsid w:val="00426950"/>
    <w:rPr>
      <w:rFonts w:ascii="Times New Roman" w:eastAsia="Times New Roman" w:hAnsi="Times New Roman" w:cs="Times New Roman"/>
      <w:sz w:val="20"/>
      <w:szCs w:val="20"/>
      <w:lang w:val="es-ES" w:eastAsia="zh-CN"/>
    </w:rPr>
  </w:style>
  <w:style w:type="character" w:styleId="FootnoteReference">
    <w:name w:val="footnote reference"/>
    <w:basedOn w:val="DefaultParagraphFont"/>
    <w:uiPriority w:val="99"/>
    <w:semiHidden/>
    <w:unhideWhenUsed/>
    <w:rsid w:val="00426950"/>
    <w:rPr>
      <w:vertAlign w:val="superscript"/>
    </w:rPr>
  </w:style>
  <w:style w:type="paragraph" w:styleId="BalloonText">
    <w:name w:val="Balloon Text"/>
    <w:basedOn w:val="Normal"/>
    <w:link w:val="BalloonTextChar"/>
    <w:uiPriority w:val="99"/>
    <w:semiHidden/>
    <w:unhideWhenUsed/>
    <w:rsid w:val="00426950"/>
    <w:rPr>
      <w:rFonts w:ascii="Tahoma" w:hAnsi="Tahoma" w:cs="Tahoma"/>
      <w:sz w:val="16"/>
      <w:szCs w:val="16"/>
    </w:rPr>
  </w:style>
  <w:style w:type="character" w:customStyle="1" w:styleId="BalloonTextChar">
    <w:name w:val="Balloon Text Char"/>
    <w:basedOn w:val="DefaultParagraphFont"/>
    <w:link w:val="BalloonText"/>
    <w:uiPriority w:val="99"/>
    <w:semiHidden/>
    <w:rsid w:val="00426950"/>
    <w:rPr>
      <w:rFonts w:ascii="Tahoma" w:eastAsia="Times New Roma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950"/>
    <w:pPr>
      <w:spacing w:after="0" w:line="240" w:lineRule="auto"/>
    </w:pPr>
    <w:rPr>
      <w:rFonts w:ascii="Times New Roman" w:eastAsia="Times New Roman" w:hAnsi="Times New Roman" w:cs="Times New Roman"/>
      <w:sz w:val="24"/>
      <w:szCs w:val="24"/>
      <w:lang w:val="es-ES" w:eastAsia="zh-CN"/>
    </w:rPr>
  </w:style>
  <w:style w:type="paragraph" w:styleId="Heading1">
    <w:name w:val="heading 1"/>
    <w:basedOn w:val="Normal"/>
    <w:next w:val="Normal"/>
    <w:link w:val="Heading1Char"/>
    <w:uiPriority w:val="9"/>
    <w:qFormat/>
    <w:rsid w:val="00426950"/>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426950"/>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950"/>
    <w:rPr>
      <w:rFonts w:asciiTheme="majorHAnsi" w:eastAsiaTheme="majorEastAsia" w:hAnsiTheme="majorHAnsi" w:cstheme="majorBidi"/>
      <w:color w:val="365F91" w:themeColor="accent1" w:themeShade="BF"/>
      <w:sz w:val="32"/>
      <w:szCs w:val="32"/>
      <w:lang w:val="es-ES"/>
    </w:rPr>
  </w:style>
  <w:style w:type="character" w:customStyle="1" w:styleId="Heading2Char">
    <w:name w:val="Heading 2 Char"/>
    <w:basedOn w:val="DefaultParagraphFont"/>
    <w:link w:val="Heading2"/>
    <w:uiPriority w:val="9"/>
    <w:rsid w:val="00426950"/>
    <w:rPr>
      <w:rFonts w:asciiTheme="majorHAnsi" w:eastAsiaTheme="majorEastAsia" w:hAnsiTheme="majorHAnsi" w:cstheme="majorBidi"/>
      <w:color w:val="365F91" w:themeColor="accent1" w:themeShade="BF"/>
      <w:sz w:val="26"/>
      <w:szCs w:val="26"/>
      <w:lang w:val="es-ES"/>
    </w:rPr>
  </w:style>
  <w:style w:type="paragraph" w:styleId="NormalWeb">
    <w:name w:val="Normal (Web)"/>
    <w:basedOn w:val="Normal"/>
    <w:uiPriority w:val="99"/>
    <w:unhideWhenUsed/>
    <w:rsid w:val="00426950"/>
    <w:pPr>
      <w:spacing w:before="100" w:beforeAutospacing="1" w:after="100" w:afterAutospacing="1"/>
    </w:pPr>
    <w:rPr>
      <w:lang w:eastAsia="es-ES"/>
    </w:rPr>
  </w:style>
  <w:style w:type="character" w:styleId="Emphasis">
    <w:name w:val="Emphasis"/>
    <w:basedOn w:val="DefaultParagraphFont"/>
    <w:uiPriority w:val="20"/>
    <w:qFormat/>
    <w:rsid w:val="00426950"/>
    <w:rPr>
      <w:i/>
      <w:iCs/>
    </w:rPr>
  </w:style>
  <w:style w:type="character" w:styleId="Hyperlink">
    <w:name w:val="Hyperlink"/>
    <w:basedOn w:val="DefaultParagraphFont"/>
    <w:uiPriority w:val="99"/>
    <w:unhideWhenUsed/>
    <w:rsid w:val="00426950"/>
    <w:rPr>
      <w:color w:val="0000FF"/>
      <w:u w:val="single"/>
    </w:rPr>
  </w:style>
  <w:style w:type="paragraph" w:styleId="ListParagraph">
    <w:name w:val="List Paragraph"/>
    <w:basedOn w:val="Normal"/>
    <w:uiPriority w:val="34"/>
    <w:qFormat/>
    <w:rsid w:val="00426950"/>
    <w:pPr>
      <w:spacing w:after="160" w:line="259" w:lineRule="auto"/>
      <w:ind w:left="720"/>
      <w:contextualSpacing/>
    </w:pPr>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426950"/>
    <w:rPr>
      <w:sz w:val="20"/>
      <w:szCs w:val="20"/>
    </w:rPr>
  </w:style>
  <w:style w:type="character" w:customStyle="1" w:styleId="FootnoteTextChar">
    <w:name w:val="Footnote Text Char"/>
    <w:basedOn w:val="DefaultParagraphFont"/>
    <w:link w:val="FootnoteText"/>
    <w:uiPriority w:val="99"/>
    <w:semiHidden/>
    <w:rsid w:val="00426950"/>
    <w:rPr>
      <w:rFonts w:ascii="Times New Roman" w:eastAsia="Times New Roman" w:hAnsi="Times New Roman" w:cs="Times New Roman"/>
      <w:sz w:val="20"/>
      <w:szCs w:val="20"/>
      <w:lang w:val="es-ES" w:eastAsia="zh-CN"/>
    </w:rPr>
  </w:style>
  <w:style w:type="character" w:styleId="FootnoteReference">
    <w:name w:val="footnote reference"/>
    <w:basedOn w:val="DefaultParagraphFont"/>
    <w:uiPriority w:val="99"/>
    <w:semiHidden/>
    <w:unhideWhenUsed/>
    <w:rsid w:val="00426950"/>
    <w:rPr>
      <w:vertAlign w:val="superscript"/>
    </w:rPr>
  </w:style>
  <w:style w:type="paragraph" w:styleId="BalloonText">
    <w:name w:val="Balloon Text"/>
    <w:basedOn w:val="Normal"/>
    <w:link w:val="BalloonTextChar"/>
    <w:uiPriority w:val="99"/>
    <w:semiHidden/>
    <w:unhideWhenUsed/>
    <w:rsid w:val="00426950"/>
    <w:rPr>
      <w:rFonts w:ascii="Tahoma" w:hAnsi="Tahoma" w:cs="Tahoma"/>
      <w:sz w:val="16"/>
      <w:szCs w:val="16"/>
    </w:rPr>
  </w:style>
  <w:style w:type="character" w:customStyle="1" w:styleId="BalloonTextChar">
    <w:name w:val="Balloon Text Char"/>
    <w:basedOn w:val="DefaultParagraphFont"/>
    <w:link w:val="BalloonText"/>
    <w:uiPriority w:val="99"/>
    <w:semiHidden/>
    <w:rsid w:val="00426950"/>
    <w:rPr>
      <w:rFonts w:ascii="Tahoma" w:eastAsia="Times New Roma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n.r-project.org/web/packages/DemoDecomp/DemoDecomp.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x.doi.org/10.1016/S2214-109X(21)0056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Abrea</dc:creator>
  <cp:lastModifiedBy>Spencer Abrea</cp:lastModifiedBy>
  <cp:revision>1</cp:revision>
  <dcterms:created xsi:type="dcterms:W3CDTF">2023-03-25T12:02:00Z</dcterms:created>
  <dcterms:modified xsi:type="dcterms:W3CDTF">2023-03-25T12:02:00Z</dcterms:modified>
</cp:coreProperties>
</file>