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42C2CF" w14:textId="77777777" w:rsidR="008F7600" w:rsidRPr="00772C58" w:rsidRDefault="008F7600" w:rsidP="008F7600">
      <w:pPr>
        <w:spacing w:after="0" w:line="480" w:lineRule="auto"/>
        <w:ind w:firstLine="0"/>
        <w:jc w:val="center"/>
        <w:rPr>
          <w:rFonts w:ascii="Arial" w:hAnsi="Arial" w:cs="Arial"/>
          <w:b/>
          <w:bCs/>
          <w:szCs w:val="24"/>
        </w:rPr>
      </w:pPr>
      <w:bookmarkStart w:id="0" w:name="_GoBack"/>
      <w:bookmarkEnd w:id="0"/>
      <w:r w:rsidRPr="00772C58">
        <w:rPr>
          <w:rFonts w:ascii="Arial" w:hAnsi="Arial" w:cs="Arial"/>
          <w:b/>
          <w:bCs/>
          <w:szCs w:val="24"/>
        </w:rPr>
        <w:t>SUPPLEMENTARY MATERIAL</w:t>
      </w:r>
    </w:p>
    <w:p w14:paraId="5B384FAC" w14:textId="3F943DBE" w:rsidR="008F7600" w:rsidRPr="005B5C1D" w:rsidRDefault="008F7600" w:rsidP="008F7600">
      <w:pPr>
        <w:spacing w:after="0" w:line="240" w:lineRule="auto"/>
        <w:ind w:firstLine="0"/>
        <w:rPr>
          <w:rFonts w:ascii="Arial" w:hAnsi="Arial" w:cs="Arial"/>
          <w:szCs w:val="24"/>
        </w:rPr>
      </w:pPr>
      <w:bookmarkStart w:id="1" w:name="_Ref21530562"/>
      <w:bookmarkStart w:id="2" w:name="_Toc23362797"/>
      <w:r w:rsidRPr="005B5C1D">
        <w:rPr>
          <w:rFonts w:ascii="Arial" w:hAnsi="Arial" w:cs="Arial"/>
          <w:szCs w:val="24"/>
        </w:rPr>
        <w:t xml:space="preserve">Table </w:t>
      </w:r>
      <w:bookmarkEnd w:id="1"/>
      <w:r w:rsidR="005B5C1D" w:rsidRPr="005B5C1D">
        <w:rPr>
          <w:rFonts w:ascii="Arial" w:hAnsi="Arial" w:cs="Arial"/>
          <w:szCs w:val="24"/>
        </w:rPr>
        <w:t>S</w:t>
      </w:r>
      <w:r w:rsidRPr="005B5C1D">
        <w:rPr>
          <w:rFonts w:ascii="Arial" w:hAnsi="Arial" w:cs="Arial"/>
          <w:szCs w:val="24"/>
        </w:rPr>
        <w:t xml:space="preserve">1 – </w:t>
      </w:r>
      <w:bookmarkEnd w:id="2"/>
      <w:r w:rsidRPr="005B5C1D">
        <w:rPr>
          <w:rFonts w:ascii="Arial" w:hAnsi="Arial" w:cs="Arial"/>
          <w:szCs w:val="24"/>
        </w:rPr>
        <w:t>Study variables</w:t>
      </w:r>
      <w:r w:rsidR="00282831">
        <w:rPr>
          <w:rFonts w:ascii="Arial" w:hAnsi="Arial" w:cs="Arial"/>
          <w:szCs w:val="24"/>
        </w:rPr>
        <w:t xml:space="preserve"> </w:t>
      </w:r>
      <w:r w:rsidR="00F26B9B">
        <w:rPr>
          <w:rFonts w:ascii="Arial" w:hAnsi="Arial" w:cs="Arial"/>
          <w:szCs w:val="24"/>
        </w:rPr>
        <w:t>description</w:t>
      </w:r>
      <w:r w:rsidR="005B5C1D" w:rsidRPr="005B5C1D">
        <w:rPr>
          <w:rFonts w:ascii="Arial" w:hAnsi="Arial" w:cs="Arial"/>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521"/>
        <w:gridCol w:w="9576"/>
      </w:tblGrid>
      <w:tr w:rsidR="008F7600" w:rsidRPr="00D55291" w14:paraId="62D19F73" w14:textId="77777777" w:rsidTr="00282831">
        <w:tc>
          <w:tcPr>
            <w:tcW w:w="1366" w:type="pct"/>
            <w:gridSpan w:val="2"/>
            <w:tcBorders>
              <w:left w:val="nil"/>
            </w:tcBorders>
          </w:tcPr>
          <w:p w14:paraId="1A555679" w14:textId="77777777" w:rsidR="008F7600" w:rsidRPr="00D55291" w:rsidRDefault="008F7600" w:rsidP="00286C4F">
            <w:pPr>
              <w:pStyle w:val="NoSpacing"/>
              <w:ind w:firstLine="0"/>
              <w:rPr>
                <w:rFonts w:ascii="Arial" w:hAnsi="Arial" w:cs="Arial"/>
                <w:b/>
                <w:sz w:val="20"/>
                <w:szCs w:val="20"/>
              </w:rPr>
            </w:pPr>
            <w:r w:rsidRPr="00D55291">
              <w:rPr>
                <w:rFonts w:ascii="Arial" w:hAnsi="Arial" w:cs="Arial"/>
                <w:b/>
                <w:sz w:val="20"/>
                <w:szCs w:val="20"/>
              </w:rPr>
              <w:t>Mortality – average of 2018 to 2019</w:t>
            </w:r>
          </w:p>
        </w:tc>
        <w:tc>
          <w:tcPr>
            <w:tcW w:w="3634" w:type="pct"/>
            <w:tcBorders>
              <w:right w:val="nil"/>
            </w:tcBorders>
          </w:tcPr>
          <w:p w14:paraId="56E32364" w14:textId="77777777" w:rsidR="008F7600" w:rsidRPr="00D55291" w:rsidRDefault="008F7600" w:rsidP="00286C4F">
            <w:pPr>
              <w:pStyle w:val="NoSpacing"/>
              <w:ind w:firstLine="0"/>
              <w:rPr>
                <w:rFonts w:ascii="Arial" w:hAnsi="Arial" w:cs="Arial"/>
                <w:b/>
                <w:sz w:val="20"/>
                <w:szCs w:val="20"/>
              </w:rPr>
            </w:pPr>
            <w:r w:rsidRPr="00D55291">
              <w:rPr>
                <w:rFonts w:ascii="Arial" w:hAnsi="Arial" w:cs="Arial"/>
                <w:b/>
                <w:sz w:val="20"/>
                <w:szCs w:val="20"/>
              </w:rPr>
              <w:t>Description</w:t>
            </w:r>
          </w:p>
        </w:tc>
      </w:tr>
      <w:tr w:rsidR="008F7600" w:rsidRPr="00F26B9B" w14:paraId="7DBC06E9" w14:textId="77777777" w:rsidTr="00282831">
        <w:tc>
          <w:tcPr>
            <w:tcW w:w="1366" w:type="pct"/>
            <w:gridSpan w:val="2"/>
            <w:tcBorders>
              <w:left w:val="nil"/>
            </w:tcBorders>
          </w:tcPr>
          <w:p w14:paraId="1EDEDCBD"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Neonatal mortality rate</w:t>
            </w:r>
          </w:p>
        </w:tc>
        <w:tc>
          <w:tcPr>
            <w:tcW w:w="3634" w:type="pct"/>
            <w:tcBorders>
              <w:right w:val="nil"/>
            </w:tcBorders>
          </w:tcPr>
          <w:p w14:paraId="66C70FF5"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The average neonatal mortality rates of the years 2018 and 2019 was calculated for each country. The number of deaths up to 28 days was divided by the number of live births and multiplied by 1000. Data were extracted from the Global Burden of Disease 2019.</w:t>
            </w:r>
          </w:p>
        </w:tc>
      </w:tr>
      <w:tr w:rsidR="008F7600" w:rsidRPr="00F26B9B" w14:paraId="001DC702" w14:textId="77777777" w:rsidTr="00282831">
        <w:tc>
          <w:tcPr>
            <w:tcW w:w="1366" w:type="pct"/>
            <w:gridSpan w:val="2"/>
            <w:tcBorders>
              <w:left w:val="nil"/>
            </w:tcBorders>
          </w:tcPr>
          <w:p w14:paraId="316221D7"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Mortality rate among children aged 28 days or more and less than five years old</w:t>
            </w:r>
          </w:p>
        </w:tc>
        <w:tc>
          <w:tcPr>
            <w:tcW w:w="3634" w:type="pct"/>
            <w:tcBorders>
              <w:right w:val="nil"/>
            </w:tcBorders>
          </w:tcPr>
          <w:p w14:paraId="1CB8FF10"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Average mortality rate among children aged 28 days or more and less than five years old of the years 2018 and 2019 was calculated for each country. The number of deaths among children aged 28 days or more and less than five years old was divided by the number of live births and multiplied by 1000. Data were extracted from the Global Burden of Disease 2019.</w:t>
            </w:r>
          </w:p>
        </w:tc>
      </w:tr>
      <w:tr w:rsidR="008F7600" w:rsidRPr="00F26B9B" w14:paraId="127A9469" w14:textId="77777777" w:rsidTr="00282831">
        <w:tc>
          <w:tcPr>
            <w:tcW w:w="1366" w:type="pct"/>
            <w:gridSpan w:val="2"/>
            <w:tcBorders>
              <w:left w:val="nil"/>
            </w:tcBorders>
          </w:tcPr>
          <w:p w14:paraId="11684210" w14:textId="77777777" w:rsidR="008F7600" w:rsidRPr="00F26B9B" w:rsidRDefault="008F7600" w:rsidP="00286C4F">
            <w:pPr>
              <w:pStyle w:val="NoSpacing"/>
              <w:ind w:firstLine="0"/>
              <w:rPr>
                <w:rFonts w:ascii="Arial" w:hAnsi="Arial" w:cs="Arial"/>
                <w:b/>
                <w:sz w:val="20"/>
                <w:szCs w:val="20"/>
              </w:rPr>
            </w:pPr>
            <w:r w:rsidRPr="00F26B9B">
              <w:rPr>
                <w:rFonts w:ascii="Arial" w:hAnsi="Arial" w:cs="Arial"/>
                <w:b/>
                <w:sz w:val="20"/>
                <w:szCs w:val="20"/>
              </w:rPr>
              <w:t>Treatment – average of 2013 to 2017</w:t>
            </w:r>
          </w:p>
        </w:tc>
        <w:tc>
          <w:tcPr>
            <w:tcW w:w="3634" w:type="pct"/>
            <w:tcBorders>
              <w:right w:val="nil"/>
            </w:tcBorders>
          </w:tcPr>
          <w:p w14:paraId="67BB2B57" w14:textId="77777777" w:rsidR="008F7600" w:rsidRPr="00F26B9B" w:rsidRDefault="008F7600" w:rsidP="00286C4F">
            <w:pPr>
              <w:pStyle w:val="NoSpacing"/>
              <w:ind w:firstLine="0"/>
              <w:rPr>
                <w:rFonts w:ascii="Arial" w:hAnsi="Arial" w:cs="Arial"/>
                <w:b/>
                <w:sz w:val="20"/>
                <w:szCs w:val="20"/>
              </w:rPr>
            </w:pPr>
            <w:r w:rsidRPr="00F26B9B">
              <w:rPr>
                <w:rFonts w:ascii="Arial" w:hAnsi="Arial" w:cs="Arial"/>
                <w:b/>
                <w:sz w:val="20"/>
                <w:szCs w:val="20"/>
              </w:rPr>
              <w:t>Description</w:t>
            </w:r>
          </w:p>
        </w:tc>
      </w:tr>
      <w:tr w:rsidR="008F7600" w:rsidRPr="00F26B9B" w14:paraId="56BA8EE9" w14:textId="77777777" w:rsidTr="00282831">
        <w:tc>
          <w:tcPr>
            <w:tcW w:w="1366" w:type="pct"/>
            <w:gridSpan w:val="2"/>
            <w:tcBorders>
              <w:left w:val="nil"/>
            </w:tcBorders>
          </w:tcPr>
          <w:p w14:paraId="039C4A1A"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 xml:space="preserve">Public expenditure per capita – </w:t>
            </w:r>
            <w:r w:rsidRPr="00F26B9B">
              <w:rPr>
                <w:rFonts w:ascii="Arial" w:hAnsi="Arial" w:cs="Arial"/>
                <w:sz w:val="20"/>
                <w:szCs w:val="20"/>
              </w:rPr>
              <w:t>Int$ PPP</w:t>
            </w:r>
            <w:r w:rsidRPr="00F26B9B">
              <w:rPr>
                <w:rFonts w:ascii="Arial" w:hAnsi="Arial" w:cs="Arial"/>
                <w:bCs/>
                <w:sz w:val="20"/>
                <w:szCs w:val="20"/>
              </w:rPr>
              <w:t xml:space="preserve"> constant for 2017 </w:t>
            </w:r>
          </w:p>
        </w:tc>
        <w:tc>
          <w:tcPr>
            <w:tcW w:w="3634" w:type="pct"/>
            <w:tcBorders>
              <w:right w:val="nil"/>
            </w:tcBorders>
          </w:tcPr>
          <w:p w14:paraId="1DD385A3"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 xml:space="preserve">Public expenditure per capita was the value of general government spending (in </w:t>
            </w:r>
            <w:r w:rsidRPr="00F26B9B">
              <w:rPr>
                <w:rFonts w:ascii="Arial" w:hAnsi="Arial" w:cs="Arial"/>
                <w:sz w:val="20"/>
                <w:szCs w:val="20"/>
              </w:rPr>
              <w:t>Int$ Purchasing Power Parity</w:t>
            </w:r>
            <w:r w:rsidRPr="00F26B9B">
              <w:rPr>
                <w:rFonts w:ascii="Arial" w:hAnsi="Arial" w:cs="Arial"/>
                <w:bCs/>
                <w:sz w:val="20"/>
                <w:szCs w:val="20"/>
              </w:rPr>
              <w:t xml:space="preserve"> - </w:t>
            </w:r>
            <w:r w:rsidRPr="00F26B9B">
              <w:rPr>
                <w:rFonts w:ascii="Arial" w:hAnsi="Arial" w:cs="Arial"/>
                <w:sz w:val="20"/>
                <w:szCs w:val="20"/>
              </w:rPr>
              <w:t>Int$ PPP</w:t>
            </w:r>
            <w:r w:rsidRPr="00F26B9B">
              <w:rPr>
                <w:rFonts w:ascii="Arial" w:hAnsi="Arial" w:cs="Arial"/>
                <w:bCs/>
                <w:sz w:val="20"/>
                <w:szCs w:val="20"/>
              </w:rPr>
              <w:t xml:space="preserve"> constant for 2017). Average public expenditure by country of the years 2013 and 2017 was calculated.</w:t>
            </w:r>
          </w:p>
        </w:tc>
      </w:tr>
      <w:tr w:rsidR="008F7600" w:rsidRPr="00F26B9B" w14:paraId="37C8EB23" w14:textId="77777777" w:rsidTr="00282831">
        <w:tc>
          <w:tcPr>
            <w:tcW w:w="1366" w:type="pct"/>
            <w:gridSpan w:val="2"/>
            <w:tcBorders>
              <w:left w:val="nil"/>
            </w:tcBorders>
          </w:tcPr>
          <w:p w14:paraId="4E097289"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 xml:space="preserve">Public expenditure in health per capita – </w:t>
            </w:r>
            <w:r w:rsidRPr="00F26B9B">
              <w:rPr>
                <w:rFonts w:ascii="Arial" w:hAnsi="Arial" w:cs="Arial"/>
                <w:sz w:val="20"/>
                <w:szCs w:val="20"/>
              </w:rPr>
              <w:t>Int$ PPP</w:t>
            </w:r>
            <w:r w:rsidRPr="00F26B9B">
              <w:rPr>
                <w:rFonts w:ascii="Arial" w:hAnsi="Arial" w:cs="Arial"/>
                <w:bCs/>
                <w:sz w:val="20"/>
                <w:szCs w:val="20"/>
              </w:rPr>
              <w:t xml:space="preserve"> constant for 2017 </w:t>
            </w:r>
          </w:p>
        </w:tc>
        <w:tc>
          <w:tcPr>
            <w:tcW w:w="3634" w:type="pct"/>
            <w:tcBorders>
              <w:right w:val="nil"/>
            </w:tcBorders>
          </w:tcPr>
          <w:p w14:paraId="5B7BCF34"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Public expenditure in health per capita was the value of domestic general government health expenditure (</w:t>
            </w:r>
            <w:r w:rsidRPr="00F26B9B">
              <w:rPr>
                <w:rFonts w:ascii="Arial" w:hAnsi="Arial" w:cs="Arial"/>
                <w:sz w:val="20"/>
                <w:szCs w:val="20"/>
              </w:rPr>
              <w:t>Int$ PPP</w:t>
            </w:r>
            <w:r w:rsidRPr="00F26B9B">
              <w:rPr>
                <w:rFonts w:ascii="Arial" w:hAnsi="Arial" w:cs="Arial"/>
                <w:bCs/>
                <w:sz w:val="20"/>
                <w:szCs w:val="20"/>
              </w:rPr>
              <w:t xml:space="preserve"> constant for 2017). Average public expenditure by country of the years 2013 and 2017 was calculated.</w:t>
            </w:r>
          </w:p>
        </w:tc>
      </w:tr>
      <w:tr w:rsidR="008F7600" w:rsidRPr="00F26B9B" w14:paraId="3EF9AEC5" w14:textId="77777777" w:rsidTr="00282831">
        <w:tc>
          <w:tcPr>
            <w:tcW w:w="1366" w:type="pct"/>
            <w:gridSpan w:val="2"/>
            <w:tcBorders>
              <w:left w:val="nil"/>
            </w:tcBorders>
          </w:tcPr>
          <w:p w14:paraId="31F1711C"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Public expenditure in other sectors per capita –</w:t>
            </w:r>
            <w:r w:rsidRPr="00F26B9B">
              <w:rPr>
                <w:rFonts w:ascii="Arial" w:hAnsi="Arial" w:cs="Arial"/>
                <w:sz w:val="20"/>
                <w:szCs w:val="20"/>
              </w:rPr>
              <w:t xml:space="preserve"> Int$ PPP</w:t>
            </w:r>
            <w:r w:rsidRPr="00F26B9B">
              <w:rPr>
                <w:rFonts w:ascii="Arial" w:hAnsi="Arial" w:cs="Arial"/>
                <w:bCs/>
                <w:sz w:val="20"/>
                <w:szCs w:val="20"/>
              </w:rPr>
              <w:t xml:space="preserve"> constant for 2017</w:t>
            </w:r>
          </w:p>
        </w:tc>
        <w:tc>
          <w:tcPr>
            <w:tcW w:w="3634" w:type="pct"/>
            <w:tcBorders>
              <w:right w:val="nil"/>
            </w:tcBorders>
          </w:tcPr>
          <w:p w14:paraId="168D1F62"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Public expenditure in other sectors per capita was the difference between public expenditure per capita and public expenditure in health per capita.</w:t>
            </w:r>
          </w:p>
        </w:tc>
      </w:tr>
      <w:tr w:rsidR="008F7600" w:rsidRPr="00F26B9B" w14:paraId="295887D5" w14:textId="77777777" w:rsidTr="00282831">
        <w:tc>
          <w:tcPr>
            <w:tcW w:w="789" w:type="pct"/>
            <w:tcBorders>
              <w:left w:val="nil"/>
            </w:tcBorders>
          </w:tcPr>
          <w:p w14:paraId="0BB28FF0" w14:textId="77777777" w:rsidR="008F7600" w:rsidRPr="00F26B9B" w:rsidRDefault="008F7600" w:rsidP="00286C4F">
            <w:pPr>
              <w:spacing w:after="0" w:line="240" w:lineRule="auto"/>
              <w:ind w:firstLine="0"/>
              <w:rPr>
                <w:rFonts w:ascii="Arial" w:hAnsi="Arial" w:cs="Arial"/>
                <w:b/>
                <w:sz w:val="20"/>
                <w:szCs w:val="20"/>
              </w:rPr>
            </w:pPr>
            <w:r w:rsidRPr="00F26B9B">
              <w:rPr>
                <w:rFonts w:ascii="Arial" w:hAnsi="Arial" w:cs="Arial"/>
                <w:b/>
                <w:sz w:val="20"/>
                <w:szCs w:val="20"/>
              </w:rPr>
              <w:t>External factor – average of 2010 to 2012</w:t>
            </w:r>
          </w:p>
        </w:tc>
        <w:tc>
          <w:tcPr>
            <w:tcW w:w="577" w:type="pct"/>
          </w:tcPr>
          <w:p w14:paraId="5C48B1E4" w14:textId="77777777" w:rsidR="008F7600" w:rsidRPr="00F26B9B" w:rsidRDefault="008F7600" w:rsidP="00286C4F">
            <w:pPr>
              <w:spacing w:after="0" w:line="240" w:lineRule="auto"/>
              <w:ind w:firstLine="0"/>
              <w:rPr>
                <w:rFonts w:ascii="Arial" w:hAnsi="Arial" w:cs="Arial"/>
                <w:b/>
                <w:sz w:val="20"/>
                <w:szCs w:val="20"/>
              </w:rPr>
            </w:pPr>
            <w:r w:rsidRPr="00F26B9B">
              <w:rPr>
                <w:rFonts w:ascii="Arial" w:hAnsi="Arial" w:cs="Arial"/>
                <w:b/>
                <w:sz w:val="20"/>
                <w:szCs w:val="20"/>
              </w:rPr>
              <w:t>Demography, geography or SDG</w:t>
            </w:r>
          </w:p>
        </w:tc>
        <w:tc>
          <w:tcPr>
            <w:tcW w:w="3634" w:type="pct"/>
            <w:tcBorders>
              <w:right w:val="nil"/>
            </w:tcBorders>
          </w:tcPr>
          <w:p w14:paraId="6BDD7182"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
                <w:sz w:val="20"/>
                <w:szCs w:val="20"/>
              </w:rPr>
              <w:t>Description</w:t>
            </w:r>
          </w:p>
        </w:tc>
      </w:tr>
      <w:tr w:rsidR="008F7600" w:rsidRPr="00F26B9B" w14:paraId="638587C0" w14:textId="77777777" w:rsidTr="00282831">
        <w:tc>
          <w:tcPr>
            <w:tcW w:w="789" w:type="pct"/>
            <w:tcBorders>
              <w:left w:val="nil"/>
            </w:tcBorders>
          </w:tcPr>
          <w:p w14:paraId="445FB6BE"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Population</w:t>
            </w:r>
          </w:p>
        </w:tc>
        <w:tc>
          <w:tcPr>
            <w:tcW w:w="577" w:type="pct"/>
          </w:tcPr>
          <w:p w14:paraId="26F271FD"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Demography</w:t>
            </w:r>
          </w:p>
        </w:tc>
        <w:tc>
          <w:tcPr>
            <w:tcW w:w="3634" w:type="pct"/>
            <w:tcBorders>
              <w:right w:val="nil"/>
            </w:tcBorders>
          </w:tcPr>
          <w:p w14:paraId="3E0BBE04"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Average of the country's total population from 2010 to 2012.</w:t>
            </w:r>
          </w:p>
        </w:tc>
      </w:tr>
      <w:tr w:rsidR="008F7600" w:rsidRPr="00F26B9B" w14:paraId="6A3BE024" w14:textId="77777777" w:rsidTr="00282831">
        <w:tc>
          <w:tcPr>
            <w:tcW w:w="789" w:type="pct"/>
            <w:tcBorders>
              <w:left w:val="nil"/>
            </w:tcBorders>
          </w:tcPr>
          <w:p w14:paraId="14B5CAF6"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Population density</w:t>
            </w:r>
          </w:p>
        </w:tc>
        <w:tc>
          <w:tcPr>
            <w:tcW w:w="577" w:type="pct"/>
          </w:tcPr>
          <w:p w14:paraId="1D37FCA9"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Demography</w:t>
            </w:r>
          </w:p>
        </w:tc>
        <w:tc>
          <w:tcPr>
            <w:tcW w:w="3634" w:type="pct"/>
            <w:tcBorders>
              <w:right w:val="nil"/>
            </w:tcBorders>
          </w:tcPr>
          <w:p w14:paraId="07E4A934"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Population density was calculated by dividing the average of the country's total population from 2010 to 2012, by its surface. Surface is the total area of a country, including areas under inland bodies of water and some coastal roads [2]. This information was extracted in km</w:t>
            </w:r>
            <w:r w:rsidRPr="00F26B9B">
              <w:rPr>
                <w:rFonts w:ascii="Arial" w:hAnsi="Arial" w:cs="Arial"/>
                <w:bCs/>
                <w:sz w:val="20"/>
                <w:szCs w:val="20"/>
                <w:vertAlign w:val="superscript"/>
              </w:rPr>
              <w:t>2</w:t>
            </w:r>
            <w:r w:rsidRPr="00F26B9B">
              <w:rPr>
                <w:rFonts w:ascii="Arial" w:hAnsi="Arial" w:cs="Arial"/>
                <w:bCs/>
                <w:sz w:val="20"/>
                <w:szCs w:val="20"/>
              </w:rPr>
              <w:t xml:space="preserve"> by country.</w:t>
            </w:r>
          </w:p>
        </w:tc>
      </w:tr>
      <w:tr w:rsidR="008F7600" w:rsidRPr="00F26B9B" w14:paraId="416F9393" w14:textId="77777777" w:rsidTr="00282831">
        <w:tc>
          <w:tcPr>
            <w:tcW w:w="789" w:type="pct"/>
            <w:tcBorders>
              <w:left w:val="nil"/>
            </w:tcBorders>
          </w:tcPr>
          <w:p w14:paraId="1612C462"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Population over 65 years old rate</w:t>
            </w:r>
          </w:p>
        </w:tc>
        <w:tc>
          <w:tcPr>
            <w:tcW w:w="577" w:type="pct"/>
          </w:tcPr>
          <w:p w14:paraId="6904AE61"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Demography</w:t>
            </w:r>
          </w:p>
        </w:tc>
        <w:tc>
          <w:tcPr>
            <w:tcW w:w="3634" w:type="pct"/>
            <w:tcBorders>
              <w:right w:val="nil"/>
            </w:tcBorders>
          </w:tcPr>
          <w:p w14:paraId="73A2A3B7"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The average population over 65 years old rate was estimated dividing the population over 65 years old by the population of a country in a given year and making the average for 2010 to 2012.</w:t>
            </w:r>
          </w:p>
        </w:tc>
      </w:tr>
      <w:tr w:rsidR="008F7600" w:rsidRPr="00F26B9B" w14:paraId="1BA538FB" w14:textId="77777777" w:rsidTr="00282831">
        <w:tc>
          <w:tcPr>
            <w:tcW w:w="789" w:type="pct"/>
            <w:tcBorders>
              <w:left w:val="nil"/>
            </w:tcBorders>
          </w:tcPr>
          <w:p w14:paraId="707D3E0C"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Countries longitude</w:t>
            </w:r>
          </w:p>
        </w:tc>
        <w:tc>
          <w:tcPr>
            <w:tcW w:w="577" w:type="pct"/>
          </w:tcPr>
          <w:p w14:paraId="0FC255C9"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Geography</w:t>
            </w:r>
          </w:p>
        </w:tc>
        <w:tc>
          <w:tcPr>
            <w:tcW w:w="3634" w:type="pct"/>
            <w:tcBorders>
              <w:right w:val="nil"/>
            </w:tcBorders>
          </w:tcPr>
          <w:p w14:paraId="2D61CA93"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The geometric center of each country was determined using the WGS84 datum, using the data available in spData [3] and using the sf</w:t>
            </w:r>
            <w:r w:rsidRPr="00F26B9B">
              <w:rPr>
                <w:rFonts w:ascii="Arial" w:hAnsi="Arial" w:cs="Arial"/>
                <w:bCs/>
                <w:sz w:val="20"/>
                <w:szCs w:val="20"/>
                <w:vertAlign w:val="superscript"/>
              </w:rPr>
              <w:t>2</w:t>
            </w:r>
            <w:r w:rsidRPr="00F26B9B">
              <w:rPr>
                <w:rFonts w:ascii="Arial" w:hAnsi="Arial" w:cs="Arial"/>
                <w:bCs/>
                <w:sz w:val="20"/>
                <w:szCs w:val="20"/>
              </w:rPr>
              <w:t xml:space="preserve"> package, from software R, for the calculation.</w:t>
            </w:r>
          </w:p>
        </w:tc>
      </w:tr>
      <w:tr w:rsidR="008F7600" w:rsidRPr="00F26B9B" w14:paraId="7AFAE4D6" w14:textId="77777777" w:rsidTr="00282831">
        <w:tc>
          <w:tcPr>
            <w:tcW w:w="789" w:type="pct"/>
            <w:tcBorders>
              <w:left w:val="nil"/>
            </w:tcBorders>
          </w:tcPr>
          <w:p w14:paraId="2C87A4EA"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Country latitude</w:t>
            </w:r>
          </w:p>
        </w:tc>
        <w:tc>
          <w:tcPr>
            <w:tcW w:w="577" w:type="pct"/>
          </w:tcPr>
          <w:p w14:paraId="6ACE7388"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Geography</w:t>
            </w:r>
          </w:p>
        </w:tc>
        <w:tc>
          <w:tcPr>
            <w:tcW w:w="3634" w:type="pct"/>
            <w:tcBorders>
              <w:right w:val="nil"/>
            </w:tcBorders>
          </w:tcPr>
          <w:p w14:paraId="0D331009"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The geometric center of each country was determined using the WGS84 datum, using the data available in spData [3] and using the sf</w:t>
            </w:r>
            <w:r w:rsidRPr="00F26B9B">
              <w:rPr>
                <w:rFonts w:ascii="Arial" w:hAnsi="Arial" w:cs="Arial"/>
                <w:bCs/>
                <w:sz w:val="20"/>
                <w:szCs w:val="20"/>
                <w:vertAlign w:val="superscript"/>
              </w:rPr>
              <w:t>2</w:t>
            </w:r>
            <w:r w:rsidRPr="00F26B9B">
              <w:rPr>
                <w:rFonts w:ascii="Arial" w:hAnsi="Arial" w:cs="Arial"/>
                <w:bCs/>
                <w:sz w:val="20"/>
                <w:szCs w:val="20"/>
              </w:rPr>
              <w:t xml:space="preserve"> package, from software R, for the calculation.</w:t>
            </w:r>
          </w:p>
        </w:tc>
      </w:tr>
      <w:tr w:rsidR="008F7600" w:rsidRPr="00F26B9B" w14:paraId="7DBB0F43" w14:textId="77777777" w:rsidTr="00282831">
        <w:tc>
          <w:tcPr>
            <w:tcW w:w="789" w:type="pct"/>
            <w:tcBorders>
              <w:left w:val="nil"/>
            </w:tcBorders>
          </w:tcPr>
          <w:p w14:paraId="0629CF18"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Income deficit of US$ 1.90</w:t>
            </w:r>
          </w:p>
        </w:tc>
        <w:tc>
          <w:tcPr>
            <w:tcW w:w="577" w:type="pct"/>
          </w:tcPr>
          <w:p w14:paraId="0CFA8E2F"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SDG 1</w:t>
            </w:r>
          </w:p>
        </w:tc>
        <w:tc>
          <w:tcPr>
            <w:tcW w:w="3634" w:type="pct"/>
            <w:tcBorders>
              <w:right w:val="nil"/>
            </w:tcBorders>
          </w:tcPr>
          <w:p w14:paraId="032D58FA"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 xml:space="preserve">The US$ 1.90 per day income deficit (2011 </w:t>
            </w:r>
            <w:r w:rsidRPr="00F26B9B">
              <w:rPr>
                <w:rFonts w:ascii="Arial" w:hAnsi="Arial" w:cs="Arial"/>
                <w:sz w:val="20"/>
                <w:szCs w:val="20"/>
              </w:rPr>
              <w:t>Int$ PPP</w:t>
            </w:r>
            <w:r w:rsidRPr="00F26B9B">
              <w:rPr>
                <w:rFonts w:ascii="Arial" w:hAnsi="Arial" w:cs="Arial"/>
                <w:bCs/>
                <w:sz w:val="20"/>
                <w:szCs w:val="20"/>
              </w:rPr>
              <w:t>) is the average income or consumption deficit from the US$ 1.90 per day poverty line. This measure reflects the depth of poverty, as well as its incidence [4]. The average of the years 2010 to 2012 was calculated for each country.</w:t>
            </w:r>
          </w:p>
        </w:tc>
      </w:tr>
      <w:tr w:rsidR="008F7600" w:rsidRPr="00F26B9B" w14:paraId="39899958" w14:textId="77777777" w:rsidTr="00282831">
        <w:tc>
          <w:tcPr>
            <w:tcW w:w="789" w:type="pct"/>
            <w:tcBorders>
              <w:left w:val="nil"/>
            </w:tcBorders>
          </w:tcPr>
          <w:p w14:paraId="0C457023"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Malnutrition rate</w:t>
            </w:r>
          </w:p>
        </w:tc>
        <w:tc>
          <w:tcPr>
            <w:tcW w:w="577" w:type="pct"/>
          </w:tcPr>
          <w:p w14:paraId="5EEB9D65"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SDG 2</w:t>
            </w:r>
          </w:p>
        </w:tc>
        <w:tc>
          <w:tcPr>
            <w:tcW w:w="3634" w:type="pct"/>
            <w:tcBorders>
              <w:right w:val="nil"/>
            </w:tcBorders>
          </w:tcPr>
          <w:p w14:paraId="10020BC1"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 xml:space="preserve">The population below the minimum level of energy consumption in the diet (also known as malnutrition </w:t>
            </w:r>
            <w:r w:rsidRPr="00F26B9B">
              <w:rPr>
                <w:rFonts w:ascii="Arial" w:hAnsi="Arial" w:cs="Arial"/>
                <w:bCs/>
                <w:sz w:val="20"/>
                <w:szCs w:val="20"/>
              </w:rPr>
              <w:lastRenderedPageBreak/>
              <w:t>prevalence) shows the percentage of the population whose food intake is insufficient to continuously meet the energy needs of the diet [5]. The average for the years 2010 to 2012 was calculated for each country.</w:t>
            </w:r>
          </w:p>
        </w:tc>
      </w:tr>
      <w:tr w:rsidR="008F7600" w:rsidRPr="00F26B9B" w14:paraId="6EE58503" w14:textId="77777777" w:rsidTr="00282831">
        <w:tc>
          <w:tcPr>
            <w:tcW w:w="789" w:type="pct"/>
            <w:tcBorders>
              <w:left w:val="nil"/>
            </w:tcBorders>
          </w:tcPr>
          <w:p w14:paraId="6ECCA194"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lastRenderedPageBreak/>
              <w:t>Fertility rate</w:t>
            </w:r>
          </w:p>
        </w:tc>
        <w:tc>
          <w:tcPr>
            <w:tcW w:w="577" w:type="pct"/>
          </w:tcPr>
          <w:p w14:paraId="3B5F9816" w14:textId="77777777" w:rsidR="008F7600" w:rsidRPr="00F26B9B" w:rsidRDefault="008F7600" w:rsidP="00286C4F">
            <w:pPr>
              <w:spacing w:after="0" w:line="240" w:lineRule="auto"/>
              <w:ind w:firstLine="0"/>
              <w:rPr>
                <w:rFonts w:ascii="Arial" w:hAnsi="Arial" w:cs="Arial"/>
                <w:bCs/>
                <w:sz w:val="20"/>
                <w:szCs w:val="20"/>
                <w:lang w:val="pt-BR"/>
              </w:rPr>
            </w:pPr>
            <w:r w:rsidRPr="00F26B9B">
              <w:rPr>
                <w:rFonts w:ascii="Arial" w:hAnsi="Arial" w:cs="Arial"/>
                <w:bCs/>
                <w:sz w:val="20"/>
                <w:szCs w:val="20"/>
                <w:lang w:val="pt-BR"/>
              </w:rPr>
              <w:t>SDG 3</w:t>
            </w:r>
          </w:p>
        </w:tc>
        <w:tc>
          <w:tcPr>
            <w:tcW w:w="3634" w:type="pct"/>
            <w:tcBorders>
              <w:right w:val="nil"/>
            </w:tcBorders>
          </w:tcPr>
          <w:p w14:paraId="5D5A5E6E"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The average fertility rate was calculated using total fertility data for each country from 2010 to 2012.</w:t>
            </w:r>
          </w:p>
        </w:tc>
      </w:tr>
      <w:tr w:rsidR="008F7600" w:rsidRPr="00F26B9B" w14:paraId="342EA036" w14:textId="77777777" w:rsidTr="00282831">
        <w:tc>
          <w:tcPr>
            <w:tcW w:w="789" w:type="pct"/>
            <w:tcBorders>
              <w:left w:val="nil"/>
            </w:tcBorders>
          </w:tcPr>
          <w:p w14:paraId="762CC93C"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Out-of-pocket disbursement with health per capita –</w:t>
            </w:r>
            <w:r w:rsidRPr="00F26B9B">
              <w:rPr>
                <w:rFonts w:ascii="Arial" w:hAnsi="Arial" w:cs="Arial"/>
                <w:sz w:val="20"/>
                <w:szCs w:val="20"/>
              </w:rPr>
              <w:t xml:space="preserve"> Int$ PPP</w:t>
            </w:r>
            <w:r w:rsidRPr="00F26B9B">
              <w:rPr>
                <w:rFonts w:ascii="Arial" w:hAnsi="Arial" w:cs="Arial"/>
                <w:bCs/>
                <w:sz w:val="20"/>
                <w:szCs w:val="20"/>
              </w:rPr>
              <w:t xml:space="preserve"> constant for 2017</w:t>
            </w:r>
          </w:p>
        </w:tc>
        <w:tc>
          <w:tcPr>
            <w:tcW w:w="577" w:type="pct"/>
          </w:tcPr>
          <w:p w14:paraId="2F30FA75" w14:textId="77777777" w:rsidR="008F7600" w:rsidRPr="00F26B9B" w:rsidRDefault="008F7600" w:rsidP="00286C4F">
            <w:pPr>
              <w:spacing w:after="0" w:line="240" w:lineRule="auto"/>
              <w:ind w:firstLine="0"/>
              <w:rPr>
                <w:rFonts w:ascii="Arial" w:hAnsi="Arial" w:cs="Arial"/>
                <w:bCs/>
                <w:sz w:val="20"/>
                <w:szCs w:val="20"/>
                <w:lang w:val="pt-BR"/>
              </w:rPr>
            </w:pPr>
            <w:r w:rsidRPr="00F26B9B">
              <w:rPr>
                <w:rFonts w:ascii="Arial" w:hAnsi="Arial" w:cs="Arial"/>
                <w:bCs/>
                <w:sz w:val="20"/>
                <w:szCs w:val="20"/>
                <w:lang w:val="pt-BR"/>
              </w:rPr>
              <w:t>SDG 3</w:t>
            </w:r>
          </w:p>
        </w:tc>
        <w:tc>
          <w:tcPr>
            <w:tcW w:w="3634" w:type="pct"/>
            <w:tcBorders>
              <w:right w:val="nil"/>
            </w:tcBorders>
          </w:tcPr>
          <w:p w14:paraId="0505377E"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 xml:space="preserve">Out-of-pocket disbursement with health per capita in </w:t>
            </w:r>
            <w:r w:rsidRPr="00F26B9B">
              <w:rPr>
                <w:rFonts w:ascii="Arial" w:hAnsi="Arial" w:cs="Arial"/>
                <w:sz w:val="20"/>
                <w:szCs w:val="20"/>
              </w:rPr>
              <w:t>Int$ PPP</w:t>
            </w:r>
            <w:r w:rsidRPr="00F26B9B">
              <w:rPr>
                <w:rFonts w:ascii="Arial" w:hAnsi="Arial" w:cs="Arial"/>
                <w:bCs/>
                <w:sz w:val="20"/>
                <w:szCs w:val="20"/>
              </w:rPr>
              <w:t xml:space="preserve"> constant for 2017. The average for the years 2010 to 2012 was calculated, for each country.</w:t>
            </w:r>
          </w:p>
        </w:tc>
      </w:tr>
      <w:tr w:rsidR="008F7600" w:rsidRPr="00F26B9B" w14:paraId="223AC44A" w14:textId="77777777" w:rsidTr="00282831">
        <w:tc>
          <w:tcPr>
            <w:tcW w:w="789" w:type="pct"/>
            <w:tcBorders>
              <w:left w:val="nil"/>
            </w:tcBorders>
          </w:tcPr>
          <w:p w14:paraId="7BC4FD5F"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Doctors per 1000 inhabitants’ rate</w:t>
            </w:r>
          </w:p>
        </w:tc>
        <w:tc>
          <w:tcPr>
            <w:tcW w:w="577" w:type="pct"/>
          </w:tcPr>
          <w:p w14:paraId="4F3929D6" w14:textId="77777777" w:rsidR="008F7600" w:rsidRPr="00F26B9B" w:rsidRDefault="008F7600" w:rsidP="00286C4F">
            <w:pPr>
              <w:spacing w:after="0" w:line="240" w:lineRule="auto"/>
              <w:ind w:firstLine="0"/>
              <w:rPr>
                <w:rFonts w:ascii="Arial" w:hAnsi="Arial" w:cs="Arial"/>
                <w:bCs/>
                <w:sz w:val="20"/>
                <w:szCs w:val="20"/>
                <w:lang w:val="pt-BR"/>
              </w:rPr>
            </w:pPr>
            <w:r w:rsidRPr="00F26B9B">
              <w:rPr>
                <w:rFonts w:ascii="Arial" w:hAnsi="Arial" w:cs="Arial"/>
                <w:bCs/>
                <w:sz w:val="20"/>
                <w:szCs w:val="20"/>
                <w:lang w:val="pt-BR"/>
              </w:rPr>
              <w:t>SDG 3</w:t>
            </w:r>
          </w:p>
        </w:tc>
        <w:tc>
          <w:tcPr>
            <w:tcW w:w="3634" w:type="pct"/>
            <w:tcBorders>
              <w:right w:val="nil"/>
            </w:tcBorders>
          </w:tcPr>
          <w:p w14:paraId="5F06C830"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Doctors include general practitioners and specialists. The value is divided by 1000 inhabitants [6]. The average from 2010 to 2012 was calculated for each country.</w:t>
            </w:r>
          </w:p>
        </w:tc>
      </w:tr>
      <w:tr w:rsidR="008F7600" w:rsidRPr="00F26B9B" w14:paraId="45613580" w14:textId="77777777" w:rsidTr="00282831">
        <w:tc>
          <w:tcPr>
            <w:tcW w:w="789" w:type="pct"/>
            <w:tcBorders>
              <w:left w:val="nil"/>
            </w:tcBorders>
          </w:tcPr>
          <w:p w14:paraId="4388FF1C"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Births attended by a qualified health professional</w:t>
            </w:r>
          </w:p>
        </w:tc>
        <w:tc>
          <w:tcPr>
            <w:tcW w:w="577" w:type="pct"/>
          </w:tcPr>
          <w:p w14:paraId="79AF9FCC" w14:textId="77777777" w:rsidR="008F7600" w:rsidRPr="00F26B9B" w:rsidRDefault="008F7600" w:rsidP="00286C4F">
            <w:pPr>
              <w:spacing w:after="0" w:line="240" w:lineRule="auto"/>
              <w:ind w:firstLine="0"/>
              <w:rPr>
                <w:rFonts w:ascii="Arial" w:hAnsi="Arial" w:cs="Arial"/>
                <w:bCs/>
                <w:sz w:val="20"/>
                <w:szCs w:val="20"/>
                <w:lang w:val="pt-BR"/>
              </w:rPr>
            </w:pPr>
            <w:r w:rsidRPr="00F26B9B">
              <w:rPr>
                <w:rFonts w:ascii="Arial" w:hAnsi="Arial" w:cs="Arial"/>
                <w:bCs/>
                <w:sz w:val="20"/>
                <w:szCs w:val="20"/>
                <w:lang w:val="pt-BR"/>
              </w:rPr>
              <w:t>SDG 3</w:t>
            </w:r>
          </w:p>
        </w:tc>
        <w:tc>
          <w:tcPr>
            <w:tcW w:w="3634" w:type="pct"/>
            <w:tcBorders>
              <w:right w:val="nil"/>
            </w:tcBorders>
          </w:tcPr>
          <w:p w14:paraId="61925203" w14:textId="77777777" w:rsidR="008F7600" w:rsidRPr="00F26B9B" w:rsidRDefault="008F7600" w:rsidP="00286C4F">
            <w:pPr>
              <w:pStyle w:val="NoSpacing"/>
              <w:ind w:firstLine="0"/>
              <w:rPr>
                <w:rFonts w:ascii="Arial" w:hAnsi="Arial" w:cs="Arial"/>
                <w:bCs/>
                <w:sz w:val="20"/>
                <w:szCs w:val="20"/>
              </w:rPr>
            </w:pPr>
            <w:r w:rsidRPr="00F26B9B">
              <w:rPr>
                <w:rFonts w:ascii="Arial" w:hAnsi="Arial" w:cs="Arial"/>
                <w:bCs/>
                <w:sz w:val="20"/>
                <w:szCs w:val="20"/>
              </w:rPr>
              <w:t>Births attended by qualified health personnel are the percentage of births attended by personnel trained to provide the necessary supervision, care and advice to women during pregnancy, labor and the postpartum period; deliver on your own; and taking care of newborns [7]. The average from 2010 to 2012 was calculated for each country.</w:t>
            </w:r>
          </w:p>
        </w:tc>
      </w:tr>
      <w:tr w:rsidR="008F7600" w:rsidRPr="00D55291" w14:paraId="09E9078E" w14:textId="77777777" w:rsidTr="00282831">
        <w:tc>
          <w:tcPr>
            <w:tcW w:w="789" w:type="pct"/>
            <w:tcBorders>
              <w:left w:val="nil"/>
            </w:tcBorders>
          </w:tcPr>
          <w:p w14:paraId="3D4E455E" w14:textId="77777777" w:rsidR="008F7600" w:rsidRPr="00F26B9B" w:rsidRDefault="008F7600" w:rsidP="00286C4F">
            <w:pPr>
              <w:spacing w:after="0" w:line="240" w:lineRule="auto"/>
              <w:ind w:firstLine="0"/>
              <w:rPr>
                <w:rFonts w:ascii="Arial" w:hAnsi="Arial" w:cs="Arial"/>
                <w:bCs/>
                <w:sz w:val="20"/>
                <w:szCs w:val="20"/>
              </w:rPr>
            </w:pPr>
            <w:r w:rsidRPr="00F26B9B">
              <w:rPr>
                <w:rFonts w:ascii="Arial" w:hAnsi="Arial" w:cs="Arial"/>
                <w:bCs/>
                <w:sz w:val="20"/>
                <w:szCs w:val="20"/>
              </w:rPr>
              <w:t>HIV prevalence</w:t>
            </w:r>
          </w:p>
        </w:tc>
        <w:tc>
          <w:tcPr>
            <w:tcW w:w="577" w:type="pct"/>
          </w:tcPr>
          <w:p w14:paraId="7EC80721" w14:textId="77777777" w:rsidR="008F7600" w:rsidRPr="00F26B9B" w:rsidRDefault="008F7600" w:rsidP="00286C4F">
            <w:pPr>
              <w:spacing w:after="0" w:line="240" w:lineRule="auto"/>
              <w:ind w:firstLine="0"/>
              <w:rPr>
                <w:rFonts w:ascii="Arial" w:hAnsi="Arial" w:cs="Arial"/>
                <w:bCs/>
                <w:sz w:val="20"/>
                <w:szCs w:val="20"/>
                <w:lang w:val="pt-BR"/>
              </w:rPr>
            </w:pPr>
            <w:r w:rsidRPr="00F26B9B">
              <w:rPr>
                <w:rFonts w:ascii="Arial" w:hAnsi="Arial" w:cs="Arial"/>
                <w:bCs/>
                <w:sz w:val="20"/>
                <w:szCs w:val="20"/>
                <w:lang w:val="pt-BR"/>
              </w:rPr>
              <w:t>SDG 3</w:t>
            </w:r>
          </w:p>
        </w:tc>
        <w:tc>
          <w:tcPr>
            <w:tcW w:w="3634" w:type="pct"/>
            <w:tcBorders>
              <w:right w:val="nil"/>
            </w:tcBorders>
          </w:tcPr>
          <w:p w14:paraId="5AC670FA" w14:textId="77777777" w:rsidR="008F7600" w:rsidRPr="00D55291" w:rsidRDefault="008F7600" w:rsidP="00286C4F">
            <w:pPr>
              <w:pStyle w:val="NoSpacing"/>
              <w:ind w:firstLine="0"/>
              <w:rPr>
                <w:rFonts w:ascii="Arial" w:hAnsi="Arial" w:cs="Arial"/>
                <w:bCs/>
                <w:sz w:val="20"/>
                <w:szCs w:val="20"/>
              </w:rPr>
            </w:pPr>
            <w:r w:rsidRPr="00F26B9B">
              <w:rPr>
                <w:rFonts w:ascii="Arial" w:hAnsi="Arial" w:cs="Arial"/>
                <w:bCs/>
                <w:sz w:val="20"/>
                <w:szCs w:val="20"/>
              </w:rPr>
              <w:t>HIV prevalence refers to the percentage of people aged 15 to 49 who are infected with HIV [8]. The average from 2010 to 2012 was calculated for each country.</w:t>
            </w:r>
          </w:p>
        </w:tc>
      </w:tr>
      <w:tr w:rsidR="008F7600" w:rsidRPr="00D55291" w14:paraId="1A3F3D9F" w14:textId="77777777" w:rsidTr="00282831">
        <w:tc>
          <w:tcPr>
            <w:tcW w:w="789" w:type="pct"/>
            <w:tcBorders>
              <w:left w:val="nil"/>
            </w:tcBorders>
          </w:tcPr>
          <w:p w14:paraId="4BD3992B" w14:textId="77777777" w:rsidR="008F7600" w:rsidRPr="00ED7B78" w:rsidRDefault="008F7600" w:rsidP="00286C4F">
            <w:pPr>
              <w:spacing w:after="0" w:line="240" w:lineRule="auto"/>
              <w:ind w:firstLine="0"/>
              <w:rPr>
                <w:rFonts w:ascii="Arial" w:hAnsi="Arial" w:cs="Arial"/>
                <w:bCs/>
                <w:sz w:val="20"/>
                <w:szCs w:val="20"/>
              </w:rPr>
            </w:pPr>
            <w:r w:rsidRPr="00ED7B78">
              <w:rPr>
                <w:rFonts w:ascii="Arial" w:hAnsi="Arial" w:cs="Arial"/>
                <w:bCs/>
                <w:sz w:val="20"/>
                <w:szCs w:val="20"/>
              </w:rPr>
              <w:t>Malaria incidence</w:t>
            </w:r>
          </w:p>
        </w:tc>
        <w:tc>
          <w:tcPr>
            <w:tcW w:w="577" w:type="pct"/>
          </w:tcPr>
          <w:p w14:paraId="0FA7E482"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3</w:t>
            </w:r>
          </w:p>
        </w:tc>
        <w:tc>
          <w:tcPr>
            <w:tcW w:w="3634" w:type="pct"/>
            <w:tcBorders>
              <w:right w:val="nil"/>
            </w:tcBorders>
          </w:tcPr>
          <w:p w14:paraId="36F6198E"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Malaria incidence is the number of new cases of malaria in one year per 1000 inhabitants at risk</w:t>
            </w:r>
            <w:r>
              <w:rPr>
                <w:rFonts w:ascii="Arial" w:hAnsi="Arial" w:cs="Arial"/>
                <w:bCs/>
                <w:sz w:val="20"/>
                <w:szCs w:val="20"/>
              </w:rPr>
              <w:t xml:space="preserve"> [9]</w:t>
            </w:r>
            <w:r w:rsidRPr="00D55291">
              <w:rPr>
                <w:rFonts w:ascii="Arial" w:hAnsi="Arial" w:cs="Arial"/>
                <w:bCs/>
                <w:sz w:val="20"/>
                <w:szCs w:val="20"/>
              </w:rPr>
              <w:t>. The average from 2010 to 2012 was calculated for each country.</w:t>
            </w:r>
          </w:p>
        </w:tc>
      </w:tr>
      <w:tr w:rsidR="008F7600" w:rsidRPr="00D55291" w14:paraId="35465C1C" w14:textId="77777777" w:rsidTr="00282831">
        <w:tc>
          <w:tcPr>
            <w:tcW w:w="789" w:type="pct"/>
            <w:tcBorders>
              <w:left w:val="nil"/>
            </w:tcBorders>
          </w:tcPr>
          <w:p w14:paraId="072BB8DC" w14:textId="77777777" w:rsidR="008F7600" w:rsidRPr="00ED7B78" w:rsidRDefault="008F7600" w:rsidP="00286C4F">
            <w:pPr>
              <w:spacing w:after="0" w:line="240" w:lineRule="auto"/>
              <w:ind w:firstLine="0"/>
              <w:rPr>
                <w:rFonts w:ascii="Arial" w:hAnsi="Arial" w:cs="Arial"/>
                <w:bCs/>
                <w:sz w:val="20"/>
                <w:szCs w:val="20"/>
              </w:rPr>
            </w:pPr>
            <w:r w:rsidRPr="00ED7B78">
              <w:rPr>
                <w:rFonts w:ascii="Arial" w:hAnsi="Arial" w:cs="Arial"/>
                <w:bCs/>
                <w:sz w:val="20"/>
                <w:szCs w:val="20"/>
              </w:rPr>
              <w:t>Percentage of children between 12 and 23 months immunized with DPT</w:t>
            </w:r>
          </w:p>
        </w:tc>
        <w:tc>
          <w:tcPr>
            <w:tcW w:w="577" w:type="pct"/>
          </w:tcPr>
          <w:p w14:paraId="335F76F6"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3</w:t>
            </w:r>
          </w:p>
        </w:tc>
        <w:tc>
          <w:tcPr>
            <w:tcW w:w="3634" w:type="pct"/>
            <w:tcBorders>
              <w:right w:val="nil"/>
            </w:tcBorders>
          </w:tcPr>
          <w:p w14:paraId="70638731" w14:textId="77777777" w:rsidR="008F7600" w:rsidRPr="00D55291" w:rsidRDefault="008F7600" w:rsidP="00286C4F">
            <w:pPr>
              <w:pStyle w:val="NoSpacing"/>
              <w:ind w:firstLine="0"/>
              <w:rPr>
                <w:rFonts w:ascii="Arial" w:hAnsi="Arial" w:cs="Arial"/>
                <w:bCs/>
                <w:sz w:val="20"/>
                <w:szCs w:val="20"/>
              </w:rPr>
            </w:pPr>
            <w:r>
              <w:rPr>
                <w:rFonts w:ascii="Arial" w:hAnsi="Arial" w:cs="Arial"/>
                <w:bCs/>
                <w:sz w:val="20"/>
                <w:szCs w:val="20"/>
              </w:rPr>
              <w:t xml:space="preserve">Child immunization with </w:t>
            </w:r>
            <w:r w:rsidRPr="00D55291">
              <w:rPr>
                <w:rFonts w:ascii="Arial" w:hAnsi="Arial" w:cs="Arial"/>
                <w:bCs/>
                <w:sz w:val="20"/>
                <w:szCs w:val="20"/>
              </w:rPr>
              <w:t>DPT, measures the percentage of children aged 12 to 23 months who received DPT vaccines before 12 months or at any time before the survey. A child is considered to be adequately immunized against diphtheria, whooping cough and tetanus (DPT) after receiving three doses of the vaccine</w:t>
            </w:r>
            <w:r>
              <w:rPr>
                <w:rFonts w:ascii="Arial" w:hAnsi="Arial" w:cs="Arial"/>
                <w:bCs/>
                <w:sz w:val="20"/>
                <w:szCs w:val="20"/>
              </w:rPr>
              <w:t xml:space="preserve"> [10]</w:t>
            </w:r>
            <w:r w:rsidRPr="00D55291">
              <w:rPr>
                <w:rFonts w:ascii="Arial" w:hAnsi="Arial" w:cs="Arial"/>
                <w:bCs/>
                <w:sz w:val="20"/>
                <w:szCs w:val="20"/>
              </w:rPr>
              <w:t>. The average from 2010 to 2012 was calculated for each country.</w:t>
            </w:r>
          </w:p>
        </w:tc>
      </w:tr>
      <w:tr w:rsidR="008F7600" w:rsidRPr="00D55291" w14:paraId="0ABF73C6" w14:textId="77777777" w:rsidTr="00282831">
        <w:tc>
          <w:tcPr>
            <w:tcW w:w="789" w:type="pct"/>
            <w:tcBorders>
              <w:left w:val="nil"/>
            </w:tcBorders>
          </w:tcPr>
          <w:p w14:paraId="67487B02"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Hospital beds per 1000 inhabitants’ rate</w:t>
            </w:r>
          </w:p>
        </w:tc>
        <w:tc>
          <w:tcPr>
            <w:tcW w:w="577" w:type="pct"/>
          </w:tcPr>
          <w:p w14:paraId="62A3D796"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3</w:t>
            </w:r>
          </w:p>
        </w:tc>
        <w:tc>
          <w:tcPr>
            <w:tcW w:w="3634" w:type="pct"/>
            <w:tcBorders>
              <w:right w:val="nil"/>
            </w:tcBorders>
          </w:tcPr>
          <w:p w14:paraId="429289DB"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Hospital beds include inpatient beds available in public, private, general and specialized hospitals and rehabilitation centers. In most cases, beds for acute and chronic care are included</w:t>
            </w:r>
            <w:r>
              <w:rPr>
                <w:rFonts w:ascii="Arial" w:hAnsi="Arial" w:cs="Arial"/>
                <w:bCs/>
                <w:sz w:val="20"/>
                <w:szCs w:val="20"/>
              </w:rPr>
              <w:t xml:space="preserve"> [11]</w:t>
            </w:r>
            <w:r w:rsidRPr="00D55291">
              <w:rPr>
                <w:rFonts w:ascii="Arial" w:hAnsi="Arial" w:cs="Arial"/>
                <w:bCs/>
                <w:sz w:val="20"/>
                <w:szCs w:val="20"/>
              </w:rPr>
              <w:t>. The average from 2010 to 2012 was calculated for each country.</w:t>
            </w:r>
          </w:p>
        </w:tc>
      </w:tr>
      <w:tr w:rsidR="008F7600" w:rsidRPr="00D55291" w14:paraId="66E3B751" w14:textId="77777777" w:rsidTr="00282831">
        <w:tc>
          <w:tcPr>
            <w:tcW w:w="789" w:type="pct"/>
            <w:tcBorders>
              <w:left w:val="nil"/>
            </w:tcBorders>
          </w:tcPr>
          <w:p w14:paraId="6DC924E8"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 xml:space="preserve">Secondary life school expectancy, for both </w:t>
            </w:r>
            <w:r>
              <w:rPr>
                <w:rFonts w:ascii="Arial" w:hAnsi="Arial" w:cs="Arial"/>
                <w:bCs/>
                <w:sz w:val="20"/>
                <w:szCs w:val="20"/>
              </w:rPr>
              <w:t>genders</w:t>
            </w:r>
          </w:p>
        </w:tc>
        <w:tc>
          <w:tcPr>
            <w:tcW w:w="577" w:type="pct"/>
          </w:tcPr>
          <w:p w14:paraId="5899B80A"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4</w:t>
            </w:r>
          </w:p>
        </w:tc>
        <w:tc>
          <w:tcPr>
            <w:tcW w:w="3634" w:type="pct"/>
            <w:tcBorders>
              <w:right w:val="nil"/>
            </w:tcBorders>
          </w:tcPr>
          <w:p w14:paraId="1C3636DF"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Number of years that a school-age person can expect to spend within the specified level of education. For a child of a certain age, school life expectancy is calculated as the sum of the age-specific enrollment rates for the specified education levels. The part of enrollment that is not distributed by age is divided by the school-age population by the level of education at which they are enrolled and multiplied by the duration of that level of education. The result is then added to the sum of the age-specific registration fees. A high school life expectancy indicates a greater likelihood that children will spend more years in education and greater overall retention within the education system. Note that the expected number of years does not necessarily coincide with the expected number of degrees completed, due to repetition. Since school life expectancy is an average based on participation at different levels of education, the expected number of years of schooling can be reduced by the magnitude of children who never attend</w:t>
            </w:r>
            <w:r>
              <w:rPr>
                <w:rFonts w:ascii="Arial" w:hAnsi="Arial" w:cs="Arial"/>
                <w:bCs/>
                <w:sz w:val="20"/>
                <w:szCs w:val="20"/>
              </w:rPr>
              <w:t>ed</w:t>
            </w:r>
            <w:r w:rsidRPr="00D55291">
              <w:rPr>
                <w:rFonts w:ascii="Arial" w:hAnsi="Arial" w:cs="Arial"/>
                <w:bCs/>
                <w:sz w:val="20"/>
                <w:szCs w:val="20"/>
              </w:rPr>
              <w:t xml:space="preserve"> school. Children in school can benefit from many more years of education than the average</w:t>
            </w:r>
            <w:r>
              <w:rPr>
                <w:rFonts w:ascii="Arial" w:hAnsi="Arial" w:cs="Arial"/>
                <w:bCs/>
                <w:sz w:val="20"/>
                <w:szCs w:val="20"/>
              </w:rPr>
              <w:t xml:space="preserve"> [12]</w:t>
            </w:r>
            <w:r w:rsidRPr="00D55291">
              <w:rPr>
                <w:rFonts w:ascii="Arial" w:hAnsi="Arial" w:cs="Arial"/>
                <w:bCs/>
                <w:sz w:val="20"/>
                <w:szCs w:val="20"/>
              </w:rPr>
              <w:t>. The average from 2010 to 2012 was calculated for each country.</w:t>
            </w:r>
          </w:p>
        </w:tc>
      </w:tr>
      <w:tr w:rsidR="008F7600" w:rsidRPr="00D55291" w14:paraId="7DDD6F49" w14:textId="77777777" w:rsidTr="00282831">
        <w:tc>
          <w:tcPr>
            <w:tcW w:w="789" w:type="pct"/>
            <w:tcBorders>
              <w:left w:val="nil"/>
            </w:tcBorders>
          </w:tcPr>
          <w:p w14:paraId="48FC8201"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 xml:space="preserve">Percentage of adolescents at high school age who are </w:t>
            </w:r>
            <w:r w:rsidRPr="00D55291">
              <w:rPr>
                <w:rFonts w:ascii="Arial" w:hAnsi="Arial" w:cs="Arial"/>
                <w:bCs/>
                <w:sz w:val="20"/>
                <w:szCs w:val="20"/>
              </w:rPr>
              <w:lastRenderedPageBreak/>
              <w:t>out of school</w:t>
            </w:r>
          </w:p>
        </w:tc>
        <w:tc>
          <w:tcPr>
            <w:tcW w:w="577" w:type="pct"/>
          </w:tcPr>
          <w:p w14:paraId="1A144991"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lastRenderedPageBreak/>
              <w:t>SDG 4</w:t>
            </w:r>
          </w:p>
        </w:tc>
        <w:tc>
          <w:tcPr>
            <w:tcW w:w="3634" w:type="pct"/>
            <w:tcBorders>
              <w:right w:val="nil"/>
            </w:tcBorders>
          </w:tcPr>
          <w:p w14:paraId="1756F40E"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 xml:space="preserve">Number of children of official high school age who did not attend primary or secondary school at any time during the reference school year, expressed as a percentage of the number of official children of secondary school age in the household survey sample. Children attending pre-primary or non-formal </w:t>
            </w:r>
            <w:r w:rsidRPr="00D55291">
              <w:rPr>
                <w:rFonts w:ascii="Arial" w:hAnsi="Arial" w:cs="Arial"/>
                <w:bCs/>
                <w:sz w:val="20"/>
                <w:szCs w:val="20"/>
              </w:rPr>
              <w:lastRenderedPageBreak/>
              <w:t>education are considered out of school. The UNESCO Institute for Statistics (UIS) releases estimates for out-of-school children calculated from administrative sources and household surveys (Demographic and Health Surveys and Multiple Indicator Cluster Surveys). Administrative records and household surveys are two sources of data that differ in fundamental ways: who collects the data and how, when and for what purpose. As a result, estimates of out-of-school children calculated from one data source may not correspond to those based on other data sources</w:t>
            </w:r>
            <w:r>
              <w:rPr>
                <w:rFonts w:ascii="Arial" w:hAnsi="Arial" w:cs="Arial"/>
                <w:bCs/>
                <w:sz w:val="20"/>
                <w:szCs w:val="20"/>
              </w:rPr>
              <w:t xml:space="preserve"> [13]</w:t>
            </w:r>
            <w:r w:rsidRPr="00D55291">
              <w:rPr>
                <w:rFonts w:ascii="Arial" w:hAnsi="Arial" w:cs="Arial"/>
                <w:bCs/>
                <w:sz w:val="20"/>
                <w:szCs w:val="20"/>
              </w:rPr>
              <w:t>. The average for the years 2010 to 2012 was calculated for each country.</w:t>
            </w:r>
          </w:p>
        </w:tc>
      </w:tr>
      <w:tr w:rsidR="008F7600" w:rsidRPr="00D55291" w14:paraId="51FF40E1" w14:textId="77777777" w:rsidTr="00282831">
        <w:tc>
          <w:tcPr>
            <w:tcW w:w="789" w:type="pct"/>
            <w:tcBorders>
              <w:left w:val="nil"/>
            </w:tcBorders>
          </w:tcPr>
          <w:p w14:paraId="3303382F"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lastRenderedPageBreak/>
              <w:t>Percentage of unemployed female labor force</w:t>
            </w:r>
          </w:p>
        </w:tc>
        <w:tc>
          <w:tcPr>
            <w:tcW w:w="577" w:type="pct"/>
          </w:tcPr>
          <w:p w14:paraId="1D8F35DF"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5</w:t>
            </w:r>
          </w:p>
        </w:tc>
        <w:tc>
          <w:tcPr>
            <w:tcW w:w="3634" w:type="pct"/>
            <w:tcBorders>
              <w:right w:val="nil"/>
            </w:tcBorders>
          </w:tcPr>
          <w:p w14:paraId="1A127AD7"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Female unemployment refers to the share of the labor force among women who are out of work, but available and seeking employment</w:t>
            </w:r>
            <w:r>
              <w:rPr>
                <w:rFonts w:ascii="Arial" w:hAnsi="Arial" w:cs="Arial"/>
                <w:bCs/>
                <w:sz w:val="20"/>
                <w:szCs w:val="20"/>
              </w:rPr>
              <w:t xml:space="preserve"> [69]</w:t>
            </w:r>
            <w:r w:rsidRPr="00D55291">
              <w:rPr>
                <w:rFonts w:ascii="Arial" w:hAnsi="Arial" w:cs="Arial"/>
                <w:bCs/>
                <w:sz w:val="20"/>
                <w:szCs w:val="20"/>
              </w:rPr>
              <w:t>. The average for the years 2010 to 2012 was calculated for each country.</w:t>
            </w:r>
          </w:p>
        </w:tc>
      </w:tr>
      <w:tr w:rsidR="008F7600" w:rsidRPr="00D55291" w14:paraId="5C418C94" w14:textId="77777777" w:rsidTr="00282831">
        <w:tc>
          <w:tcPr>
            <w:tcW w:w="789" w:type="pct"/>
            <w:tcBorders>
              <w:left w:val="nil"/>
            </w:tcBorders>
          </w:tcPr>
          <w:p w14:paraId="4868C91C"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Secondary school life expectancy among women</w:t>
            </w:r>
          </w:p>
        </w:tc>
        <w:tc>
          <w:tcPr>
            <w:tcW w:w="577" w:type="pct"/>
          </w:tcPr>
          <w:p w14:paraId="76F81B0C"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5</w:t>
            </w:r>
          </w:p>
        </w:tc>
        <w:tc>
          <w:tcPr>
            <w:tcW w:w="3634" w:type="pct"/>
            <w:tcBorders>
              <w:right w:val="nil"/>
            </w:tcBorders>
          </w:tcPr>
          <w:p w14:paraId="2732A06F"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Number of years a school-age girl can expect to spend within the specified level of education. For a girl of a certain age, school life expectancy is calculated as the sum of the age-specific enrollment rates for the specified levels of education. The part of enrollment that is not distributed by age is divided by the school-age population by the level of education at which they are enrolled and multiplied by the duration of that level of education. The result is then added to the sum of the age-specific registration fees. A high school life expectancy indicates that girls are more likely to spend more years in education and greater overall retention within the education system. Note that the expected number of years does not necessarily coincide with the expected number of degrees completed, due to repetition. Since school life expectancy is an average based on participation at different levels of education, the expected number of years of schooling can be reduced by the magnitude of girls who never attend school. Girls who are in school can benefit from many more years of education than the average</w:t>
            </w:r>
            <w:r>
              <w:rPr>
                <w:rFonts w:ascii="Arial" w:hAnsi="Arial" w:cs="Arial"/>
                <w:bCs/>
                <w:sz w:val="20"/>
                <w:szCs w:val="20"/>
              </w:rPr>
              <w:t xml:space="preserve"> [15]</w:t>
            </w:r>
            <w:r w:rsidRPr="00D55291">
              <w:rPr>
                <w:rFonts w:ascii="Arial" w:hAnsi="Arial" w:cs="Arial"/>
                <w:bCs/>
                <w:sz w:val="20"/>
                <w:szCs w:val="20"/>
              </w:rPr>
              <w:t>. The average from 2010 to 2012 was calculated for each country.</w:t>
            </w:r>
          </w:p>
        </w:tc>
      </w:tr>
      <w:tr w:rsidR="008F7600" w:rsidRPr="00D55291" w14:paraId="7F4AB63B" w14:textId="77777777" w:rsidTr="00282831">
        <w:tc>
          <w:tcPr>
            <w:tcW w:w="789" w:type="pct"/>
            <w:tcBorders>
              <w:left w:val="nil"/>
            </w:tcBorders>
          </w:tcPr>
          <w:p w14:paraId="59BAE3D4"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Proportion of seats held by women in national parliaments</w:t>
            </w:r>
          </w:p>
        </w:tc>
        <w:tc>
          <w:tcPr>
            <w:tcW w:w="577" w:type="pct"/>
          </w:tcPr>
          <w:p w14:paraId="71C32297"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5</w:t>
            </w:r>
          </w:p>
        </w:tc>
        <w:tc>
          <w:tcPr>
            <w:tcW w:w="3634" w:type="pct"/>
            <w:tcBorders>
              <w:right w:val="nil"/>
            </w:tcBorders>
          </w:tcPr>
          <w:p w14:paraId="6612EE3E"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Women in parliaments are the percentage of parliamentary seats in a single chamber occupied by women</w:t>
            </w:r>
            <w:r>
              <w:rPr>
                <w:rFonts w:ascii="Arial" w:hAnsi="Arial" w:cs="Arial"/>
                <w:bCs/>
                <w:sz w:val="20"/>
                <w:szCs w:val="20"/>
              </w:rPr>
              <w:t xml:space="preserve"> [16]</w:t>
            </w:r>
            <w:r w:rsidRPr="00D55291">
              <w:rPr>
                <w:rFonts w:ascii="Arial" w:hAnsi="Arial" w:cs="Arial"/>
                <w:bCs/>
                <w:sz w:val="20"/>
                <w:szCs w:val="20"/>
              </w:rPr>
              <w:t>. The average from 2010 to 2012 was calculated for each country.</w:t>
            </w:r>
          </w:p>
        </w:tc>
      </w:tr>
      <w:tr w:rsidR="008F7600" w:rsidRPr="00D55291" w14:paraId="40C0688B" w14:textId="77777777" w:rsidTr="00282831">
        <w:tc>
          <w:tcPr>
            <w:tcW w:w="789" w:type="pct"/>
            <w:tcBorders>
              <w:left w:val="nil"/>
            </w:tcBorders>
          </w:tcPr>
          <w:p w14:paraId="703E0358"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Percentage of people using basic sanitary facilities</w:t>
            </w:r>
          </w:p>
        </w:tc>
        <w:tc>
          <w:tcPr>
            <w:tcW w:w="577" w:type="pct"/>
          </w:tcPr>
          <w:p w14:paraId="1613485F"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6</w:t>
            </w:r>
          </w:p>
        </w:tc>
        <w:tc>
          <w:tcPr>
            <w:tcW w:w="3634" w:type="pct"/>
            <w:tcBorders>
              <w:right w:val="nil"/>
            </w:tcBorders>
          </w:tcPr>
          <w:p w14:paraId="7CCC32A9"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The percentage of people who use at least basic sanitation services, that is, improved sanitation facilities that are not shared with other families. This indicator covers both people who use basic sanitation services and those who use safely managed sanitation services. Improved sanitation facilities include discharge / discharge into sewer systems, septic tanks or pit latrines; improved ventilated pit latrines, composition toilets or pit latrines with slabs</w:t>
            </w:r>
            <w:r>
              <w:rPr>
                <w:rFonts w:ascii="Arial" w:hAnsi="Arial" w:cs="Arial"/>
                <w:bCs/>
                <w:sz w:val="20"/>
                <w:szCs w:val="20"/>
              </w:rPr>
              <w:t xml:space="preserve"> [17]</w:t>
            </w:r>
            <w:r w:rsidRPr="00D55291">
              <w:rPr>
                <w:rFonts w:ascii="Arial" w:hAnsi="Arial" w:cs="Arial"/>
                <w:bCs/>
                <w:sz w:val="20"/>
                <w:szCs w:val="20"/>
              </w:rPr>
              <w:t>. The average from 2010 to 2012 was calculated for each country.</w:t>
            </w:r>
          </w:p>
        </w:tc>
      </w:tr>
      <w:tr w:rsidR="008F7600" w:rsidRPr="00D55291" w14:paraId="07AFA168" w14:textId="77777777" w:rsidTr="00282831">
        <w:tc>
          <w:tcPr>
            <w:tcW w:w="789" w:type="pct"/>
            <w:tcBorders>
              <w:left w:val="nil"/>
            </w:tcBorders>
          </w:tcPr>
          <w:p w14:paraId="30776CBF"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Percentage of people using basic drinking water services</w:t>
            </w:r>
          </w:p>
        </w:tc>
        <w:tc>
          <w:tcPr>
            <w:tcW w:w="577" w:type="pct"/>
          </w:tcPr>
          <w:p w14:paraId="7093A377"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6</w:t>
            </w:r>
          </w:p>
        </w:tc>
        <w:tc>
          <w:tcPr>
            <w:tcW w:w="3634" w:type="pct"/>
            <w:tcBorders>
              <w:right w:val="nil"/>
            </w:tcBorders>
          </w:tcPr>
          <w:p w14:paraId="6AF30264"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The percentage of people who use at least basic water services. This indicator covers both people who use basic water services and those who use safely managed water services. Basic drinking water services are defined as drinking water from an improved source, as long as the collection time does not exceed 30 minutes for a round trip. Enhanced water sources include piped water, boreholes or pipes, protected dug wells, protected sources and packaged or delivered water.</w:t>
            </w:r>
            <w:r w:rsidRPr="00D55291">
              <w:rPr>
                <w:rFonts w:ascii="Arial" w:hAnsi="Arial" w:cs="Arial"/>
                <w:bCs/>
                <w:sz w:val="20"/>
                <w:szCs w:val="20"/>
                <w:vertAlign w:val="superscript"/>
              </w:rPr>
              <w:t>18</w:t>
            </w:r>
            <w:r w:rsidRPr="00D55291">
              <w:rPr>
                <w:rFonts w:ascii="Arial" w:hAnsi="Arial" w:cs="Arial"/>
                <w:bCs/>
                <w:sz w:val="20"/>
                <w:szCs w:val="20"/>
              </w:rPr>
              <w:t xml:space="preserve"> The average from 2010 to 2012 was calculated for each country.</w:t>
            </w:r>
          </w:p>
        </w:tc>
      </w:tr>
      <w:tr w:rsidR="008F7600" w:rsidRPr="00D55291" w14:paraId="24581DF4" w14:textId="77777777" w:rsidTr="00282831">
        <w:tc>
          <w:tcPr>
            <w:tcW w:w="789" w:type="pct"/>
            <w:tcBorders>
              <w:left w:val="nil"/>
              <w:bottom w:val="single" w:sz="4" w:space="0" w:color="auto"/>
            </w:tcBorders>
          </w:tcPr>
          <w:p w14:paraId="77CFB59F"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Percentage of population with access to electricity</w:t>
            </w:r>
          </w:p>
        </w:tc>
        <w:tc>
          <w:tcPr>
            <w:tcW w:w="577" w:type="pct"/>
          </w:tcPr>
          <w:p w14:paraId="7677805B"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7</w:t>
            </w:r>
          </w:p>
        </w:tc>
        <w:tc>
          <w:tcPr>
            <w:tcW w:w="3634" w:type="pct"/>
            <w:tcBorders>
              <w:right w:val="nil"/>
            </w:tcBorders>
          </w:tcPr>
          <w:p w14:paraId="61841CF7"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Access to electricity is the percentage of the population with access to electricity. Electrification data are collected from industries, national surveys and international sources</w:t>
            </w:r>
            <w:r>
              <w:rPr>
                <w:rFonts w:ascii="Arial" w:hAnsi="Arial" w:cs="Arial"/>
                <w:bCs/>
                <w:sz w:val="20"/>
                <w:szCs w:val="20"/>
              </w:rPr>
              <w:t xml:space="preserve"> [19]</w:t>
            </w:r>
            <w:r w:rsidRPr="00D55291">
              <w:rPr>
                <w:rFonts w:ascii="Arial" w:hAnsi="Arial" w:cs="Arial"/>
                <w:bCs/>
                <w:sz w:val="20"/>
                <w:szCs w:val="20"/>
              </w:rPr>
              <w:t>. The average from 2010 to 2012 was calculated for each country.</w:t>
            </w:r>
          </w:p>
        </w:tc>
      </w:tr>
      <w:tr w:rsidR="008F7600" w:rsidRPr="00D55291" w14:paraId="6E32B142" w14:textId="77777777" w:rsidTr="00282831">
        <w:tc>
          <w:tcPr>
            <w:tcW w:w="789" w:type="pct"/>
            <w:tcBorders>
              <w:left w:val="nil"/>
            </w:tcBorders>
          </w:tcPr>
          <w:p w14:paraId="6381D488"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lastRenderedPageBreak/>
              <w:t>Percentage of total unemployed workforce</w:t>
            </w:r>
          </w:p>
        </w:tc>
        <w:tc>
          <w:tcPr>
            <w:tcW w:w="577" w:type="pct"/>
          </w:tcPr>
          <w:p w14:paraId="06C35CC5"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8</w:t>
            </w:r>
          </w:p>
        </w:tc>
        <w:tc>
          <w:tcPr>
            <w:tcW w:w="3634" w:type="pct"/>
            <w:tcBorders>
              <w:right w:val="nil"/>
            </w:tcBorders>
          </w:tcPr>
          <w:p w14:paraId="0FCAB29C"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Unemployment refers to the portion of the labor force that is out of work, but available and looking for a job</w:t>
            </w:r>
            <w:r>
              <w:rPr>
                <w:rFonts w:ascii="Arial" w:hAnsi="Arial" w:cs="Arial"/>
                <w:bCs/>
                <w:sz w:val="20"/>
                <w:szCs w:val="20"/>
              </w:rPr>
              <w:t xml:space="preserve"> [20]</w:t>
            </w:r>
            <w:r w:rsidRPr="00D55291">
              <w:rPr>
                <w:rFonts w:ascii="Arial" w:hAnsi="Arial" w:cs="Arial"/>
                <w:bCs/>
                <w:sz w:val="20"/>
                <w:szCs w:val="20"/>
              </w:rPr>
              <w:t>. The average from 2010 to 2012 was calculated for each country.</w:t>
            </w:r>
          </w:p>
        </w:tc>
      </w:tr>
      <w:tr w:rsidR="008F7600" w:rsidRPr="00D55291" w14:paraId="527EF609" w14:textId="77777777" w:rsidTr="00282831">
        <w:tc>
          <w:tcPr>
            <w:tcW w:w="789" w:type="pct"/>
            <w:tcBorders>
              <w:top w:val="single" w:sz="4" w:space="0" w:color="auto"/>
              <w:left w:val="nil"/>
              <w:bottom w:val="single" w:sz="4" w:space="0" w:color="auto"/>
              <w:right w:val="single" w:sz="4" w:space="0" w:color="auto"/>
            </w:tcBorders>
          </w:tcPr>
          <w:p w14:paraId="29C71FB9"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Gross Domestic Product (GDP) per capita –</w:t>
            </w:r>
            <w:r>
              <w:rPr>
                <w:rFonts w:ascii="Arial" w:hAnsi="Arial" w:cs="Arial"/>
                <w:bCs/>
                <w:sz w:val="20"/>
                <w:szCs w:val="20"/>
              </w:rPr>
              <w:t xml:space="preserve"> </w:t>
            </w:r>
            <w:r w:rsidRPr="00C9375F">
              <w:rPr>
                <w:rFonts w:ascii="Arial" w:hAnsi="Arial" w:cs="Arial"/>
                <w:sz w:val="20"/>
                <w:szCs w:val="20"/>
              </w:rPr>
              <w:t>Int$ PPP</w:t>
            </w:r>
            <w:r w:rsidRPr="00D55291">
              <w:rPr>
                <w:rFonts w:ascii="Arial" w:hAnsi="Arial" w:cs="Arial"/>
                <w:bCs/>
                <w:sz w:val="20"/>
                <w:szCs w:val="20"/>
              </w:rPr>
              <w:t xml:space="preserve"> constant for 2017</w:t>
            </w:r>
          </w:p>
        </w:tc>
        <w:tc>
          <w:tcPr>
            <w:tcW w:w="577" w:type="pct"/>
            <w:tcBorders>
              <w:top w:val="single" w:sz="4" w:space="0" w:color="auto"/>
              <w:left w:val="single" w:sz="4" w:space="0" w:color="auto"/>
              <w:bottom w:val="single" w:sz="4" w:space="0" w:color="auto"/>
              <w:right w:val="single" w:sz="4" w:space="0" w:color="auto"/>
            </w:tcBorders>
          </w:tcPr>
          <w:p w14:paraId="5718C1AA"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8</w:t>
            </w:r>
          </w:p>
        </w:tc>
        <w:tc>
          <w:tcPr>
            <w:tcW w:w="3634" w:type="pct"/>
            <w:tcBorders>
              <w:top w:val="single" w:sz="4" w:space="0" w:color="auto"/>
              <w:left w:val="single" w:sz="4" w:space="0" w:color="auto"/>
              <w:bottom w:val="single" w:sz="4" w:space="0" w:color="auto"/>
              <w:right w:val="nil"/>
            </w:tcBorders>
          </w:tcPr>
          <w:p w14:paraId="6BCA7F35"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 xml:space="preserve">Gross Domestic Product (GDP) per </w:t>
            </w:r>
            <w:r w:rsidRPr="00504DD9">
              <w:rPr>
                <w:rFonts w:ascii="Arial" w:hAnsi="Arial" w:cs="Arial"/>
                <w:bCs/>
                <w:sz w:val="20"/>
                <w:szCs w:val="20"/>
              </w:rPr>
              <w:t xml:space="preserve">capita in </w:t>
            </w:r>
            <w:r w:rsidRPr="00C9375F">
              <w:rPr>
                <w:rFonts w:ascii="Arial" w:hAnsi="Arial" w:cs="Arial"/>
                <w:sz w:val="20"/>
                <w:szCs w:val="20"/>
              </w:rPr>
              <w:t>Int$ PPP</w:t>
            </w:r>
            <w:r w:rsidRPr="00C9375F">
              <w:rPr>
                <w:rFonts w:ascii="Arial" w:hAnsi="Arial" w:cs="Arial"/>
                <w:bCs/>
                <w:sz w:val="20"/>
                <w:szCs w:val="20"/>
              </w:rPr>
              <w:t xml:space="preserve"> </w:t>
            </w:r>
            <w:r w:rsidRPr="00D55291">
              <w:rPr>
                <w:rFonts w:ascii="Arial" w:hAnsi="Arial" w:cs="Arial"/>
                <w:bCs/>
                <w:sz w:val="20"/>
                <w:szCs w:val="20"/>
              </w:rPr>
              <w:t>constant for 2017.</w:t>
            </w:r>
          </w:p>
        </w:tc>
      </w:tr>
      <w:tr w:rsidR="008F7600" w:rsidRPr="00D55291" w14:paraId="5CA5D59B" w14:textId="77777777" w:rsidTr="00282831">
        <w:tc>
          <w:tcPr>
            <w:tcW w:w="789" w:type="pct"/>
            <w:tcBorders>
              <w:left w:val="nil"/>
            </w:tcBorders>
          </w:tcPr>
          <w:p w14:paraId="6BB192C1"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Inflation, consumer price</w:t>
            </w:r>
          </w:p>
        </w:tc>
        <w:tc>
          <w:tcPr>
            <w:tcW w:w="577" w:type="pct"/>
          </w:tcPr>
          <w:p w14:paraId="1657EE00"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8</w:t>
            </w:r>
          </w:p>
        </w:tc>
        <w:tc>
          <w:tcPr>
            <w:tcW w:w="3634" w:type="pct"/>
            <w:tcBorders>
              <w:right w:val="nil"/>
            </w:tcBorders>
          </w:tcPr>
          <w:p w14:paraId="46524174"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Inflation measured by the consumer price index reflects the annual percentage change in the cost to the average consumer of purchasing a basket of goods and services that can be fixed or changed at specified intervals, such as annually. Laspeyres' formula is generally used</w:t>
            </w:r>
            <w:r>
              <w:rPr>
                <w:rFonts w:ascii="Arial" w:hAnsi="Arial" w:cs="Arial"/>
                <w:bCs/>
                <w:sz w:val="20"/>
                <w:szCs w:val="20"/>
              </w:rPr>
              <w:t xml:space="preserve"> [4]</w:t>
            </w:r>
            <w:r w:rsidRPr="00D55291">
              <w:rPr>
                <w:rFonts w:ascii="Arial" w:hAnsi="Arial" w:cs="Arial"/>
                <w:bCs/>
                <w:sz w:val="20"/>
                <w:szCs w:val="20"/>
              </w:rPr>
              <w:t>. The average for the years 2010 to 2012 was calculated for each country.</w:t>
            </w:r>
          </w:p>
        </w:tc>
      </w:tr>
      <w:tr w:rsidR="008F7600" w:rsidRPr="00D55291" w14:paraId="78A19515" w14:textId="77777777" w:rsidTr="00282831">
        <w:tc>
          <w:tcPr>
            <w:tcW w:w="789" w:type="pct"/>
            <w:tcBorders>
              <w:left w:val="nil"/>
            </w:tcBorders>
          </w:tcPr>
          <w:p w14:paraId="61008CAC" w14:textId="77777777" w:rsidR="008F7600" w:rsidRPr="00ED7B78" w:rsidRDefault="008F7600" w:rsidP="00286C4F">
            <w:pPr>
              <w:spacing w:after="0" w:line="240" w:lineRule="auto"/>
              <w:ind w:firstLine="0"/>
              <w:rPr>
                <w:rFonts w:ascii="Arial" w:hAnsi="Arial" w:cs="Arial"/>
                <w:bCs/>
                <w:sz w:val="20"/>
                <w:szCs w:val="20"/>
              </w:rPr>
            </w:pPr>
            <w:r w:rsidRPr="00ED7B78">
              <w:rPr>
                <w:rFonts w:ascii="Arial" w:hAnsi="Arial" w:cs="Arial"/>
                <w:bCs/>
                <w:sz w:val="20"/>
                <w:szCs w:val="20"/>
              </w:rPr>
              <w:t>Gini Index</w:t>
            </w:r>
          </w:p>
        </w:tc>
        <w:tc>
          <w:tcPr>
            <w:tcW w:w="577" w:type="pct"/>
          </w:tcPr>
          <w:p w14:paraId="6D219BDE"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10</w:t>
            </w:r>
          </w:p>
        </w:tc>
        <w:tc>
          <w:tcPr>
            <w:tcW w:w="3634" w:type="pct"/>
            <w:tcBorders>
              <w:right w:val="nil"/>
            </w:tcBorders>
          </w:tcPr>
          <w:p w14:paraId="3D657761" w14:textId="1F180D21"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The Gini index measures the extent to which the distribution of income (or, in some cases, consumption expenditure) between individuals or families in an economy deviates from a perfectly equal distribution. A Lorenz curve represents the cumulative percentages of total income received in relation to the cumulative number of recipients, starting with the poorest individual or household. The Gini index measures the area between the Lorenz curve and a hypothetical line of absolute equality, expressed as a percentage of the maximum area below the line. Thus, a Gini index of zero represents perfect equality, while an index of 100 implies perfect inequality</w:t>
            </w:r>
            <w:r>
              <w:rPr>
                <w:rFonts w:ascii="Arial" w:hAnsi="Arial" w:cs="Arial"/>
                <w:bCs/>
                <w:sz w:val="20"/>
                <w:szCs w:val="20"/>
              </w:rPr>
              <w:t xml:space="preserve"> [21]</w:t>
            </w:r>
            <w:r w:rsidRPr="00D55291">
              <w:rPr>
                <w:rFonts w:ascii="Arial" w:hAnsi="Arial" w:cs="Arial"/>
                <w:bCs/>
                <w:sz w:val="20"/>
                <w:szCs w:val="20"/>
              </w:rPr>
              <w:t>. The average of the years 2010 to 2012 was calculated for each country.</w:t>
            </w:r>
          </w:p>
        </w:tc>
      </w:tr>
      <w:tr w:rsidR="008F7600" w:rsidRPr="00D55291" w14:paraId="10884889" w14:textId="77777777" w:rsidTr="00282831">
        <w:tc>
          <w:tcPr>
            <w:tcW w:w="789" w:type="pct"/>
            <w:tcBorders>
              <w:left w:val="nil"/>
            </w:tcBorders>
          </w:tcPr>
          <w:p w14:paraId="69E14674"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Percentage of urban population</w:t>
            </w:r>
          </w:p>
        </w:tc>
        <w:tc>
          <w:tcPr>
            <w:tcW w:w="577" w:type="pct"/>
          </w:tcPr>
          <w:p w14:paraId="0258CBDA"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11</w:t>
            </w:r>
          </w:p>
        </w:tc>
        <w:tc>
          <w:tcPr>
            <w:tcW w:w="3634" w:type="pct"/>
            <w:tcBorders>
              <w:right w:val="nil"/>
            </w:tcBorders>
          </w:tcPr>
          <w:p w14:paraId="23911967"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Urban population refers to people living in urban areas, as defined by national statistical offices</w:t>
            </w:r>
            <w:r>
              <w:rPr>
                <w:rFonts w:ascii="Arial" w:hAnsi="Arial" w:cs="Arial"/>
                <w:bCs/>
                <w:sz w:val="20"/>
                <w:szCs w:val="20"/>
              </w:rPr>
              <w:t xml:space="preserve"> [2]</w:t>
            </w:r>
            <w:r w:rsidRPr="00D55291">
              <w:rPr>
                <w:rFonts w:ascii="Arial" w:hAnsi="Arial" w:cs="Arial"/>
                <w:bCs/>
                <w:sz w:val="20"/>
                <w:szCs w:val="20"/>
              </w:rPr>
              <w:t>. The average for the years 2010 to 2012 was calculated for each country.</w:t>
            </w:r>
          </w:p>
        </w:tc>
      </w:tr>
      <w:tr w:rsidR="008F7600" w:rsidRPr="00D55291" w14:paraId="092605D3" w14:textId="77777777" w:rsidTr="00282831">
        <w:tc>
          <w:tcPr>
            <w:tcW w:w="789" w:type="pct"/>
            <w:tcBorders>
              <w:left w:val="nil"/>
            </w:tcBorders>
          </w:tcPr>
          <w:p w14:paraId="57535828"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Corruption Control Index</w:t>
            </w:r>
          </w:p>
        </w:tc>
        <w:tc>
          <w:tcPr>
            <w:tcW w:w="577" w:type="pct"/>
          </w:tcPr>
          <w:p w14:paraId="3369CCB3"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16</w:t>
            </w:r>
          </w:p>
        </w:tc>
        <w:tc>
          <w:tcPr>
            <w:tcW w:w="3634" w:type="pct"/>
            <w:tcBorders>
              <w:right w:val="nil"/>
            </w:tcBorders>
          </w:tcPr>
          <w:p w14:paraId="7CDEC484"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The control of corruption captures perceptions of the extent to which public power is exercised for private purposes, including small and large forms of corruption, as well as the cooptation of the State by elites and private interests. The estimate provides the country's score in the aggregate indicator, in units of a standard normal distribution, that is, ranging from approximately -2.50 to 2.50</w:t>
            </w:r>
            <w:r>
              <w:rPr>
                <w:rFonts w:ascii="Arial" w:hAnsi="Arial" w:cs="Arial"/>
                <w:bCs/>
                <w:sz w:val="20"/>
                <w:szCs w:val="20"/>
              </w:rPr>
              <w:t xml:space="preserve"> [22]</w:t>
            </w:r>
            <w:r w:rsidRPr="00D55291">
              <w:rPr>
                <w:rFonts w:ascii="Arial" w:hAnsi="Arial" w:cs="Arial"/>
                <w:bCs/>
                <w:sz w:val="20"/>
                <w:szCs w:val="20"/>
              </w:rPr>
              <w:t>. The average of the years 2010 to 2012 was calculated for each country.</w:t>
            </w:r>
          </w:p>
        </w:tc>
      </w:tr>
      <w:tr w:rsidR="008F7600" w:rsidRPr="00D55291" w14:paraId="10D7C9F5" w14:textId="77777777" w:rsidTr="00282831">
        <w:tc>
          <w:tcPr>
            <w:tcW w:w="789" w:type="pct"/>
            <w:tcBorders>
              <w:left w:val="nil"/>
            </w:tcBorders>
          </w:tcPr>
          <w:p w14:paraId="12BA2B86"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Government Effectiveness Index</w:t>
            </w:r>
          </w:p>
        </w:tc>
        <w:tc>
          <w:tcPr>
            <w:tcW w:w="577" w:type="pct"/>
          </w:tcPr>
          <w:p w14:paraId="0B246C2E"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16</w:t>
            </w:r>
          </w:p>
        </w:tc>
        <w:tc>
          <w:tcPr>
            <w:tcW w:w="3634" w:type="pct"/>
            <w:tcBorders>
              <w:right w:val="nil"/>
            </w:tcBorders>
          </w:tcPr>
          <w:p w14:paraId="0F56D28B"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The government's effectiveness captures perceptions of the quality of public services and the degree of independence from political pressures, the quality of policy formulation and implementation, and the credibility of the government's commitment to these policies</w:t>
            </w:r>
            <w:r>
              <w:rPr>
                <w:rFonts w:ascii="Arial" w:hAnsi="Arial" w:cs="Arial"/>
                <w:bCs/>
                <w:sz w:val="20"/>
                <w:szCs w:val="20"/>
              </w:rPr>
              <w:t xml:space="preserve"> [23]</w:t>
            </w:r>
            <w:r w:rsidRPr="00D55291">
              <w:rPr>
                <w:rFonts w:ascii="Arial" w:hAnsi="Arial" w:cs="Arial"/>
                <w:bCs/>
                <w:sz w:val="20"/>
                <w:szCs w:val="20"/>
              </w:rPr>
              <w:t>. The average from 2010 to 2012 was calculated, for each country.</w:t>
            </w:r>
          </w:p>
        </w:tc>
      </w:tr>
      <w:tr w:rsidR="008F7600" w:rsidRPr="00D55291" w14:paraId="0467E581" w14:textId="77777777" w:rsidTr="00282831">
        <w:tc>
          <w:tcPr>
            <w:tcW w:w="789" w:type="pct"/>
            <w:tcBorders>
              <w:left w:val="nil"/>
            </w:tcBorders>
          </w:tcPr>
          <w:p w14:paraId="416B7CF8"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Political Stability and Absence of Violence/Terrorism Index</w:t>
            </w:r>
          </w:p>
        </w:tc>
        <w:tc>
          <w:tcPr>
            <w:tcW w:w="577" w:type="pct"/>
          </w:tcPr>
          <w:p w14:paraId="53A5FC13"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16</w:t>
            </w:r>
          </w:p>
        </w:tc>
        <w:tc>
          <w:tcPr>
            <w:tcW w:w="3634" w:type="pct"/>
            <w:tcBorders>
              <w:right w:val="nil"/>
            </w:tcBorders>
          </w:tcPr>
          <w:p w14:paraId="21C457C5"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Political stability and absence of violence / terrorism captures perceptions of the likelihood that the government will be destabilized or overthrown by unconstitutional or violent means, including politically motivated violence and terrorism</w:t>
            </w:r>
            <w:r>
              <w:rPr>
                <w:rFonts w:ascii="Arial" w:hAnsi="Arial" w:cs="Arial"/>
                <w:bCs/>
                <w:sz w:val="20"/>
                <w:szCs w:val="20"/>
              </w:rPr>
              <w:t xml:space="preserve"> [24]</w:t>
            </w:r>
            <w:r w:rsidRPr="00D55291">
              <w:rPr>
                <w:rFonts w:ascii="Arial" w:hAnsi="Arial" w:cs="Arial"/>
                <w:bCs/>
                <w:sz w:val="20"/>
                <w:szCs w:val="20"/>
              </w:rPr>
              <w:t>. The average from 2010 to 2012 was calculated for each country.</w:t>
            </w:r>
          </w:p>
        </w:tc>
      </w:tr>
      <w:tr w:rsidR="008F7600" w:rsidRPr="00D55291" w14:paraId="16ACDDA8" w14:textId="77777777" w:rsidTr="00282831">
        <w:tc>
          <w:tcPr>
            <w:tcW w:w="789" w:type="pct"/>
            <w:tcBorders>
              <w:left w:val="nil"/>
            </w:tcBorders>
          </w:tcPr>
          <w:p w14:paraId="20DC3D8A"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Regulatory Quality Index</w:t>
            </w:r>
          </w:p>
        </w:tc>
        <w:tc>
          <w:tcPr>
            <w:tcW w:w="577" w:type="pct"/>
          </w:tcPr>
          <w:p w14:paraId="3C318909"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16</w:t>
            </w:r>
          </w:p>
        </w:tc>
        <w:tc>
          <w:tcPr>
            <w:tcW w:w="3634" w:type="pct"/>
            <w:tcBorders>
              <w:right w:val="nil"/>
            </w:tcBorders>
          </w:tcPr>
          <w:p w14:paraId="5362F70F"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Regulatory quality captures perceptions of the government's ability to formulate and implement sound policies and regulations that allow and promote the development of the private sector</w:t>
            </w:r>
            <w:r>
              <w:rPr>
                <w:rFonts w:ascii="Arial" w:hAnsi="Arial" w:cs="Arial"/>
                <w:bCs/>
                <w:sz w:val="20"/>
                <w:szCs w:val="20"/>
              </w:rPr>
              <w:t xml:space="preserve"> [25]</w:t>
            </w:r>
            <w:r w:rsidRPr="00D55291">
              <w:rPr>
                <w:rFonts w:ascii="Arial" w:hAnsi="Arial" w:cs="Arial"/>
                <w:bCs/>
                <w:sz w:val="20"/>
                <w:szCs w:val="20"/>
              </w:rPr>
              <w:t>. The average from 2010 to 2012 was calculated for each country.</w:t>
            </w:r>
          </w:p>
        </w:tc>
      </w:tr>
      <w:tr w:rsidR="008F7600" w:rsidRPr="00D55291" w14:paraId="07A099B4" w14:textId="77777777" w:rsidTr="00282831">
        <w:tc>
          <w:tcPr>
            <w:tcW w:w="789" w:type="pct"/>
            <w:tcBorders>
              <w:left w:val="nil"/>
            </w:tcBorders>
          </w:tcPr>
          <w:p w14:paraId="00C03C65" w14:textId="77777777" w:rsidR="008F7600" w:rsidRPr="00D55291" w:rsidRDefault="008F7600" w:rsidP="00286C4F">
            <w:pPr>
              <w:spacing w:after="0" w:line="240" w:lineRule="auto"/>
              <w:ind w:firstLine="0"/>
              <w:rPr>
                <w:rFonts w:ascii="Arial" w:hAnsi="Arial" w:cs="Arial"/>
                <w:bCs/>
                <w:sz w:val="20"/>
                <w:szCs w:val="20"/>
              </w:rPr>
            </w:pPr>
            <w:r w:rsidRPr="00D55291">
              <w:rPr>
                <w:rFonts w:ascii="Arial" w:hAnsi="Arial" w:cs="Arial"/>
                <w:bCs/>
                <w:sz w:val="20"/>
                <w:szCs w:val="20"/>
              </w:rPr>
              <w:t>Rule of Law index</w:t>
            </w:r>
          </w:p>
        </w:tc>
        <w:tc>
          <w:tcPr>
            <w:tcW w:w="577" w:type="pct"/>
          </w:tcPr>
          <w:p w14:paraId="69D9914E" w14:textId="77777777" w:rsidR="008F7600" w:rsidRPr="00D55291" w:rsidRDefault="008F7600" w:rsidP="00286C4F">
            <w:pPr>
              <w:spacing w:after="0" w:line="240" w:lineRule="auto"/>
              <w:ind w:firstLine="0"/>
              <w:rPr>
                <w:rFonts w:ascii="Arial" w:hAnsi="Arial" w:cs="Arial"/>
                <w:bCs/>
                <w:sz w:val="20"/>
                <w:szCs w:val="20"/>
                <w:lang w:val="pt-BR"/>
              </w:rPr>
            </w:pPr>
            <w:r w:rsidRPr="00D55291">
              <w:rPr>
                <w:rFonts w:ascii="Arial" w:hAnsi="Arial" w:cs="Arial"/>
                <w:bCs/>
                <w:sz w:val="20"/>
                <w:szCs w:val="20"/>
                <w:lang w:val="pt-BR"/>
              </w:rPr>
              <w:t>SDG 16</w:t>
            </w:r>
          </w:p>
        </w:tc>
        <w:tc>
          <w:tcPr>
            <w:tcW w:w="3634" w:type="pct"/>
            <w:tcBorders>
              <w:right w:val="nil"/>
            </w:tcBorders>
          </w:tcPr>
          <w:p w14:paraId="5AA85A64" w14:textId="77777777" w:rsidR="008F7600" w:rsidRPr="00D55291" w:rsidRDefault="008F7600" w:rsidP="00286C4F">
            <w:pPr>
              <w:pStyle w:val="NoSpacing"/>
              <w:ind w:firstLine="0"/>
              <w:rPr>
                <w:rFonts w:ascii="Arial" w:hAnsi="Arial" w:cs="Arial"/>
                <w:bCs/>
                <w:sz w:val="20"/>
                <w:szCs w:val="20"/>
              </w:rPr>
            </w:pPr>
            <w:r w:rsidRPr="00D55291">
              <w:rPr>
                <w:rFonts w:ascii="Arial" w:hAnsi="Arial" w:cs="Arial"/>
                <w:bCs/>
                <w:sz w:val="20"/>
                <w:szCs w:val="20"/>
              </w:rPr>
              <w:t>The rule of law captures perceptions of the extent to which agents trust and comply with society's rules and the quality of contract enforcement, property rights, police and courts, as well as the likelihood of crime and violence</w:t>
            </w:r>
            <w:r>
              <w:rPr>
                <w:rFonts w:ascii="Arial" w:hAnsi="Arial" w:cs="Arial"/>
                <w:bCs/>
                <w:sz w:val="20"/>
                <w:szCs w:val="20"/>
              </w:rPr>
              <w:t xml:space="preserve"> [26]</w:t>
            </w:r>
            <w:r w:rsidRPr="00D55291">
              <w:rPr>
                <w:rFonts w:ascii="Arial" w:hAnsi="Arial" w:cs="Arial"/>
                <w:bCs/>
                <w:sz w:val="20"/>
                <w:szCs w:val="20"/>
              </w:rPr>
              <w:t>. Calculated the average for the years 2010 to 2012, for each country.</w:t>
            </w:r>
          </w:p>
        </w:tc>
      </w:tr>
    </w:tbl>
    <w:p w14:paraId="73E223C5" w14:textId="71E97F86" w:rsidR="00F26B9B" w:rsidRDefault="00282831" w:rsidP="00282831">
      <w:pPr>
        <w:spacing w:after="0" w:line="240" w:lineRule="auto"/>
        <w:ind w:firstLine="0"/>
        <w:rPr>
          <w:rFonts w:ascii="Arial" w:hAnsi="Arial" w:cs="Arial"/>
          <w:szCs w:val="24"/>
        </w:rPr>
      </w:pPr>
      <w:r w:rsidRPr="005B5C1D">
        <w:rPr>
          <w:rFonts w:ascii="Arial" w:hAnsi="Arial" w:cs="Arial"/>
          <w:szCs w:val="24"/>
        </w:rPr>
        <w:lastRenderedPageBreak/>
        <w:t>Table S</w:t>
      </w:r>
      <w:r>
        <w:rPr>
          <w:rFonts w:ascii="Arial" w:hAnsi="Arial" w:cs="Arial"/>
          <w:szCs w:val="24"/>
        </w:rPr>
        <w:t>2</w:t>
      </w:r>
      <w:r w:rsidRPr="005B5C1D">
        <w:rPr>
          <w:rFonts w:ascii="Arial" w:hAnsi="Arial" w:cs="Arial"/>
          <w:szCs w:val="24"/>
        </w:rPr>
        <w:t xml:space="preserve"> – Study variables</w:t>
      </w:r>
      <w:r>
        <w:rPr>
          <w:rFonts w:ascii="Arial" w:hAnsi="Arial" w:cs="Arial"/>
          <w:szCs w:val="24"/>
        </w:rPr>
        <w:t xml:space="preserve"> distribution.</w:t>
      </w:r>
    </w:p>
    <w:tbl>
      <w:tblPr>
        <w:tblStyle w:val="TableGrid"/>
        <w:tblW w:w="1326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560"/>
        <w:gridCol w:w="2216"/>
        <w:gridCol w:w="2327"/>
        <w:gridCol w:w="1495"/>
      </w:tblGrid>
      <w:tr w:rsidR="00F26B9B" w:rsidRPr="00282831" w14:paraId="16783D60" w14:textId="77777777" w:rsidTr="00F26B9B">
        <w:trPr>
          <w:trHeight w:val="300"/>
        </w:trPr>
        <w:tc>
          <w:tcPr>
            <w:tcW w:w="5670" w:type="dxa"/>
            <w:tcBorders>
              <w:top w:val="single" w:sz="4" w:space="0" w:color="auto"/>
              <w:bottom w:val="single" w:sz="4" w:space="0" w:color="auto"/>
            </w:tcBorders>
            <w:noWrap/>
            <w:hideMark/>
          </w:tcPr>
          <w:p w14:paraId="586F524D" w14:textId="17628500" w:rsidR="00282831" w:rsidRPr="00282831" w:rsidRDefault="00F26B9B" w:rsidP="00282831">
            <w:pPr>
              <w:pStyle w:val="NoSpacing"/>
              <w:ind w:firstLine="0"/>
              <w:jc w:val="left"/>
              <w:rPr>
                <w:rFonts w:ascii="Arial" w:hAnsi="Arial" w:cs="Arial"/>
                <w:b/>
                <w:bCs/>
                <w:sz w:val="20"/>
                <w:szCs w:val="20"/>
                <w:lang w:val="pt-BR"/>
              </w:rPr>
            </w:pPr>
            <w:r w:rsidRPr="00282831">
              <w:rPr>
                <w:rFonts w:ascii="Arial" w:hAnsi="Arial" w:cs="Arial"/>
                <w:b/>
                <w:bCs/>
                <w:sz w:val="20"/>
                <w:szCs w:val="20"/>
                <w:lang w:val="pt-BR"/>
              </w:rPr>
              <w:t>Variable</w:t>
            </w:r>
          </w:p>
        </w:tc>
        <w:tc>
          <w:tcPr>
            <w:tcW w:w="1560" w:type="dxa"/>
            <w:tcBorders>
              <w:top w:val="single" w:sz="4" w:space="0" w:color="auto"/>
              <w:bottom w:val="single" w:sz="4" w:space="0" w:color="auto"/>
            </w:tcBorders>
            <w:noWrap/>
            <w:hideMark/>
          </w:tcPr>
          <w:p w14:paraId="41B53754" w14:textId="77777777" w:rsidR="00282831" w:rsidRPr="00282831" w:rsidRDefault="00282831" w:rsidP="00282831">
            <w:pPr>
              <w:pStyle w:val="NoSpacing"/>
              <w:ind w:firstLine="0"/>
              <w:jc w:val="center"/>
              <w:rPr>
                <w:rFonts w:ascii="Arial" w:hAnsi="Arial" w:cs="Arial"/>
                <w:b/>
                <w:bCs/>
                <w:sz w:val="20"/>
                <w:szCs w:val="20"/>
                <w:lang w:val="pt-BR"/>
              </w:rPr>
            </w:pPr>
            <w:r w:rsidRPr="00282831">
              <w:rPr>
                <w:rFonts w:ascii="Arial" w:hAnsi="Arial" w:cs="Arial"/>
                <w:b/>
                <w:bCs/>
                <w:sz w:val="20"/>
                <w:szCs w:val="20"/>
                <w:lang w:val="pt-BR"/>
              </w:rPr>
              <w:t>Observations</w:t>
            </w:r>
          </w:p>
        </w:tc>
        <w:tc>
          <w:tcPr>
            <w:tcW w:w="2216" w:type="dxa"/>
            <w:tcBorders>
              <w:top w:val="single" w:sz="4" w:space="0" w:color="auto"/>
              <w:bottom w:val="single" w:sz="4" w:space="0" w:color="auto"/>
            </w:tcBorders>
            <w:noWrap/>
            <w:hideMark/>
          </w:tcPr>
          <w:p w14:paraId="601865CF" w14:textId="77777777" w:rsidR="00282831" w:rsidRPr="00282831" w:rsidRDefault="00282831" w:rsidP="00282831">
            <w:pPr>
              <w:pStyle w:val="NoSpacing"/>
              <w:ind w:firstLine="0"/>
              <w:jc w:val="center"/>
              <w:rPr>
                <w:rFonts w:ascii="Arial" w:hAnsi="Arial" w:cs="Arial"/>
                <w:b/>
                <w:bCs/>
                <w:sz w:val="20"/>
                <w:szCs w:val="20"/>
                <w:lang w:val="pt-BR"/>
              </w:rPr>
            </w:pPr>
            <w:r w:rsidRPr="00282831">
              <w:rPr>
                <w:rFonts w:ascii="Arial" w:hAnsi="Arial" w:cs="Arial"/>
                <w:b/>
                <w:bCs/>
                <w:sz w:val="20"/>
                <w:szCs w:val="20"/>
                <w:lang w:val="pt-BR"/>
              </w:rPr>
              <w:t>Mean</w:t>
            </w:r>
          </w:p>
        </w:tc>
        <w:tc>
          <w:tcPr>
            <w:tcW w:w="2327" w:type="dxa"/>
            <w:tcBorders>
              <w:top w:val="single" w:sz="4" w:space="0" w:color="auto"/>
              <w:bottom w:val="single" w:sz="4" w:space="0" w:color="auto"/>
            </w:tcBorders>
            <w:noWrap/>
            <w:hideMark/>
          </w:tcPr>
          <w:p w14:paraId="129565D8" w14:textId="50698878" w:rsidR="00282831" w:rsidRDefault="00282831" w:rsidP="00282831">
            <w:pPr>
              <w:pStyle w:val="NoSpacing"/>
              <w:ind w:firstLine="0"/>
              <w:jc w:val="center"/>
              <w:rPr>
                <w:rFonts w:ascii="Arial" w:hAnsi="Arial" w:cs="Arial"/>
                <w:b/>
                <w:bCs/>
                <w:sz w:val="20"/>
                <w:szCs w:val="20"/>
                <w:lang w:val="pt-BR"/>
              </w:rPr>
            </w:pPr>
            <w:r w:rsidRPr="00282831">
              <w:rPr>
                <w:rFonts w:ascii="Arial" w:hAnsi="Arial" w:cs="Arial"/>
                <w:b/>
                <w:bCs/>
                <w:sz w:val="20"/>
                <w:szCs w:val="20"/>
                <w:lang w:val="pt-BR"/>
              </w:rPr>
              <w:t>Standard</w:t>
            </w:r>
          </w:p>
          <w:p w14:paraId="23069D4D" w14:textId="00D1FAF6" w:rsidR="00282831" w:rsidRPr="00282831" w:rsidRDefault="00282831" w:rsidP="00282831">
            <w:pPr>
              <w:pStyle w:val="NoSpacing"/>
              <w:ind w:firstLine="0"/>
              <w:jc w:val="center"/>
              <w:rPr>
                <w:rFonts w:ascii="Arial" w:hAnsi="Arial" w:cs="Arial"/>
                <w:b/>
                <w:bCs/>
                <w:sz w:val="20"/>
                <w:szCs w:val="20"/>
                <w:lang w:val="pt-BR"/>
              </w:rPr>
            </w:pPr>
            <w:r w:rsidRPr="00282831">
              <w:rPr>
                <w:rFonts w:ascii="Arial" w:hAnsi="Arial" w:cs="Arial"/>
                <w:b/>
                <w:bCs/>
                <w:sz w:val="20"/>
                <w:szCs w:val="20"/>
                <w:lang w:val="pt-BR"/>
              </w:rPr>
              <w:t>Deviation</w:t>
            </w:r>
          </w:p>
        </w:tc>
        <w:tc>
          <w:tcPr>
            <w:tcW w:w="1495" w:type="dxa"/>
            <w:tcBorders>
              <w:top w:val="single" w:sz="4" w:space="0" w:color="auto"/>
              <w:bottom w:val="single" w:sz="4" w:space="0" w:color="auto"/>
            </w:tcBorders>
            <w:noWrap/>
            <w:hideMark/>
          </w:tcPr>
          <w:p w14:paraId="4FCD6A6A" w14:textId="2A90D634" w:rsidR="00282831" w:rsidRPr="00282831" w:rsidRDefault="00282831" w:rsidP="00282831">
            <w:pPr>
              <w:pStyle w:val="NoSpacing"/>
              <w:ind w:firstLine="0"/>
              <w:jc w:val="center"/>
              <w:rPr>
                <w:rFonts w:ascii="Arial" w:hAnsi="Arial" w:cs="Arial"/>
                <w:b/>
                <w:bCs/>
                <w:sz w:val="20"/>
                <w:szCs w:val="20"/>
                <w:lang w:val="pt-BR"/>
              </w:rPr>
            </w:pPr>
            <w:r w:rsidRPr="00282831">
              <w:rPr>
                <w:rFonts w:ascii="Arial" w:hAnsi="Arial" w:cs="Arial"/>
                <w:b/>
                <w:bCs/>
                <w:sz w:val="20"/>
                <w:szCs w:val="20"/>
                <w:lang w:val="pt-BR"/>
              </w:rPr>
              <w:t>Missing</w:t>
            </w:r>
            <w:r w:rsidR="00F26B9B">
              <w:rPr>
                <w:rFonts w:ascii="Arial" w:hAnsi="Arial" w:cs="Arial"/>
                <w:b/>
                <w:bCs/>
                <w:sz w:val="20"/>
                <w:szCs w:val="20"/>
                <w:lang w:val="pt-BR"/>
              </w:rPr>
              <w:t xml:space="preserve"> Observations</w:t>
            </w:r>
          </w:p>
        </w:tc>
      </w:tr>
      <w:tr w:rsidR="00F26B9B" w:rsidRPr="00282831" w14:paraId="2068ACEE" w14:textId="77777777" w:rsidTr="00F26B9B">
        <w:trPr>
          <w:trHeight w:val="300"/>
        </w:trPr>
        <w:tc>
          <w:tcPr>
            <w:tcW w:w="5670" w:type="dxa"/>
            <w:tcBorders>
              <w:top w:val="single" w:sz="4" w:space="0" w:color="auto"/>
            </w:tcBorders>
            <w:noWrap/>
            <w:hideMark/>
          </w:tcPr>
          <w:p w14:paraId="1DD74FB0"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Neonatal mortality rate</w:t>
            </w:r>
          </w:p>
        </w:tc>
        <w:tc>
          <w:tcPr>
            <w:tcW w:w="1560" w:type="dxa"/>
            <w:tcBorders>
              <w:top w:val="single" w:sz="4" w:space="0" w:color="auto"/>
            </w:tcBorders>
            <w:noWrap/>
            <w:hideMark/>
          </w:tcPr>
          <w:p w14:paraId="6818D52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tcBorders>
              <w:top w:val="single" w:sz="4" w:space="0" w:color="auto"/>
            </w:tcBorders>
            <w:noWrap/>
            <w:hideMark/>
          </w:tcPr>
          <w:p w14:paraId="1BB6E8B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12.565</w:t>
            </w:r>
          </w:p>
        </w:tc>
        <w:tc>
          <w:tcPr>
            <w:tcW w:w="2327" w:type="dxa"/>
            <w:tcBorders>
              <w:top w:val="single" w:sz="4" w:space="0" w:color="auto"/>
            </w:tcBorders>
            <w:noWrap/>
            <w:hideMark/>
          </w:tcPr>
          <w:p w14:paraId="530A148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10.517</w:t>
            </w:r>
          </w:p>
        </w:tc>
        <w:tc>
          <w:tcPr>
            <w:tcW w:w="1495" w:type="dxa"/>
            <w:tcBorders>
              <w:top w:val="single" w:sz="4" w:space="0" w:color="auto"/>
            </w:tcBorders>
            <w:noWrap/>
            <w:hideMark/>
          </w:tcPr>
          <w:p w14:paraId="44C3A39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5296C886" w14:textId="77777777" w:rsidTr="00F26B9B">
        <w:trPr>
          <w:trHeight w:val="300"/>
        </w:trPr>
        <w:tc>
          <w:tcPr>
            <w:tcW w:w="5670" w:type="dxa"/>
            <w:noWrap/>
            <w:hideMark/>
          </w:tcPr>
          <w:p w14:paraId="6ABEF9B4"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Mortality rate among children aged 28 days or more and less than five years old</w:t>
            </w:r>
          </w:p>
        </w:tc>
        <w:tc>
          <w:tcPr>
            <w:tcW w:w="1560" w:type="dxa"/>
            <w:noWrap/>
            <w:hideMark/>
          </w:tcPr>
          <w:p w14:paraId="3B7E670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noWrap/>
            <w:hideMark/>
          </w:tcPr>
          <w:p w14:paraId="7B433BF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15.827</w:t>
            </w:r>
          </w:p>
        </w:tc>
        <w:tc>
          <w:tcPr>
            <w:tcW w:w="2327" w:type="dxa"/>
            <w:noWrap/>
            <w:hideMark/>
          </w:tcPr>
          <w:p w14:paraId="5D5FD34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19.083</w:t>
            </w:r>
          </w:p>
        </w:tc>
        <w:tc>
          <w:tcPr>
            <w:tcW w:w="1495" w:type="dxa"/>
            <w:noWrap/>
            <w:hideMark/>
          </w:tcPr>
          <w:p w14:paraId="4038801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2176D190" w14:textId="77777777" w:rsidTr="00F26B9B">
        <w:trPr>
          <w:trHeight w:val="300"/>
        </w:trPr>
        <w:tc>
          <w:tcPr>
            <w:tcW w:w="5670" w:type="dxa"/>
            <w:noWrap/>
            <w:hideMark/>
          </w:tcPr>
          <w:p w14:paraId="7D97922B"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 xml:space="preserve">Public expenditure per capita – </w:t>
            </w:r>
            <w:r w:rsidRPr="00282831">
              <w:rPr>
                <w:rFonts w:ascii="Arial" w:hAnsi="Arial" w:cs="Arial"/>
                <w:sz w:val="20"/>
                <w:szCs w:val="20"/>
              </w:rPr>
              <w:t>Int$ PPP</w:t>
            </w:r>
            <w:r w:rsidRPr="00282831">
              <w:rPr>
                <w:rFonts w:ascii="Arial" w:hAnsi="Arial" w:cs="Arial"/>
                <w:bCs/>
                <w:sz w:val="20"/>
                <w:szCs w:val="20"/>
              </w:rPr>
              <w:t xml:space="preserve"> constant for 2017</w:t>
            </w:r>
          </w:p>
        </w:tc>
        <w:tc>
          <w:tcPr>
            <w:tcW w:w="1560" w:type="dxa"/>
            <w:noWrap/>
            <w:hideMark/>
          </w:tcPr>
          <w:p w14:paraId="3ACF857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noWrap/>
            <w:hideMark/>
          </w:tcPr>
          <w:p w14:paraId="4640EEA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7058.136</w:t>
            </w:r>
          </w:p>
        </w:tc>
        <w:tc>
          <w:tcPr>
            <w:tcW w:w="2327" w:type="dxa"/>
            <w:noWrap/>
            <w:hideMark/>
          </w:tcPr>
          <w:p w14:paraId="440FE870"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8388.988</w:t>
            </w:r>
          </w:p>
        </w:tc>
        <w:tc>
          <w:tcPr>
            <w:tcW w:w="1495" w:type="dxa"/>
            <w:noWrap/>
            <w:hideMark/>
          </w:tcPr>
          <w:p w14:paraId="3154E8E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77B4A10F" w14:textId="77777777" w:rsidTr="00F26B9B">
        <w:trPr>
          <w:trHeight w:val="300"/>
        </w:trPr>
        <w:tc>
          <w:tcPr>
            <w:tcW w:w="5670" w:type="dxa"/>
            <w:tcBorders>
              <w:bottom w:val="nil"/>
            </w:tcBorders>
            <w:noWrap/>
            <w:hideMark/>
          </w:tcPr>
          <w:p w14:paraId="66524246"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 xml:space="preserve">Public expenditure in health per capita – </w:t>
            </w:r>
            <w:r w:rsidRPr="00282831">
              <w:rPr>
                <w:rFonts w:ascii="Arial" w:hAnsi="Arial" w:cs="Arial"/>
                <w:sz w:val="20"/>
                <w:szCs w:val="20"/>
              </w:rPr>
              <w:t>Int$ PPP</w:t>
            </w:r>
            <w:r w:rsidRPr="00282831">
              <w:rPr>
                <w:rFonts w:ascii="Arial" w:hAnsi="Arial" w:cs="Arial"/>
                <w:bCs/>
                <w:sz w:val="20"/>
                <w:szCs w:val="20"/>
              </w:rPr>
              <w:t xml:space="preserve"> constant for 2017</w:t>
            </w:r>
          </w:p>
        </w:tc>
        <w:tc>
          <w:tcPr>
            <w:tcW w:w="1560" w:type="dxa"/>
            <w:tcBorders>
              <w:bottom w:val="nil"/>
            </w:tcBorders>
            <w:noWrap/>
            <w:hideMark/>
          </w:tcPr>
          <w:p w14:paraId="7CC563C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tcBorders>
              <w:bottom w:val="nil"/>
            </w:tcBorders>
            <w:noWrap/>
            <w:hideMark/>
          </w:tcPr>
          <w:p w14:paraId="3B9195C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888.365</w:t>
            </w:r>
          </w:p>
        </w:tc>
        <w:tc>
          <w:tcPr>
            <w:tcW w:w="2327" w:type="dxa"/>
            <w:tcBorders>
              <w:bottom w:val="nil"/>
            </w:tcBorders>
            <w:noWrap/>
            <w:hideMark/>
          </w:tcPr>
          <w:p w14:paraId="5B2C781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1210.954</w:t>
            </w:r>
          </w:p>
        </w:tc>
        <w:tc>
          <w:tcPr>
            <w:tcW w:w="1495" w:type="dxa"/>
            <w:tcBorders>
              <w:bottom w:val="nil"/>
            </w:tcBorders>
            <w:noWrap/>
            <w:hideMark/>
          </w:tcPr>
          <w:p w14:paraId="5408FBE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61D79430" w14:textId="77777777" w:rsidTr="00F26B9B">
        <w:trPr>
          <w:trHeight w:val="300"/>
        </w:trPr>
        <w:tc>
          <w:tcPr>
            <w:tcW w:w="5670" w:type="dxa"/>
            <w:tcBorders>
              <w:top w:val="nil"/>
              <w:bottom w:val="nil"/>
            </w:tcBorders>
            <w:noWrap/>
            <w:hideMark/>
          </w:tcPr>
          <w:p w14:paraId="6793BBFA"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Public expenditure in other sectors per capita –</w:t>
            </w:r>
            <w:r w:rsidRPr="00282831">
              <w:rPr>
                <w:rFonts w:ascii="Arial" w:hAnsi="Arial" w:cs="Arial"/>
                <w:sz w:val="20"/>
                <w:szCs w:val="20"/>
              </w:rPr>
              <w:t xml:space="preserve"> Int$ PPP</w:t>
            </w:r>
            <w:r w:rsidRPr="00282831">
              <w:rPr>
                <w:rFonts w:ascii="Arial" w:hAnsi="Arial" w:cs="Arial"/>
                <w:bCs/>
                <w:sz w:val="20"/>
                <w:szCs w:val="20"/>
              </w:rPr>
              <w:t xml:space="preserve"> constant for 2017</w:t>
            </w:r>
          </w:p>
        </w:tc>
        <w:tc>
          <w:tcPr>
            <w:tcW w:w="1560" w:type="dxa"/>
            <w:tcBorders>
              <w:top w:val="nil"/>
              <w:bottom w:val="nil"/>
            </w:tcBorders>
            <w:noWrap/>
            <w:hideMark/>
          </w:tcPr>
          <w:p w14:paraId="299F45A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tcBorders>
              <w:top w:val="nil"/>
              <w:bottom w:val="nil"/>
            </w:tcBorders>
            <w:noWrap/>
            <w:hideMark/>
          </w:tcPr>
          <w:p w14:paraId="5E3FFDB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6169.771</w:t>
            </w:r>
          </w:p>
        </w:tc>
        <w:tc>
          <w:tcPr>
            <w:tcW w:w="2327" w:type="dxa"/>
            <w:tcBorders>
              <w:top w:val="nil"/>
              <w:bottom w:val="nil"/>
            </w:tcBorders>
            <w:noWrap/>
            <w:hideMark/>
          </w:tcPr>
          <w:p w14:paraId="57F564D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7324.432</w:t>
            </w:r>
          </w:p>
        </w:tc>
        <w:tc>
          <w:tcPr>
            <w:tcW w:w="1495" w:type="dxa"/>
            <w:tcBorders>
              <w:top w:val="nil"/>
              <w:bottom w:val="nil"/>
            </w:tcBorders>
            <w:noWrap/>
            <w:hideMark/>
          </w:tcPr>
          <w:p w14:paraId="7C29921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3C2BE58D" w14:textId="77777777" w:rsidTr="00F26B9B">
        <w:trPr>
          <w:trHeight w:val="300"/>
        </w:trPr>
        <w:tc>
          <w:tcPr>
            <w:tcW w:w="5670" w:type="dxa"/>
            <w:tcBorders>
              <w:top w:val="nil"/>
            </w:tcBorders>
            <w:noWrap/>
            <w:hideMark/>
          </w:tcPr>
          <w:p w14:paraId="265CE90E"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 xml:space="preserve">Gross Domestic Product (GDP) per capita – </w:t>
            </w:r>
            <w:r w:rsidRPr="00282831">
              <w:rPr>
                <w:rFonts w:ascii="Arial" w:hAnsi="Arial" w:cs="Arial"/>
                <w:sz w:val="20"/>
                <w:szCs w:val="20"/>
              </w:rPr>
              <w:t>Int$ PPP</w:t>
            </w:r>
            <w:r w:rsidRPr="00282831">
              <w:rPr>
                <w:rFonts w:ascii="Arial" w:hAnsi="Arial" w:cs="Arial"/>
                <w:bCs/>
                <w:sz w:val="20"/>
                <w:szCs w:val="20"/>
              </w:rPr>
              <w:t xml:space="preserve"> constant for 2017</w:t>
            </w:r>
          </w:p>
        </w:tc>
        <w:tc>
          <w:tcPr>
            <w:tcW w:w="1560" w:type="dxa"/>
            <w:tcBorders>
              <w:top w:val="nil"/>
            </w:tcBorders>
            <w:noWrap/>
            <w:hideMark/>
          </w:tcPr>
          <w:p w14:paraId="55657BF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tcBorders>
              <w:top w:val="nil"/>
            </w:tcBorders>
            <w:noWrap/>
            <w:hideMark/>
          </w:tcPr>
          <w:p w14:paraId="3152010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16445.587</w:t>
            </w:r>
          </w:p>
        </w:tc>
        <w:tc>
          <w:tcPr>
            <w:tcW w:w="2327" w:type="dxa"/>
            <w:tcBorders>
              <w:top w:val="nil"/>
            </w:tcBorders>
            <w:noWrap/>
            <w:hideMark/>
          </w:tcPr>
          <w:p w14:paraId="31FD85B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18010.858</w:t>
            </w:r>
          </w:p>
        </w:tc>
        <w:tc>
          <w:tcPr>
            <w:tcW w:w="1495" w:type="dxa"/>
            <w:tcBorders>
              <w:top w:val="nil"/>
            </w:tcBorders>
            <w:noWrap/>
            <w:hideMark/>
          </w:tcPr>
          <w:p w14:paraId="66007F9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57DE5B0C" w14:textId="77777777" w:rsidTr="00F26B9B">
        <w:trPr>
          <w:trHeight w:val="300"/>
        </w:trPr>
        <w:tc>
          <w:tcPr>
            <w:tcW w:w="5670" w:type="dxa"/>
            <w:tcBorders>
              <w:top w:val="nil"/>
            </w:tcBorders>
            <w:noWrap/>
            <w:hideMark/>
          </w:tcPr>
          <w:p w14:paraId="7B122B4F"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Population over 65 years old rate</w:t>
            </w:r>
          </w:p>
        </w:tc>
        <w:tc>
          <w:tcPr>
            <w:tcW w:w="1560" w:type="dxa"/>
            <w:tcBorders>
              <w:top w:val="nil"/>
            </w:tcBorders>
            <w:noWrap/>
            <w:hideMark/>
          </w:tcPr>
          <w:p w14:paraId="031474C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tcBorders>
              <w:top w:val="nil"/>
            </w:tcBorders>
            <w:noWrap/>
            <w:hideMark/>
          </w:tcPr>
          <w:p w14:paraId="42D0D28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0.079</w:t>
            </w:r>
          </w:p>
        </w:tc>
        <w:tc>
          <w:tcPr>
            <w:tcW w:w="2327" w:type="dxa"/>
            <w:tcBorders>
              <w:top w:val="nil"/>
            </w:tcBorders>
            <w:noWrap/>
            <w:hideMark/>
          </w:tcPr>
          <w:p w14:paraId="602975E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0.057</w:t>
            </w:r>
          </w:p>
        </w:tc>
        <w:tc>
          <w:tcPr>
            <w:tcW w:w="1495" w:type="dxa"/>
            <w:tcBorders>
              <w:top w:val="nil"/>
            </w:tcBorders>
            <w:noWrap/>
            <w:hideMark/>
          </w:tcPr>
          <w:p w14:paraId="319C651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65E41408" w14:textId="77777777" w:rsidTr="00F26B9B">
        <w:trPr>
          <w:trHeight w:val="300"/>
        </w:trPr>
        <w:tc>
          <w:tcPr>
            <w:tcW w:w="5670" w:type="dxa"/>
            <w:noWrap/>
            <w:hideMark/>
          </w:tcPr>
          <w:p w14:paraId="0857D0B3"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Out-of-pocket disbursement with health per capita –</w:t>
            </w:r>
            <w:r w:rsidRPr="00282831">
              <w:rPr>
                <w:rFonts w:ascii="Arial" w:hAnsi="Arial" w:cs="Arial"/>
                <w:sz w:val="20"/>
                <w:szCs w:val="20"/>
              </w:rPr>
              <w:t xml:space="preserve"> Int$ PPP</w:t>
            </w:r>
            <w:r w:rsidRPr="00282831">
              <w:rPr>
                <w:rFonts w:ascii="Arial" w:hAnsi="Arial" w:cs="Arial"/>
                <w:bCs/>
                <w:sz w:val="20"/>
                <w:szCs w:val="20"/>
              </w:rPr>
              <w:t xml:space="preserve"> constant for 2017</w:t>
            </w:r>
          </w:p>
        </w:tc>
        <w:tc>
          <w:tcPr>
            <w:tcW w:w="1560" w:type="dxa"/>
            <w:noWrap/>
            <w:hideMark/>
          </w:tcPr>
          <w:p w14:paraId="2BEE27B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noWrap/>
            <w:hideMark/>
          </w:tcPr>
          <w:p w14:paraId="6A7746C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266.556</w:t>
            </w:r>
          </w:p>
        </w:tc>
        <w:tc>
          <w:tcPr>
            <w:tcW w:w="2327" w:type="dxa"/>
            <w:noWrap/>
            <w:hideMark/>
          </w:tcPr>
          <w:p w14:paraId="7CE3980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263.233</w:t>
            </w:r>
          </w:p>
        </w:tc>
        <w:tc>
          <w:tcPr>
            <w:tcW w:w="1495" w:type="dxa"/>
            <w:noWrap/>
            <w:hideMark/>
          </w:tcPr>
          <w:p w14:paraId="424B82C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25D6C0AC" w14:textId="77777777" w:rsidTr="00F26B9B">
        <w:trPr>
          <w:trHeight w:val="300"/>
        </w:trPr>
        <w:tc>
          <w:tcPr>
            <w:tcW w:w="5670" w:type="dxa"/>
            <w:noWrap/>
            <w:hideMark/>
          </w:tcPr>
          <w:p w14:paraId="79E162A6"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Gini Index</w:t>
            </w:r>
          </w:p>
        </w:tc>
        <w:tc>
          <w:tcPr>
            <w:tcW w:w="1560" w:type="dxa"/>
            <w:noWrap/>
            <w:hideMark/>
          </w:tcPr>
          <w:p w14:paraId="5692822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102</w:t>
            </w:r>
          </w:p>
        </w:tc>
        <w:tc>
          <w:tcPr>
            <w:tcW w:w="2216" w:type="dxa"/>
            <w:noWrap/>
            <w:hideMark/>
          </w:tcPr>
          <w:p w14:paraId="4D97D1C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29.360</w:t>
            </w:r>
          </w:p>
        </w:tc>
        <w:tc>
          <w:tcPr>
            <w:tcW w:w="2327" w:type="dxa"/>
            <w:noWrap/>
            <w:hideMark/>
          </w:tcPr>
          <w:p w14:paraId="5457C7A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6.079</w:t>
            </w:r>
          </w:p>
        </w:tc>
        <w:tc>
          <w:tcPr>
            <w:tcW w:w="1495" w:type="dxa"/>
            <w:noWrap/>
            <w:hideMark/>
          </w:tcPr>
          <w:p w14:paraId="46938EB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45</w:t>
            </w:r>
          </w:p>
        </w:tc>
      </w:tr>
      <w:tr w:rsidR="00F26B9B" w:rsidRPr="00282831" w14:paraId="56823342" w14:textId="77777777" w:rsidTr="00F26B9B">
        <w:trPr>
          <w:trHeight w:val="300"/>
        </w:trPr>
        <w:tc>
          <w:tcPr>
            <w:tcW w:w="5670" w:type="dxa"/>
            <w:noWrap/>
            <w:hideMark/>
          </w:tcPr>
          <w:p w14:paraId="3AAA572F"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Income deficit of US$ 1.90</w:t>
            </w:r>
          </w:p>
        </w:tc>
        <w:tc>
          <w:tcPr>
            <w:tcW w:w="1560" w:type="dxa"/>
            <w:noWrap/>
            <w:hideMark/>
          </w:tcPr>
          <w:p w14:paraId="33DF719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102</w:t>
            </w:r>
          </w:p>
        </w:tc>
        <w:tc>
          <w:tcPr>
            <w:tcW w:w="2216" w:type="dxa"/>
            <w:noWrap/>
            <w:hideMark/>
          </w:tcPr>
          <w:p w14:paraId="1E15FE6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4.597</w:t>
            </w:r>
          </w:p>
        </w:tc>
        <w:tc>
          <w:tcPr>
            <w:tcW w:w="2327" w:type="dxa"/>
            <w:noWrap/>
            <w:hideMark/>
          </w:tcPr>
          <w:p w14:paraId="4CCCBC7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8.588</w:t>
            </w:r>
          </w:p>
        </w:tc>
        <w:tc>
          <w:tcPr>
            <w:tcW w:w="1495" w:type="dxa"/>
            <w:noWrap/>
            <w:hideMark/>
          </w:tcPr>
          <w:p w14:paraId="6567B47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45</w:t>
            </w:r>
          </w:p>
        </w:tc>
      </w:tr>
      <w:tr w:rsidR="00F26B9B" w:rsidRPr="00282831" w14:paraId="31A0F889" w14:textId="77777777" w:rsidTr="00F26B9B">
        <w:trPr>
          <w:trHeight w:val="300"/>
        </w:trPr>
        <w:tc>
          <w:tcPr>
            <w:tcW w:w="5670" w:type="dxa"/>
            <w:noWrap/>
            <w:hideMark/>
          </w:tcPr>
          <w:p w14:paraId="5BF54D82"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Inflation, consumer price</w:t>
            </w:r>
          </w:p>
        </w:tc>
        <w:tc>
          <w:tcPr>
            <w:tcW w:w="1560" w:type="dxa"/>
            <w:noWrap/>
            <w:hideMark/>
          </w:tcPr>
          <w:p w14:paraId="6CAB489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141</w:t>
            </w:r>
          </w:p>
        </w:tc>
        <w:tc>
          <w:tcPr>
            <w:tcW w:w="2216" w:type="dxa"/>
            <w:noWrap/>
            <w:hideMark/>
          </w:tcPr>
          <w:p w14:paraId="020CDD4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5.894</w:t>
            </w:r>
          </w:p>
        </w:tc>
        <w:tc>
          <w:tcPr>
            <w:tcW w:w="2327" w:type="dxa"/>
            <w:noWrap/>
            <w:hideMark/>
          </w:tcPr>
          <w:p w14:paraId="4292334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5.254</w:t>
            </w:r>
          </w:p>
        </w:tc>
        <w:tc>
          <w:tcPr>
            <w:tcW w:w="1495" w:type="dxa"/>
            <w:noWrap/>
            <w:hideMark/>
          </w:tcPr>
          <w:p w14:paraId="7DC60B00"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6</w:t>
            </w:r>
          </w:p>
        </w:tc>
      </w:tr>
      <w:tr w:rsidR="00F26B9B" w:rsidRPr="00282831" w14:paraId="207FEC64" w14:textId="77777777" w:rsidTr="00F26B9B">
        <w:trPr>
          <w:trHeight w:val="300"/>
        </w:trPr>
        <w:tc>
          <w:tcPr>
            <w:tcW w:w="5670" w:type="dxa"/>
            <w:noWrap/>
            <w:hideMark/>
          </w:tcPr>
          <w:p w14:paraId="076B6B3A"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Fertility rate</w:t>
            </w:r>
          </w:p>
        </w:tc>
        <w:tc>
          <w:tcPr>
            <w:tcW w:w="1560" w:type="dxa"/>
            <w:noWrap/>
            <w:hideMark/>
          </w:tcPr>
          <w:p w14:paraId="3EFD402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noWrap/>
            <w:hideMark/>
          </w:tcPr>
          <w:p w14:paraId="1493C95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2.964</w:t>
            </w:r>
          </w:p>
        </w:tc>
        <w:tc>
          <w:tcPr>
            <w:tcW w:w="2327" w:type="dxa"/>
            <w:noWrap/>
            <w:hideMark/>
          </w:tcPr>
          <w:p w14:paraId="04A054B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1.523</w:t>
            </w:r>
          </w:p>
        </w:tc>
        <w:tc>
          <w:tcPr>
            <w:tcW w:w="1495" w:type="dxa"/>
            <w:noWrap/>
            <w:hideMark/>
          </w:tcPr>
          <w:p w14:paraId="15DED43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64BB3DFB" w14:textId="77777777" w:rsidTr="00F26B9B">
        <w:trPr>
          <w:trHeight w:val="300"/>
        </w:trPr>
        <w:tc>
          <w:tcPr>
            <w:tcW w:w="5670" w:type="dxa"/>
            <w:noWrap/>
            <w:hideMark/>
          </w:tcPr>
          <w:p w14:paraId="669C8AD2"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Percentage of total unemployed workforce</w:t>
            </w:r>
          </w:p>
        </w:tc>
        <w:tc>
          <w:tcPr>
            <w:tcW w:w="1560" w:type="dxa"/>
            <w:noWrap/>
            <w:hideMark/>
          </w:tcPr>
          <w:p w14:paraId="1E8699F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2CCD865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7.894</w:t>
            </w:r>
          </w:p>
        </w:tc>
        <w:tc>
          <w:tcPr>
            <w:tcW w:w="2327" w:type="dxa"/>
            <w:noWrap/>
            <w:hideMark/>
          </w:tcPr>
          <w:p w14:paraId="63A7FA9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5.887</w:t>
            </w:r>
          </w:p>
        </w:tc>
        <w:tc>
          <w:tcPr>
            <w:tcW w:w="1495" w:type="dxa"/>
            <w:noWrap/>
            <w:hideMark/>
          </w:tcPr>
          <w:p w14:paraId="3E447EA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677F73E1" w14:textId="77777777" w:rsidTr="00F26B9B">
        <w:trPr>
          <w:trHeight w:val="300"/>
        </w:trPr>
        <w:tc>
          <w:tcPr>
            <w:tcW w:w="5670" w:type="dxa"/>
            <w:noWrap/>
            <w:hideMark/>
          </w:tcPr>
          <w:p w14:paraId="7E45AF4E"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Percentage of people using basic sanitary facilities</w:t>
            </w:r>
          </w:p>
        </w:tc>
        <w:tc>
          <w:tcPr>
            <w:tcW w:w="1560" w:type="dxa"/>
            <w:noWrap/>
            <w:hideMark/>
          </w:tcPr>
          <w:p w14:paraId="52633D7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443A016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69.666</w:t>
            </w:r>
          </w:p>
        </w:tc>
        <w:tc>
          <w:tcPr>
            <w:tcW w:w="2327" w:type="dxa"/>
            <w:noWrap/>
            <w:hideMark/>
          </w:tcPr>
          <w:p w14:paraId="0055B4D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31.002</w:t>
            </w:r>
          </w:p>
        </w:tc>
        <w:tc>
          <w:tcPr>
            <w:tcW w:w="1495" w:type="dxa"/>
            <w:noWrap/>
            <w:hideMark/>
          </w:tcPr>
          <w:p w14:paraId="7306D0A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4D9099ED" w14:textId="77777777" w:rsidTr="00F26B9B">
        <w:trPr>
          <w:trHeight w:val="300"/>
        </w:trPr>
        <w:tc>
          <w:tcPr>
            <w:tcW w:w="5670" w:type="dxa"/>
            <w:noWrap/>
            <w:hideMark/>
          </w:tcPr>
          <w:p w14:paraId="1F8D6578"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Percentage of people using basic drinking water services</w:t>
            </w:r>
          </w:p>
        </w:tc>
        <w:tc>
          <w:tcPr>
            <w:tcW w:w="1560" w:type="dxa"/>
            <w:noWrap/>
            <w:hideMark/>
          </w:tcPr>
          <w:p w14:paraId="0E7A613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144</w:t>
            </w:r>
          </w:p>
        </w:tc>
        <w:tc>
          <w:tcPr>
            <w:tcW w:w="2216" w:type="dxa"/>
            <w:noWrap/>
            <w:hideMark/>
          </w:tcPr>
          <w:p w14:paraId="07EF824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82.959</w:t>
            </w:r>
          </w:p>
        </w:tc>
        <w:tc>
          <w:tcPr>
            <w:tcW w:w="2327" w:type="dxa"/>
            <w:noWrap/>
            <w:hideMark/>
          </w:tcPr>
          <w:p w14:paraId="0A65795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18.813</w:t>
            </w:r>
          </w:p>
        </w:tc>
        <w:tc>
          <w:tcPr>
            <w:tcW w:w="1495" w:type="dxa"/>
            <w:noWrap/>
            <w:hideMark/>
          </w:tcPr>
          <w:p w14:paraId="71EDDEF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3</w:t>
            </w:r>
          </w:p>
        </w:tc>
      </w:tr>
      <w:tr w:rsidR="00F26B9B" w:rsidRPr="00282831" w14:paraId="29CDCEE3" w14:textId="77777777" w:rsidTr="00F26B9B">
        <w:trPr>
          <w:trHeight w:val="300"/>
        </w:trPr>
        <w:tc>
          <w:tcPr>
            <w:tcW w:w="5670" w:type="dxa"/>
            <w:noWrap/>
            <w:hideMark/>
          </w:tcPr>
          <w:p w14:paraId="3F6E096A"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lastRenderedPageBreak/>
              <w:t>Percentage of unemployed female labor force</w:t>
            </w:r>
          </w:p>
        </w:tc>
        <w:tc>
          <w:tcPr>
            <w:tcW w:w="1560" w:type="dxa"/>
            <w:noWrap/>
            <w:hideMark/>
          </w:tcPr>
          <w:p w14:paraId="7B6C0C0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7B17928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9.013</w:t>
            </w:r>
          </w:p>
        </w:tc>
        <w:tc>
          <w:tcPr>
            <w:tcW w:w="2327" w:type="dxa"/>
            <w:noWrap/>
            <w:hideMark/>
          </w:tcPr>
          <w:p w14:paraId="525C773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6.982</w:t>
            </w:r>
          </w:p>
        </w:tc>
        <w:tc>
          <w:tcPr>
            <w:tcW w:w="1495" w:type="dxa"/>
            <w:noWrap/>
            <w:hideMark/>
          </w:tcPr>
          <w:p w14:paraId="4055774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362A9DF1" w14:textId="77777777" w:rsidTr="00F26B9B">
        <w:trPr>
          <w:trHeight w:val="300"/>
        </w:trPr>
        <w:tc>
          <w:tcPr>
            <w:tcW w:w="5670" w:type="dxa"/>
            <w:noWrap/>
            <w:hideMark/>
          </w:tcPr>
          <w:p w14:paraId="5786AA1D"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Secondary school life expectancy among women</w:t>
            </w:r>
          </w:p>
        </w:tc>
        <w:tc>
          <w:tcPr>
            <w:tcW w:w="1560" w:type="dxa"/>
            <w:noWrap/>
            <w:hideMark/>
          </w:tcPr>
          <w:p w14:paraId="6438F79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121</w:t>
            </w:r>
          </w:p>
        </w:tc>
        <w:tc>
          <w:tcPr>
            <w:tcW w:w="2216" w:type="dxa"/>
            <w:noWrap/>
            <w:hideMark/>
          </w:tcPr>
          <w:p w14:paraId="787F72F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4.984</w:t>
            </w:r>
          </w:p>
        </w:tc>
        <w:tc>
          <w:tcPr>
            <w:tcW w:w="2327" w:type="dxa"/>
            <w:noWrap/>
            <w:hideMark/>
          </w:tcPr>
          <w:p w14:paraId="4C6B158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2.140</w:t>
            </w:r>
          </w:p>
        </w:tc>
        <w:tc>
          <w:tcPr>
            <w:tcW w:w="1495" w:type="dxa"/>
            <w:noWrap/>
            <w:hideMark/>
          </w:tcPr>
          <w:p w14:paraId="43267A3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26</w:t>
            </w:r>
          </w:p>
        </w:tc>
      </w:tr>
      <w:tr w:rsidR="00F26B9B" w:rsidRPr="00282831" w14:paraId="56969979" w14:textId="77777777" w:rsidTr="00F26B9B">
        <w:trPr>
          <w:trHeight w:val="300"/>
        </w:trPr>
        <w:tc>
          <w:tcPr>
            <w:tcW w:w="5670" w:type="dxa"/>
            <w:noWrap/>
            <w:hideMark/>
          </w:tcPr>
          <w:p w14:paraId="1BF9EEDC"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Proportion of seats held by women in national parliaments</w:t>
            </w:r>
          </w:p>
        </w:tc>
        <w:tc>
          <w:tcPr>
            <w:tcW w:w="1560" w:type="dxa"/>
            <w:noWrap/>
            <w:hideMark/>
          </w:tcPr>
          <w:p w14:paraId="5E4D2C4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144</w:t>
            </w:r>
          </w:p>
        </w:tc>
        <w:tc>
          <w:tcPr>
            <w:tcW w:w="2216" w:type="dxa"/>
            <w:noWrap/>
            <w:hideMark/>
          </w:tcPr>
          <w:p w14:paraId="51A7E4F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19.684</w:t>
            </w:r>
          </w:p>
        </w:tc>
        <w:tc>
          <w:tcPr>
            <w:tcW w:w="2327" w:type="dxa"/>
            <w:noWrap/>
            <w:hideMark/>
          </w:tcPr>
          <w:p w14:paraId="31080E1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10.892</w:t>
            </w:r>
          </w:p>
        </w:tc>
        <w:tc>
          <w:tcPr>
            <w:tcW w:w="1495" w:type="dxa"/>
            <w:noWrap/>
            <w:hideMark/>
          </w:tcPr>
          <w:p w14:paraId="1D11FFF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3</w:t>
            </w:r>
          </w:p>
        </w:tc>
      </w:tr>
      <w:tr w:rsidR="00F26B9B" w:rsidRPr="00282831" w14:paraId="339F3990" w14:textId="77777777" w:rsidTr="00F26B9B">
        <w:trPr>
          <w:trHeight w:val="300"/>
        </w:trPr>
        <w:tc>
          <w:tcPr>
            <w:tcW w:w="5670" w:type="dxa"/>
            <w:noWrap/>
            <w:hideMark/>
          </w:tcPr>
          <w:p w14:paraId="6A8AADDE"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Secondary life school expectancy, for both genders</w:t>
            </w:r>
          </w:p>
        </w:tc>
        <w:tc>
          <w:tcPr>
            <w:tcW w:w="1560" w:type="dxa"/>
            <w:noWrap/>
            <w:hideMark/>
          </w:tcPr>
          <w:p w14:paraId="653D019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122</w:t>
            </w:r>
          </w:p>
        </w:tc>
        <w:tc>
          <w:tcPr>
            <w:tcW w:w="2216" w:type="dxa"/>
            <w:noWrap/>
            <w:hideMark/>
          </w:tcPr>
          <w:p w14:paraId="7073569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5.030</w:t>
            </w:r>
          </w:p>
        </w:tc>
        <w:tc>
          <w:tcPr>
            <w:tcW w:w="2327" w:type="dxa"/>
            <w:noWrap/>
            <w:hideMark/>
          </w:tcPr>
          <w:p w14:paraId="13CEFE4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2.017</w:t>
            </w:r>
          </w:p>
        </w:tc>
        <w:tc>
          <w:tcPr>
            <w:tcW w:w="1495" w:type="dxa"/>
            <w:noWrap/>
            <w:hideMark/>
          </w:tcPr>
          <w:p w14:paraId="06FD046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25</w:t>
            </w:r>
          </w:p>
        </w:tc>
      </w:tr>
      <w:tr w:rsidR="00F26B9B" w:rsidRPr="00282831" w14:paraId="3ADC63F0" w14:textId="77777777" w:rsidTr="00F26B9B">
        <w:trPr>
          <w:trHeight w:val="300"/>
        </w:trPr>
        <w:tc>
          <w:tcPr>
            <w:tcW w:w="5670" w:type="dxa"/>
            <w:noWrap/>
            <w:hideMark/>
          </w:tcPr>
          <w:p w14:paraId="7E702818"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Percentage of adolescents at high school age who are out of school</w:t>
            </w:r>
          </w:p>
        </w:tc>
        <w:tc>
          <w:tcPr>
            <w:tcW w:w="1560" w:type="dxa"/>
            <w:noWrap/>
            <w:hideMark/>
          </w:tcPr>
          <w:p w14:paraId="2FBF184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87</w:t>
            </w:r>
          </w:p>
        </w:tc>
        <w:tc>
          <w:tcPr>
            <w:tcW w:w="2216" w:type="dxa"/>
            <w:noWrap/>
            <w:hideMark/>
          </w:tcPr>
          <w:p w14:paraId="51143E4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13.938</w:t>
            </w:r>
          </w:p>
        </w:tc>
        <w:tc>
          <w:tcPr>
            <w:tcW w:w="2327" w:type="dxa"/>
            <w:noWrap/>
            <w:hideMark/>
          </w:tcPr>
          <w:p w14:paraId="10A610B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16.923</w:t>
            </w:r>
          </w:p>
        </w:tc>
        <w:tc>
          <w:tcPr>
            <w:tcW w:w="1495" w:type="dxa"/>
            <w:noWrap/>
            <w:hideMark/>
          </w:tcPr>
          <w:p w14:paraId="4DDD38E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60</w:t>
            </w:r>
          </w:p>
        </w:tc>
      </w:tr>
      <w:tr w:rsidR="00F26B9B" w:rsidRPr="00282831" w14:paraId="040EA025" w14:textId="77777777" w:rsidTr="00F26B9B">
        <w:trPr>
          <w:trHeight w:val="300"/>
        </w:trPr>
        <w:tc>
          <w:tcPr>
            <w:tcW w:w="5670" w:type="dxa"/>
            <w:noWrap/>
            <w:hideMark/>
          </w:tcPr>
          <w:p w14:paraId="33F2B140"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Corruption Control Index</w:t>
            </w:r>
          </w:p>
        </w:tc>
        <w:tc>
          <w:tcPr>
            <w:tcW w:w="1560" w:type="dxa"/>
            <w:noWrap/>
            <w:hideMark/>
          </w:tcPr>
          <w:p w14:paraId="0086AD8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49BC069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-0.182</w:t>
            </w:r>
          </w:p>
        </w:tc>
        <w:tc>
          <w:tcPr>
            <w:tcW w:w="2327" w:type="dxa"/>
            <w:noWrap/>
            <w:hideMark/>
          </w:tcPr>
          <w:p w14:paraId="4D565E1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0.997</w:t>
            </w:r>
          </w:p>
        </w:tc>
        <w:tc>
          <w:tcPr>
            <w:tcW w:w="1495" w:type="dxa"/>
            <w:noWrap/>
            <w:hideMark/>
          </w:tcPr>
          <w:p w14:paraId="0564B8B5"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4FC1665C" w14:textId="77777777" w:rsidTr="00F26B9B">
        <w:trPr>
          <w:trHeight w:val="300"/>
        </w:trPr>
        <w:tc>
          <w:tcPr>
            <w:tcW w:w="5670" w:type="dxa"/>
            <w:noWrap/>
            <w:hideMark/>
          </w:tcPr>
          <w:p w14:paraId="40225B3F"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Government Effectiveness Index</w:t>
            </w:r>
          </w:p>
        </w:tc>
        <w:tc>
          <w:tcPr>
            <w:tcW w:w="1560" w:type="dxa"/>
            <w:noWrap/>
            <w:hideMark/>
          </w:tcPr>
          <w:p w14:paraId="0113556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5DBF4DB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-0.121</w:t>
            </w:r>
          </w:p>
        </w:tc>
        <w:tc>
          <w:tcPr>
            <w:tcW w:w="2327" w:type="dxa"/>
            <w:noWrap/>
            <w:hideMark/>
          </w:tcPr>
          <w:p w14:paraId="0F16544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0.966</w:t>
            </w:r>
          </w:p>
        </w:tc>
        <w:tc>
          <w:tcPr>
            <w:tcW w:w="1495" w:type="dxa"/>
            <w:noWrap/>
            <w:hideMark/>
          </w:tcPr>
          <w:p w14:paraId="66AB2BE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51313EE5" w14:textId="77777777" w:rsidTr="00F26B9B">
        <w:trPr>
          <w:trHeight w:val="300"/>
        </w:trPr>
        <w:tc>
          <w:tcPr>
            <w:tcW w:w="5670" w:type="dxa"/>
            <w:noWrap/>
            <w:hideMark/>
          </w:tcPr>
          <w:p w14:paraId="4980BEE6"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Political Stability and Absence of Violence/Terrorism Index</w:t>
            </w:r>
          </w:p>
        </w:tc>
        <w:tc>
          <w:tcPr>
            <w:tcW w:w="1560" w:type="dxa"/>
            <w:noWrap/>
            <w:hideMark/>
          </w:tcPr>
          <w:p w14:paraId="6B28517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04CA7995"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-0.250</w:t>
            </w:r>
          </w:p>
        </w:tc>
        <w:tc>
          <w:tcPr>
            <w:tcW w:w="2327" w:type="dxa"/>
            <w:noWrap/>
            <w:hideMark/>
          </w:tcPr>
          <w:p w14:paraId="66A70EE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0.924</w:t>
            </w:r>
          </w:p>
        </w:tc>
        <w:tc>
          <w:tcPr>
            <w:tcW w:w="1495" w:type="dxa"/>
            <w:noWrap/>
            <w:hideMark/>
          </w:tcPr>
          <w:p w14:paraId="31F2F86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31A07093" w14:textId="77777777" w:rsidTr="00F26B9B">
        <w:trPr>
          <w:trHeight w:val="300"/>
        </w:trPr>
        <w:tc>
          <w:tcPr>
            <w:tcW w:w="5670" w:type="dxa"/>
            <w:noWrap/>
            <w:hideMark/>
          </w:tcPr>
          <w:p w14:paraId="6946B41A"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Regulatory Quality Index</w:t>
            </w:r>
          </w:p>
        </w:tc>
        <w:tc>
          <w:tcPr>
            <w:tcW w:w="1560" w:type="dxa"/>
            <w:noWrap/>
            <w:hideMark/>
          </w:tcPr>
          <w:p w14:paraId="58782C4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154769A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-0.062</w:t>
            </w:r>
          </w:p>
        </w:tc>
        <w:tc>
          <w:tcPr>
            <w:tcW w:w="2327" w:type="dxa"/>
            <w:noWrap/>
            <w:hideMark/>
          </w:tcPr>
          <w:p w14:paraId="6FADC91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0.962</w:t>
            </w:r>
          </w:p>
        </w:tc>
        <w:tc>
          <w:tcPr>
            <w:tcW w:w="1495" w:type="dxa"/>
            <w:noWrap/>
            <w:hideMark/>
          </w:tcPr>
          <w:p w14:paraId="79078C5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00D0AAE8" w14:textId="77777777" w:rsidTr="00F26B9B">
        <w:trPr>
          <w:trHeight w:val="300"/>
        </w:trPr>
        <w:tc>
          <w:tcPr>
            <w:tcW w:w="5670" w:type="dxa"/>
            <w:noWrap/>
            <w:hideMark/>
          </w:tcPr>
          <w:p w14:paraId="730B986F"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Rule of Law index</w:t>
            </w:r>
          </w:p>
        </w:tc>
        <w:tc>
          <w:tcPr>
            <w:tcW w:w="1560" w:type="dxa"/>
            <w:noWrap/>
            <w:hideMark/>
          </w:tcPr>
          <w:p w14:paraId="1EE3BCC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21CE123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-0.200</w:t>
            </w:r>
          </w:p>
        </w:tc>
        <w:tc>
          <w:tcPr>
            <w:tcW w:w="2327" w:type="dxa"/>
            <w:noWrap/>
            <w:hideMark/>
          </w:tcPr>
          <w:p w14:paraId="799D550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0.988</w:t>
            </w:r>
          </w:p>
        </w:tc>
        <w:tc>
          <w:tcPr>
            <w:tcW w:w="1495" w:type="dxa"/>
            <w:noWrap/>
            <w:hideMark/>
          </w:tcPr>
          <w:p w14:paraId="23D36B8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027551E7" w14:textId="77777777" w:rsidTr="00F26B9B">
        <w:trPr>
          <w:trHeight w:val="300"/>
        </w:trPr>
        <w:tc>
          <w:tcPr>
            <w:tcW w:w="5670" w:type="dxa"/>
            <w:noWrap/>
            <w:hideMark/>
          </w:tcPr>
          <w:p w14:paraId="603934BC"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Malnutrition rate</w:t>
            </w:r>
          </w:p>
        </w:tc>
        <w:tc>
          <w:tcPr>
            <w:tcW w:w="1560" w:type="dxa"/>
            <w:noWrap/>
            <w:hideMark/>
          </w:tcPr>
          <w:p w14:paraId="0DA901D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133</w:t>
            </w:r>
          </w:p>
        </w:tc>
        <w:tc>
          <w:tcPr>
            <w:tcW w:w="2216" w:type="dxa"/>
            <w:noWrap/>
            <w:hideMark/>
          </w:tcPr>
          <w:p w14:paraId="27B774F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9.709</w:t>
            </w:r>
          </w:p>
        </w:tc>
        <w:tc>
          <w:tcPr>
            <w:tcW w:w="2327" w:type="dxa"/>
            <w:noWrap/>
            <w:hideMark/>
          </w:tcPr>
          <w:p w14:paraId="440FBB0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9.150</w:t>
            </w:r>
          </w:p>
        </w:tc>
        <w:tc>
          <w:tcPr>
            <w:tcW w:w="1495" w:type="dxa"/>
            <w:noWrap/>
            <w:hideMark/>
          </w:tcPr>
          <w:p w14:paraId="2A866FA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w:t>
            </w:r>
          </w:p>
        </w:tc>
      </w:tr>
      <w:tr w:rsidR="00F26B9B" w:rsidRPr="00282831" w14:paraId="1D38ACFE" w14:textId="77777777" w:rsidTr="00F26B9B">
        <w:trPr>
          <w:trHeight w:val="300"/>
        </w:trPr>
        <w:tc>
          <w:tcPr>
            <w:tcW w:w="5670" w:type="dxa"/>
            <w:noWrap/>
            <w:hideMark/>
          </w:tcPr>
          <w:p w14:paraId="69D3B94C"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Doctors per 1000 inhabitants’ rate</w:t>
            </w:r>
          </w:p>
        </w:tc>
        <w:tc>
          <w:tcPr>
            <w:tcW w:w="1560" w:type="dxa"/>
            <w:noWrap/>
            <w:hideMark/>
          </w:tcPr>
          <w:p w14:paraId="7A78832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119</w:t>
            </w:r>
          </w:p>
        </w:tc>
        <w:tc>
          <w:tcPr>
            <w:tcW w:w="2216" w:type="dxa"/>
            <w:noWrap/>
            <w:hideMark/>
          </w:tcPr>
          <w:p w14:paraId="7C4C919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1.846</w:t>
            </w:r>
          </w:p>
        </w:tc>
        <w:tc>
          <w:tcPr>
            <w:tcW w:w="2327" w:type="dxa"/>
            <w:noWrap/>
            <w:hideMark/>
          </w:tcPr>
          <w:p w14:paraId="207B0615"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1.578</w:t>
            </w:r>
          </w:p>
        </w:tc>
        <w:tc>
          <w:tcPr>
            <w:tcW w:w="1495" w:type="dxa"/>
            <w:noWrap/>
            <w:hideMark/>
          </w:tcPr>
          <w:p w14:paraId="2AA5299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28</w:t>
            </w:r>
          </w:p>
        </w:tc>
      </w:tr>
      <w:tr w:rsidR="00F26B9B" w:rsidRPr="00282831" w14:paraId="0755D041" w14:textId="77777777" w:rsidTr="00F26B9B">
        <w:trPr>
          <w:trHeight w:val="300"/>
        </w:trPr>
        <w:tc>
          <w:tcPr>
            <w:tcW w:w="5670" w:type="dxa"/>
            <w:noWrap/>
            <w:hideMark/>
          </w:tcPr>
          <w:p w14:paraId="225155C8"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Births attended by a qualified health professional</w:t>
            </w:r>
          </w:p>
        </w:tc>
        <w:tc>
          <w:tcPr>
            <w:tcW w:w="1560" w:type="dxa"/>
            <w:noWrap/>
            <w:hideMark/>
          </w:tcPr>
          <w:p w14:paraId="2554946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121</w:t>
            </w:r>
          </w:p>
        </w:tc>
        <w:tc>
          <w:tcPr>
            <w:tcW w:w="2216" w:type="dxa"/>
            <w:noWrap/>
            <w:hideMark/>
          </w:tcPr>
          <w:p w14:paraId="38CDF67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80.906</w:t>
            </w:r>
          </w:p>
        </w:tc>
        <w:tc>
          <w:tcPr>
            <w:tcW w:w="2327" w:type="dxa"/>
            <w:noWrap/>
            <w:hideMark/>
          </w:tcPr>
          <w:p w14:paraId="507595F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24.417</w:t>
            </w:r>
          </w:p>
        </w:tc>
        <w:tc>
          <w:tcPr>
            <w:tcW w:w="1495" w:type="dxa"/>
            <w:noWrap/>
            <w:hideMark/>
          </w:tcPr>
          <w:p w14:paraId="4A06F0E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26</w:t>
            </w:r>
          </w:p>
        </w:tc>
      </w:tr>
      <w:tr w:rsidR="00F26B9B" w:rsidRPr="00282831" w14:paraId="216109AF" w14:textId="77777777" w:rsidTr="00F26B9B">
        <w:trPr>
          <w:trHeight w:val="300"/>
        </w:trPr>
        <w:tc>
          <w:tcPr>
            <w:tcW w:w="5670" w:type="dxa"/>
            <w:noWrap/>
            <w:hideMark/>
          </w:tcPr>
          <w:p w14:paraId="0222EF69"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HIV prevalence</w:t>
            </w:r>
          </w:p>
        </w:tc>
        <w:tc>
          <w:tcPr>
            <w:tcW w:w="1560" w:type="dxa"/>
            <w:noWrap/>
            <w:hideMark/>
          </w:tcPr>
          <w:p w14:paraId="11473F8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120</w:t>
            </w:r>
          </w:p>
        </w:tc>
        <w:tc>
          <w:tcPr>
            <w:tcW w:w="2216" w:type="dxa"/>
            <w:noWrap/>
            <w:hideMark/>
          </w:tcPr>
          <w:p w14:paraId="755DC4B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2.072</w:t>
            </w:r>
          </w:p>
        </w:tc>
        <w:tc>
          <w:tcPr>
            <w:tcW w:w="2327" w:type="dxa"/>
            <w:noWrap/>
            <w:hideMark/>
          </w:tcPr>
          <w:p w14:paraId="2951603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4.748</w:t>
            </w:r>
          </w:p>
        </w:tc>
        <w:tc>
          <w:tcPr>
            <w:tcW w:w="1495" w:type="dxa"/>
            <w:noWrap/>
            <w:hideMark/>
          </w:tcPr>
          <w:p w14:paraId="31E460C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27</w:t>
            </w:r>
          </w:p>
        </w:tc>
      </w:tr>
      <w:tr w:rsidR="00F26B9B" w:rsidRPr="00282831" w14:paraId="09C08AA9" w14:textId="77777777" w:rsidTr="00F26B9B">
        <w:trPr>
          <w:trHeight w:val="300"/>
        </w:trPr>
        <w:tc>
          <w:tcPr>
            <w:tcW w:w="5670" w:type="dxa"/>
            <w:noWrap/>
            <w:hideMark/>
          </w:tcPr>
          <w:p w14:paraId="22BD472F"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Malaria incidence</w:t>
            </w:r>
          </w:p>
        </w:tc>
        <w:tc>
          <w:tcPr>
            <w:tcW w:w="1560" w:type="dxa"/>
            <w:noWrap/>
            <w:hideMark/>
          </w:tcPr>
          <w:p w14:paraId="526089E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91</w:t>
            </w:r>
          </w:p>
        </w:tc>
        <w:tc>
          <w:tcPr>
            <w:tcW w:w="2216" w:type="dxa"/>
            <w:noWrap/>
            <w:hideMark/>
          </w:tcPr>
          <w:p w14:paraId="5C98173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105.481</w:t>
            </w:r>
          </w:p>
        </w:tc>
        <w:tc>
          <w:tcPr>
            <w:tcW w:w="2327" w:type="dxa"/>
            <w:noWrap/>
            <w:hideMark/>
          </w:tcPr>
          <w:p w14:paraId="51C0B70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152.960</w:t>
            </w:r>
          </w:p>
        </w:tc>
        <w:tc>
          <w:tcPr>
            <w:tcW w:w="1495" w:type="dxa"/>
            <w:noWrap/>
            <w:hideMark/>
          </w:tcPr>
          <w:p w14:paraId="693AA45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56</w:t>
            </w:r>
          </w:p>
        </w:tc>
      </w:tr>
      <w:tr w:rsidR="00F26B9B" w:rsidRPr="00282831" w14:paraId="038549B4" w14:textId="77777777" w:rsidTr="00F26B9B">
        <w:trPr>
          <w:trHeight w:val="300"/>
        </w:trPr>
        <w:tc>
          <w:tcPr>
            <w:tcW w:w="5670" w:type="dxa"/>
            <w:noWrap/>
            <w:hideMark/>
          </w:tcPr>
          <w:p w14:paraId="3A942713"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Percentage of children between 12 and 23 months immunized with DPT</w:t>
            </w:r>
          </w:p>
        </w:tc>
        <w:tc>
          <w:tcPr>
            <w:tcW w:w="1560" w:type="dxa"/>
            <w:noWrap/>
            <w:hideMark/>
          </w:tcPr>
          <w:p w14:paraId="60ABC7C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391C599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88.195</w:t>
            </w:r>
          </w:p>
        </w:tc>
        <w:tc>
          <w:tcPr>
            <w:tcW w:w="2327" w:type="dxa"/>
            <w:noWrap/>
            <w:hideMark/>
          </w:tcPr>
          <w:p w14:paraId="0FA5BB1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12.603</w:t>
            </w:r>
          </w:p>
        </w:tc>
        <w:tc>
          <w:tcPr>
            <w:tcW w:w="1495" w:type="dxa"/>
            <w:noWrap/>
            <w:hideMark/>
          </w:tcPr>
          <w:p w14:paraId="640734E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31EE2302" w14:textId="77777777" w:rsidTr="00F26B9B">
        <w:trPr>
          <w:trHeight w:val="300"/>
        </w:trPr>
        <w:tc>
          <w:tcPr>
            <w:tcW w:w="5670" w:type="dxa"/>
            <w:noWrap/>
            <w:hideMark/>
          </w:tcPr>
          <w:p w14:paraId="2B693251"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Hospital beds per 1000 inhabitants’ rate</w:t>
            </w:r>
          </w:p>
        </w:tc>
        <w:tc>
          <w:tcPr>
            <w:tcW w:w="1560" w:type="dxa"/>
            <w:noWrap/>
            <w:hideMark/>
          </w:tcPr>
          <w:p w14:paraId="7DBC228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128</w:t>
            </w:r>
          </w:p>
        </w:tc>
        <w:tc>
          <w:tcPr>
            <w:tcW w:w="2216" w:type="dxa"/>
            <w:noWrap/>
            <w:hideMark/>
          </w:tcPr>
          <w:p w14:paraId="3586158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3.080</w:t>
            </w:r>
          </w:p>
        </w:tc>
        <w:tc>
          <w:tcPr>
            <w:tcW w:w="2327" w:type="dxa"/>
            <w:noWrap/>
            <w:hideMark/>
          </w:tcPr>
          <w:p w14:paraId="73F4863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2.521</w:t>
            </w:r>
          </w:p>
        </w:tc>
        <w:tc>
          <w:tcPr>
            <w:tcW w:w="1495" w:type="dxa"/>
            <w:noWrap/>
            <w:hideMark/>
          </w:tcPr>
          <w:p w14:paraId="06CE430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19</w:t>
            </w:r>
          </w:p>
        </w:tc>
      </w:tr>
      <w:tr w:rsidR="00F26B9B" w:rsidRPr="00282831" w14:paraId="60CAE8BE" w14:textId="77777777" w:rsidTr="00F26B9B">
        <w:trPr>
          <w:trHeight w:val="300"/>
        </w:trPr>
        <w:tc>
          <w:tcPr>
            <w:tcW w:w="5670" w:type="dxa"/>
            <w:noWrap/>
            <w:hideMark/>
          </w:tcPr>
          <w:p w14:paraId="17C1D7CD" w14:textId="77777777" w:rsidR="00282831" w:rsidRPr="00282831" w:rsidRDefault="00282831" w:rsidP="00282831">
            <w:pPr>
              <w:pStyle w:val="NoSpacing"/>
              <w:spacing w:after="240"/>
              <w:ind w:firstLine="0"/>
              <w:jc w:val="left"/>
              <w:rPr>
                <w:rFonts w:ascii="Arial" w:hAnsi="Arial" w:cs="Arial"/>
                <w:sz w:val="20"/>
                <w:szCs w:val="20"/>
              </w:rPr>
            </w:pPr>
            <w:r w:rsidRPr="00282831">
              <w:rPr>
                <w:rFonts w:ascii="Arial" w:hAnsi="Arial" w:cs="Arial"/>
                <w:bCs/>
                <w:sz w:val="20"/>
                <w:szCs w:val="20"/>
              </w:rPr>
              <w:t>Percentage of population with access to electricity</w:t>
            </w:r>
          </w:p>
        </w:tc>
        <w:tc>
          <w:tcPr>
            <w:tcW w:w="1560" w:type="dxa"/>
            <w:noWrap/>
            <w:hideMark/>
          </w:tcPr>
          <w:p w14:paraId="02807F4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144</w:t>
            </w:r>
          </w:p>
        </w:tc>
        <w:tc>
          <w:tcPr>
            <w:tcW w:w="2216" w:type="dxa"/>
            <w:noWrap/>
            <w:hideMark/>
          </w:tcPr>
          <w:p w14:paraId="16A0B725"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76.221</w:t>
            </w:r>
          </w:p>
        </w:tc>
        <w:tc>
          <w:tcPr>
            <w:tcW w:w="2327" w:type="dxa"/>
            <w:noWrap/>
            <w:hideMark/>
          </w:tcPr>
          <w:p w14:paraId="2E9EB7D3"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32.339</w:t>
            </w:r>
          </w:p>
        </w:tc>
        <w:tc>
          <w:tcPr>
            <w:tcW w:w="1495" w:type="dxa"/>
            <w:noWrap/>
            <w:hideMark/>
          </w:tcPr>
          <w:p w14:paraId="19FED8A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3</w:t>
            </w:r>
          </w:p>
        </w:tc>
      </w:tr>
      <w:tr w:rsidR="00F26B9B" w:rsidRPr="00282831" w14:paraId="2184AE92" w14:textId="77777777" w:rsidTr="00F26B9B">
        <w:trPr>
          <w:trHeight w:val="300"/>
        </w:trPr>
        <w:tc>
          <w:tcPr>
            <w:tcW w:w="5670" w:type="dxa"/>
            <w:noWrap/>
            <w:hideMark/>
          </w:tcPr>
          <w:p w14:paraId="634FABF2"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lastRenderedPageBreak/>
              <w:t>Percentage of urban population</w:t>
            </w:r>
          </w:p>
        </w:tc>
        <w:tc>
          <w:tcPr>
            <w:tcW w:w="1560" w:type="dxa"/>
            <w:noWrap/>
            <w:hideMark/>
          </w:tcPr>
          <w:p w14:paraId="0284447A"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27439C7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56.456</w:t>
            </w:r>
          </w:p>
        </w:tc>
        <w:tc>
          <w:tcPr>
            <w:tcW w:w="2327" w:type="dxa"/>
            <w:noWrap/>
            <w:hideMark/>
          </w:tcPr>
          <w:p w14:paraId="67D6582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22.155</w:t>
            </w:r>
          </w:p>
        </w:tc>
        <w:tc>
          <w:tcPr>
            <w:tcW w:w="1495" w:type="dxa"/>
            <w:noWrap/>
            <w:hideMark/>
          </w:tcPr>
          <w:p w14:paraId="25008F4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40E4E83A" w14:textId="77777777" w:rsidTr="00F26B9B">
        <w:trPr>
          <w:trHeight w:val="300"/>
        </w:trPr>
        <w:tc>
          <w:tcPr>
            <w:tcW w:w="5670" w:type="dxa"/>
            <w:noWrap/>
            <w:hideMark/>
          </w:tcPr>
          <w:p w14:paraId="7A29D779"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sz w:val="20"/>
                <w:szCs w:val="20"/>
                <w:lang w:val="pt-BR"/>
              </w:rPr>
              <w:t>Surface in km</w:t>
            </w:r>
            <w:r w:rsidRPr="00282831">
              <w:rPr>
                <w:rFonts w:ascii="Arial" w:hAnsi="Arial" w:cs="Arial"/>
                <w:sz w:val="20"/>
                <w:szCs w:val="20"/>
                <w:vertAlign w:val="superscript"/>
                <w:lang w:val="pt-BR"/>
              </w:rPr>
              <w:t>2</w:t>
            </w:r>
          </w:p>
        </w:tc>
        <w:tc>
          <w:tcPr>
            <w:tcW w:w="1560" w:type="dxa"/>
            <w:noWrap/>
            <w:hideMark/>
          </w:tcPr>
          <w:p w14:paraId="323C454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4D3991AC"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891773.383</w:t>
            </w:r>
          </w:p>
        </w:tc>
        <w:tc>
          <w:tcPr>
            <w:tcW w:w="2327" w:type="dxa"/>
            <w:noWrap/>
            <w:hideMark/>
          </w:tcPr>
          <w:p w14:paraId="34966321"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2181091.265</w:t>
            </w:r>
          </w:p>
        </w:tc>
        <w:tc>
          <w:tcPr>
            <w:tcW w:w="1495" w:type="dxa"/>
            <w:noWrap/>
            <w:hideMark/>
          </w:tcPr>
          <w:p w14:paraId="0865B532"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7243A4CA" w14:textId="77777777" w:rsidTr="00F26B9B">
        <w:trPr>
          <w:trHeight w:val="300"/>
        </w:trPr>
        <w:tc>
          <w:tcPr>
            <w:tcW w:w="5670" w:type="dxa"/>
            <w:noWrap/>
            <w:hideMark/>
          </w:tcPr>
          <w:p w14:paraId="28ADC13A"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Population</w:t>
            </w:r>
          </w:p>
        </w:tc>
        <w:tc>
          <w:tcPr>
            <w:tcW w:w="1560" w:type="dxa"/>
            <w:noWrap/>
            <w:hideMark/>
          </w:tcPr>
          <w:p w14:paraId="2CDAA4D7"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noWrap/>
            <w:hideMark/>
          </w:tcPr>
          <w:p w14:paraId="5AF28C9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47053479.561</w:t>
            </w:r>
          </w:p>
        </w:tc>
        <w:tc>
          <w:tcPr>
            <w:tcW w:w="2327" w:type="dxa"/>
            <w:noWrap/>
            <w:hideMark/>
          </w:tcPr>
          <w:p w14:paraId="2609724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156292207.377</w:t>
            </w:r>
          </w:p>
        </w:tc>
        <w:tc>
          <w:tcPr>
            <w:tcW w:w="1495" w:type="dxa"/>
            <w:noWrap/>
            <w:hideMark/>
          </w:tcPr>
          <w:p w14:paraId="5372B2D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5073EA85" w14:textId="77777777" w:rsidTr="00F26B9B">
        <w:trPr>
          <w:trHeight w:val="300"/>
        </w:trPr>
        <w:tc>
          <w:tcPr>
            <w:tcW w:w="5670" w:type="dxa"/>
            <w:noWrap/>
            <w:hideMark/>
          </w:tcPr>
          <w:p w14:paraId="2815CC8D"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Population density</w:t>
            </w:r>
          </w:p>
        </w:tc>
        <w:tc>
          <w:tcPr>
            <w:tcW w:w="1560" w:type="dxa"/>
            <w:noWrap/>
            <w:hideMark/>
          </w:tcPr>
          <w:p w14:paraId="6754F7B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145</w:t>
            </w:r>
          </w:p>
        </w:tc>
        <w:tc>
          <w:tcPr>
            <w:tcW w:w="2216" w:type="dxa"/>
            <w:noWrap/>
            <w:hideMark/>
          </w:tcPr>
          <w:p w14:paraId="41B1088B"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104.474</w:t>
            </w:r>
          </w:p>
        </w:tc>
        <w:tc>
          <w:tcPr>
            <w:tcW w:w="2327" w:type="dxa"/>
            <w:noWrap/>
            <w:hideMark/>
          </w:tcPr>
          <w:p w14:paraId="3FA1922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123.449</w:t>
            </w:r>
          </w:p>
        </w:tc>
        <w:tc>
          <w:tcPr>
            <w:tcW w:w="1495" w:type="dxa"/>
            <w:noWrap/>
            <w:hideMark/>
          </w:tcPr>
          <w:p w14:paraId="34703A28"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2</w:t>
            </w:r>
          </w:p>
        </w:tc>
      </w:tr>
      <w:tr w:rsidR="00F26B9B" w:rsidRPr="00282831" w14:paraId="23169BD5" w14:textId="77777777" w:rsidTr="00F26B9B">
        <w:trPr>
          <w:trHeight w:val="300"/>
        </w:trPr>
        <w:tc>
          <w:tcPr>
            <w:tcW w:w="5670" w:type="dxa"/>
            <w:tcBorders>
              <w:bottom w:val="nil"/>
            </w:tcBorders>
            <w:noWrap/>
            <w:hideMark/>
          </w:tcPr>
          <w:p w14:paraId="09F8CFEE"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Countries longitude</w:t>
            </w:r>
          </w:p>
        </w:tc>
        <w:tc>
          <w:tcPr>
            <w:tcW w:w="1560" w:type="dxa"/>
            <w:tcBorders>
              <w:bottom w:val="nil"/>
            </w:tcBorders>
            <w:noWrap/>
            <w:hideMark/>
          </w:tcPr>
          <w:p w14:paraId="294D883F"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tcBorders>
              <w:bottom w:val="nil"/>
            </w:tcBorders>
            <w:noWrap/>
            <w:hideMark/>
          </w:tcPr>
          <w:p w14:paraId="1E70A7DD"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w:t>
            </w:r>
          </w:p>
        </w:tc>
        <w:tc>
          <w:tcPr>
            <w:tcW w:w="2327" w:type="dxa"/>
            <w:tcBorders>
              <w:bottom w:val="nil"/>
            </w:tcBorders>
            <w:noWrap/>
            <w:hideMark/>
          </w:tcPr>
          <w:p w14:paraId="62E48DFE"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w:t>
            </w:r>
          </w:p>
        </w:tc>
        <w:tc>
          <w:tcPr>
            <w:tcW w:w="1495" w:type="dxa"/>
            <w:tcBorders>
              <w:bottom w:val="nil"/>
            </w:tcBorders>
            <w:noWrap/>
            <w:hideMark/>
          </w:tcPr>
          <w:p w14:paraId="752838C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r w:rsidR="00F26B9B" w:rsidRPr="00282831" w14:paraId="1362A380" w14:textId="77777777" w:rsidTr="00F26B9B">
        <w:trPr>
          <w:trHeight w:val="300"/>
        </w:trPr>
        <w:tc>
          <w:tcPr>
            <w:tcW w:w="5670" w:type="dxa"/>
            <w:tcBorders>
              <w:top w:val="nil"/>
              <w:bottom w:val="single" w:sz="4" w:space="0" w:color="auto"/>
            </w:tcBorders>
            <w:noWrap/>
            <w:hideMark/>
          </w:tcPr>
          <w:p w14:paraId="3565121F" w14:textId="77777777" w:rsidR="00282831" w:rsidRPr="00282831" w:rsidRDefault="00282831" w:rsidP="00282831">
            <w:pPr>
              <w:pStyle w:val="NoSpacing"/>
              <w:spacing w:after="240"/>
              <w:ind w:firstLine="0"/>
              <w:jc w:val="left"/>
              <w:rPr>
                <w:rFonts w:ascii="Arial" w:hAnsi="Arial" w:cs="Arial"/>
                <w:sz w:val="20"/>
                <w:szCs w:val="20"/>
                <w:lang w:val="pt-BR"/>
              </w:rPr>
            </w:pPr>
            <w:r w:rsidRPr="00282831">
              <w:rPr>
                <w:rFonts w:ascii="Arial" w:hAnsi="Arial" w:cs="Arial"/>
                <w:bCs/>
                <w:sz w:val="20"/>
                <w:szCs w:val="20"/>
                <w:lang w:val="pt-BR"/>
              </w:rPr>
              <w:t>Country latitude</w:t>
            </w:r>
          </w:p>
        </w:tc>
        <w:tc>
          <w:tcPr>
            <w:tcW w:w="1560" w:type="dxa"/>
            <w:tcBorders>
              <w:top w:val="nil"/>
              <w:bottom w:val="single" w:sz="4" w:space="0" w:color="auto"/>
            </w:tcBorders>
            <w:noWrap/>
            <w:hideMark/>
          </w:tcPr>
          <w:p w14:paraId="0174FDA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147</w:t>
            </w:r>
          </w:p>
        </w:tc>
        <w:tc>
          <w:tcPr>
            <w:tcW w:w="2216" w:type="dxa"/>
            <w:tcBorders>
              <w:top w:val="nil"/>
              <w:bottom w:val="single" w:sz="4" w:space="0" w:color="auto"/>
            </w:tcBorders>
            <w:noWrap/>
            <w:hideMark/>
          </w:tcPr>
          <w:p w14:paraId="00332FE9"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w:t>
            </w:r>
          </w:p>
        </w:tc>
        <w:tc>
          <w:tcPr>
            <w:tcW w:w="2327" w:type="dxa"/>
            <w:tcBorders>
              <w:top w:val="nil"/>
              <w:bottom w:val="single" w:sz="4" w:space="0" w:color="auto"/>
            </w:tcBorders>
            <w:noWrap/>
            <w:hideMark/>
          </w:tcPr>
          <w:p w14:paraId="46C19B04"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w:t>
            </w:r>
          </w:p>
        </w:tc>
        <w:tc>
          <w:tcPr>
            <w:tcW w:w="1495" w:type="dxa"/>
            <w:tcBorders>
              <w:top w:val="nil"/>
              <w:bottom w:val="single" w:sz="4" w:space="0" w:color="auto"/>
            </w:tcBorders>
            <w:noWrap/>
            <w:hideMark/>
          </w:tcPr>
          <w:p w14:paraId="0C64D596" w14:textId="77777777" w:rsidR="00282831" w:rsidRPr="00282831" w:rsidRDefault="00282831" w:rsidP="00282831">
            <w:pPr>
              <w:pStyle w:val="NoSpacing"/>
              <w:spacing w:after="240"/>
              <w:rPr>
                <w:rFonts w:ascii="Arial" w:hAnsi="Arial" w:cs="Arial"/>
                <w:sz w:val="20"/>
                <w:szCs w:val="20"/>
                <w:lang w:val="pt-BR"/>
              </w:rPr>
            </w:pPr>
            <w:r w:rsidRPr="00282831">
              <w:rPr>
                <w:rFonts w:ascii="Arial" w:hAnsi="Arial" w:cs="Arial"/>
                <w:sz w:val="20"/>
                <w:szCs w:val="20"/>
                <w:lang w:val="pt-BR"/>
              </w:rPr>
              <w:t>0</w:t>
            </w:r>
          </w:p>
        </w:tc>
      </w:tr>
    </w:tbl>
    <w:p w14:paraId="0F94D9CA" w14:textId="77777777" w:rsidR="00282831" w:rsidRDefault="00282831" w:rsidP="008F7600">
      <w:pPr>
        <w:pStyle w:val="NoSpacing"/>
        <w:ind w:firstLine="0"/>
        <w:rPr>
          <w:rFonts w:ascii="Arial" w:hAnsi="Arial" w:cs="Arial"/>
          <w:szCs w:val="24"/>
        </w:rPr>
      </w:pPr>
    </w:p>
    <w:p w14:paraId="37354D08" w14:textId="29CC210D" w:rsidR="008F7600" w:rsidRPr="005B5C1D" w:rsidRDefault="008F7600" w:rsidP="008F7600">
      <w:pPr>
        <w:pStyle w:val="NoSpacing"/>
        <w:ind w:firstLine="0"/>
        <w:rPr>
          <w:rFonts w:ascii="Arial" w:hAnsi="Arial" w:cs="Arial"/>
          <w:szCs w:val="24"/>
        </w:rPr>
      </w:pPr>
      <w:r w:rsidRPr="005B5C1D">
        <w:rPr>
          <w:rFonts w:ascii="Arial" w:hAnsi="Arial" w:cs="Arial"/>
          <w:szCs w:val="24"/>
        </w:rPr>
        <w:t xml:space="preserve">Table </w:t>
      </w:r>
      <w:r w:rsidR="005B5C1D" w:rsidRPr="005B5C1D">
        <w:rPr>
          <w:rFonts w:ascii="Arial" w:hAnsi="Arial" w:cs="Arial"/>
          <w:szCs w:val="24"/>
        </w:rPr>
        <w:t>S</w:t>
      </w:r>
      <w:r w:rsidR="00282831">
        <w:rPr>
          <w:rFonts w:ascii="Arial" w:hAnsi="Arial" w:cs="Arial"/>
          <w:szCs w:val="24"/>
        </w:rPr>
        <w:t>3</w:t>
      </w:r>
      <w:r w:rsidRPr="005B5C1D">
        <w:rPr>
          <w:rFonts w:ascii="Arial" w:hAnsi="Arial" w:cs="Arial"/>
          <w:szCs w:val="24"/>
        </w:rPr>
        <w:t xml:space="preserve"> – Weights’ </w:t>
      </w:r>
      <w:r w:rsidR="005B5C1D" w:rsidRPr="005B5C1D">
        <w:rPr>
          <w:rFonts w:ascii="Arial" w:hAnsi="Arial" w:cs="Arial"/>
          <w:szCs w:val="24"/>
        </w:rPr>
        <w:t>coefficients of variation.</w:t>
      </w:r>
    </w:p>
    <w:tbl>
      <w:tblPr>
        <w:tblW w:w="10632" w:type="dxa"/>
        <w:tblCellMar>
          <w:left w:w="70" w:type="dxa"/>
          <w:right w:w="70" w:type="dxa"/>
        </w:tblCellMar>
        <w:tblLook w:val="04A0" w:firstRow="1" w:lastRow="0" w:firstColumn="1" w:lastColumn="0" w:noHBand="0" w:noVBand="1"/>
      </w:tblPr>
      <w:tblGrid>
        <w:gridCol w:w="2552"/>
        <w:gridCol w:w="2551"/>
        <w:gridCol w:w="2404"/>
        <w:gridCol w:w="3125"/>
      </w:tblGrid>
      <w:tr w:rsidR="008F7600" w:rsidRPr="00C83FAF" w14:paraId="5C71E896" w14:textId="77777777" w:rsidTr="00286C4F">
        <w:trPr>
          <w:trHeight w:val="288"/>
        </w:trPr>
        <w:tc>
          <w:tcPr>
            <w:tcW w:w="2552" w:type="dxa"/>
            <w:tcBorders>
              <w:top w:val="single" w:sz="4" w:space="0" w:color="auto"/>
              <w:left w:val="nil"/>
              <w:bottom w:val="nil"/>
              <w:right w:val="nil"/>
            </w:tcBorders>
            <w:shd w:val="clear" w:color="auto" w:fill="auto"/>
            <w:noWrap/>
            <w:vAlign w:val="center"/>
            <w:hideMark/>
          </w:tcPr>
          <w:p w14:paraId="12D9000E" w14:textId="77777777" w:rsidR="008F7600" w:rsidRPr="00C83FAF" w:rsidRDefault="008F7600" w:rsidP="00286C4F">
            <w:pPr>
              <w:spacing w:after="0" w:line="240" w:lineRule="auto"/>
              <w:ind w:firstLine="0"/>
              <w:jc w:val="left"/>
              <w:rPr>
                <w:rFonts w:ascii="Arial" w:eastAsia="Times New Roman" w:hAnsi="Arial" w:cs="Arial"/>
                <w:color w:val="000000"/>
                <w:sz w:val="20"/>
                <w:szCs w:val="20"/>
                <w:lang w:eastAsia="pt-BR"/>
              </w:rPr>
            </w:pPr>
          </w:p>
        </w:tc>
        <w:tc>
          <w:tcPr>
            <w:tcW w:w="2551" w:type="dxa"/>
            <w:tcBorders>
              <w:top w:val="single" w:sz="4" w:space="0" w:color="auto"/>
              <w:left w:val="nil"/>
              <w:bottom w:val="single" w:sz="4" w:space="0" w:color="auto"/>
              <w:right w:val="nil"/>
            </w:tcBorders>
            <w:shd w:val="clear" w:color="auto" w:fill="auto"/>
            <w:noWrap/>
            <w:vAlign w:val="center"/>
            <w:hideMark/>
          </w:tcPr>
          <w:p w14:paraId="29E3CBE4"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eastAsia="pt-BR"/>
              </w:rPr>
            </w:pPr>
            <w:r w:rsidRPr="00C83FAF">
              <w:rPr>
                <w:rFonts w:ascii="Arial" w:hAnsi="Arial" w:cs="Arial"/>
                <w:color w:val="000000"/>
                <w:sz w:val="20"/>
                <w:szCs w:val="20"/>
              </w:rPr>
              <w:t>SuperLearner</w:t>
            </w:r>
          </w:p>
        </w:tc>
        <w:tc>
          <w:tcPr>
            <w:tcW w:w="2404" w:type="dxa"/>
            <w:tcBorders>
              <w:top w:val="single" w:sz="4" w:space="0" w:color="auto"/>
              <w:left w:val="nil"/>
              <w:bottom w:val="single" w:sz="4" w:space="0" w:color="auto"/>
              <w:right w:val="nil"/>
            </w:tcBorders>
            <w:shd w:val="clear" w:color="auto" w:fill="auto"/>
            <w:noWrap/>
            <w:vAlign w:val="center"/>
            <w:hideMark/>
          </w:tcPr>
          <w:p w14:paraId="2311A326"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eastAsia="pt-BR"/>
              </w:rPr>
            </w:pPr>
            <w:r w:rsidRPr="00C83FAF">
              <w:rPr>
                <w:rFonts w:ascii="Arial" w:hAnsi="Arial" w:cs="Arial"/>
                <w:color w:val="000000"/>
                <w:sz w:val="20"/>
                <w:szCs w:val="20"/>
              </w:rPr>
              <w:t>Propensity Score</w:t>
            </w:r>
          </w:p>
        </w:tc>
        <w:tc>
          <w:tcPr>
            <w:tcW w:w="3125" w:type="dxa"/>
            <w:tcBorders>
              <w:top w:val="single" w:sz="4" w:space="0" w:color="auto"/>
              <w:left w:val="nil"/>
              <w:bottom w:val="single" w:sz="4" w:space="0" w:color="auto"/>
              <w:right w:val="nil"/>
            </w:tcBorders>
            <w:shd w:val="clear" w:color="auto" w:fill="auto"/>
            <w:noWrap/>
            <w:vAlign w:val="center"/>
            <w:hideMark/>
          </w:tcPr>
          <w:p w14:paraId="76ACC0EB"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sz w:val="20"/>
                <w:szCs w:val="20"/>
              </w:rPr>
              <w:t>Covariate Balancing Propensity Score</w:t>
            </w:r>
          </w:p>
        </w:tc>
      </w:tr>
      <w:tr w:rsidR="008F7600" w:rsidRPr="00C83FAF" w14:paraId="34578E1F" w14:textId="77777777" w:rsidTr="00286C4F">
        <w:trPr>
          <w:trHeight w:val="288"/>
        </w:trPr>
        <w:tc>
          <w:tcPr>
            <w:tcW w:w="2552" w:type="dxa"/>
            <w:tcBorders>
              <w:top w:val="nil"/>
              <w:left w:val="nil"/>
              <w:bottom w:val="nil"/>
              <w:right w:val="nil"/>
            </w:tcBorders>
            <w:shd w:val="clear" w:color="auto" w:fill="auto"/>
            <w:noWrap/>
            <w:vAlign w:val="center"/>
            <w:hideMark/>
          </w:tcPr>
          <w:p w14:paraId="18F4AE04" w14:textId="77777777" w:rsidR="008F7600" w:rsidRPr="00C83FAF" w:rsidRDefault="008F7600" w:rsidP="00286C4F">
            <w:pPr>
              <w:spacing w:after="0" w:line="240" w:lineRule="auto"/>
              <w:ind w:firstLine="0"/>
              <w:jc w:val="left"/>
              <w:rPr>
                <w:rFonts w:ascii="Arial" w:eastAsia="Times New Roman" w:hAnsi="Arial" w:cs="Arial"/>
                <w:color w:val="000000"/>
                <w:sz w:val="20"/>
                <w:szCs w:val="20"/>
                <w:lang w:eastAsia="pt-BR"/>
              </w:rPr>
            </w:pPr>
            <w:r w:rsidRPr="00C83FAF">
              <w:rPr>
                <w:rFonts w:ascii="Arial" w:hAnsi="Arial" w:cs="Arial"/>
                <w:color w:val="000000"/>
                <w:sz w:val="20"/>
                <w:szCs w:val="20"/>
              </w:rPr>
              <w:t>Log of Mean Total Public Exp 2013-2017</w:t>
            </w:r>
          </w:p>
        </w:tc>
        <w:tc>
          <w:tcPr>
            <w:tcW w:w="2551" w:type="dxa"/>
            <w:tcBorders>
              <w:top w:val="single" w:sz="4" w:space="0" w:color="auto"/>
              <w:left w:val="nil"/>
              <w:bottom w:val="nil"/>
              <w:right w:val="nil"/>
            </w:tcBorders>
            <w:shd w:val="clear" w:color="auto" w:fill="auto"/>
            <w:noWrap/>
            <w:vAlign w:val="center"/>
            <w:hideMark/>
          </w:tcPr>
          <w:p w14:paraId="7DC49C07"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1.578</w:t>
            </w:r>
          </w:p>
        </w:tc>
        <w:tc>
          <w:tcPr>
            <w:tcW w:w="2404" w:type="dxa"/>
            <w:tcBorders>
              <w:top w:val="single" w:sz="4" w:space="0" w:color="auto"/>
              <w:left w:val="nil"/>
              <w:bottom w:val="nil"/>
              <w:right w:val="nil"/>
            </w:tcBorders>
            <w:shd w:val="clear" w:color="auto" w:fill="auto"/>
            <w:noWrap/>
            <w:vAlign w:val="center"/>
            <w:hideMark/>
          </w:tcPr>
          <w:p w14:paraId="7AA2AACE"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0.701</w:t>
            </w:r>
          </w:p>
        </w:tc>
        <w:tc>
          <w:tcPr>
            <w:tcW w:w="3125" w:type="dxa"/>
            <w:tcBorders>
              <w:top w:val="single" w:sz="4" w:space="0" w:color="auto"/>
              <w:left w:val="nil"/>
              <w:bottom w:val="nil"/>
              <w:right w:val="nil"/>
            </w:tcBorders>
            <w:shd w:val="clear" w:color="auto" w:fill="auto"/>
            <w:noWrap/>
            <w:vAlign w:val="center"/>
            <w:hideMark/>
          </w:tcPr>
          <w:p w14:paraId="4D7FA130"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0.399</w:t>
            </w:r>
          </w:p>
        </w:tc>
      </w:tr>
      <w:tr w:rsidR="008F7600" w:rsidRPr="00C83FAF" w14:paraId="50E3A570" w14:textId="77777777" w:rsidTr="00286C4F">
        <w:trPr>
          <w:trHeight w:val="288"/>
        </w:trPr>
        <w:tc>
          <w:tcPr>
            <w:tcW w:w="2552" w:type="dxa"/>
            <w:tcBorders>
              <w:top w:val="nil"/>
              <w:left w:val="nil"/>
              <w:right w:val="nil"/>
            </w:tcBorders>
            <w:shd w:val="clear" w:color="auto" w:fill="auto"/>
            <w:noWrap/>
            <w:vAlign w:val="center"/>
            <w:hideMark/>
          </w:tcPr>
          <w:p w14:paraId="1DF41361" w14:textId="77777777" w:rsidR="008F7600" w:rsidRPr="00C83FAF" w:rsidRDefault="008F7600" w:rsidP="00286C4F">
            <w:pPr>
              <w:spacing w:after="0" w:line="240" w:lineRule="auto"/>
              <w:ind w:firstLine="0"/>
              <w:jc w:val="left"/>
              <w:rPr>
                <w:rFonts w:ascii="Arial" w:eastAsia="Times New Roman" w:hAnsi="Arial" w:cs="Arial"/>
                <w:color w:val="000000"/>
                <w:sz w:val="20"/>
                <w:szCs w:val="20"/>
                <w:lang w:eastAsia="pt-BR"/>
              </w:rPr>
            </w:pPr>
            <w:r w:rsidRPr="00C83FAF">
              <w:rPr>
                <w:rFonts w:ascii="Arial" w:hAnsi="Arial" w:cs="Arial"/>
                <w:color w:val="000000"/>
                <w:sz w:val="20"/>
                <w:szCs w:val="20"/>
              </w:rPr>
              <w:t>Log of Mean Health Public Exp 2013-2017</w:t>
            </w:r>
          </w:p>
        </w:tc>
        <w:tc>
          <w:tcPr>
            <w:tcW w:w="2551" w:type="dxa"/>
            <w:tcBorders>
              <w:top w:val="nil"/>
              <w:left w:val="nil"/>
              <w:right w:val="nil"/>
            </w:tcBorders>
            <w:shd w:val="clear" w:color="auto" w:fill="auto"/>
            <w:noWrap/>
            <w:vAlign w:val="center"/>
            <w:hideMark/>
          </w:tcPr>
          <w:p w14:paraId="37983B18"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1.021</w:t>
            </w:r>
          </w:p>
        </w:tc>
        <w:tc>
          <w:tcPr>
            <w:tcW w:w="2404" w:type="dxa"/>
            <w:tcBorders>
              <w:top w:val="nil"/>
              <w:left w:val="nil"/>
              <w:right w:val="nil"/>
            </w:tcBorders>
            <w:shd w:val="clear" w:color="auto" w:fill="auto"/>
            <w:noWrap/>
            <w:vAlign w:val="center"/>
            <w:hideMark/>
          </w:tcPr>
          <w:p w14:paraId="661FCCCD"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0.628</w:t>
            </w:r>
          </w:p>
        </w:tc>
        <w:tc>
          <w:tcPr>
            <w:tcW w:w="3125" w:type="dxa"/>
            <w:tcBorders>
              <w:top w:val="nil"/>
              <w:left w:val="nil"/>
              <w:right w:val="nil"/>
            </w:tcBorders>
            <w:shd w:val="clear" w:color="auto" w:fill="auto"/>
            <w:noWrap/>
            <w:vAlign w:val="center"/>
            <w:hideMark/>
          </w:tcPr>
          <w:p w14:paraId="6D00C071"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0.441</w:t>
            </w:r>
          </w:p>
        </w:tc>
      </w:tr>
      <w:tr w:rsidR="008F7600" w:rsidRPr="00C83FAF" w14:paraId="07B2B371" w14:textId="77777777" w:rsidTr="00286C4F">
        <w:trPr>
          <w:trHeight w:val="288"/>
        </w:trPr>
        <w:tc>
          <w:tcPr>
            <w:tcW w:w="2552" w:type="dxa"/>
            <w:tcBorders>
              <w:top w:val="nil"/>
              <w:left w:val="nil"/>
              <w:bottom w:val="single" w:sz="4" w:space="0" w:color="auto"/>
              <w:right w:val="nil"/>
            </w:tcBorders>
            <w:shd w:val="clear" w:color="auto" w:fill="auto"/>
            <w:noWrap/>
            <w:vAlign w:val="center"/>
            <w:hideMark/>
          </w:tcPr>
          <w:p w14:paraId="484E933A" w14:textId="77777777" w:rsidR="008F7600" w:rsidRPr="00C83FAF" w:rsidRDefault="008F7600" w:rsidP="00286C4F">
            <w:pPr>
              <w:spacing w:after="0" w:line="240" w:lineRule="auto"/>
              <w:ind w:firstLine="0"/>
              <w:jc w:val="left"/>
              <w:rPr>
                <w:rFonts w:ascii="Arial" w:eastAsia="Times New Roman" w:hAnsi="Arial" w:cs="Arial"/>
                <w:color w:val="000000"/>
                <w:sz w:val="20"/>
                <w:szCs w:val="20"/>
                <w:lang w:eastAsia="pt-BR"/>
              </w:rPr>
            </w:pPr>
            <w:r w:rsidRPr="00C83FAF">
              <w:rPr>
                <w:rFonts w:ascii="Arial" w:hAnsi="Arial" w:cs="Arial"/>
                <w:color w:val="000000"/>
                <w:sz w:val="20"/>
                <w:szCs w:val="20"/>
              </w:rPr>
              <w:t>Log of Mean Other Sec Public Exp 2013-2017</w:t>
            </w:r>
          </w:p>
        </w:tc>
        <w:tc>
          <w:tcPr>
            <w:tcW w:w="2551" w:type="dxa"/>
            <w:tcBorders>
              <w:top w:val="nil"/>
              <w:left w:val="nil"/>
              <w:bottom w:val="single" w:sz="4" w:space="0" w:color="auto"/>
              <w:right w:val="nil"/>
            </w:tcBorders>
            <w:shd w:val="clear" w:color="auto" w:fill="auto"/>
            <w:noWrap/>
            <w:vAlign w:val="center"/>
            <w:hideMark/>
          </w:tcPr>
          <w:p w14:paraId="0972F43C"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1.65</w:t>
            </w:r>
          </w:p>
        </w:tc>
        <w:tc>
          <w:tcPr>
            <w:tcW w:w="2404" w:type="dxa"/>
            <w:tcBorders>
              <w:top w:val="nil"/>
              <w:left w:val="nil"/>
              <w:bottom w:val="single" w:sz="4" w:space="0" w:color="auto"/>
              <w:right w:val="nil"/>
            </w:tcBorders>
            <w:shd w:val="clear" w:color="auto" w:fill="auto"/>
            <w:noWrap/>
            <w:vAlign w:val="center"/>
            <w:hideMark/>
          </w:tcPr>
          <w:p w14:paraId="1A10654F"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0.657</w:t>
            </w:r>
          </w:p>
        </w:tc>
        <w:tc>
          <w:tcPr>
            <w:tcW w:w="3125" w:type="dxa"/>
            <w:tcBorders>
              <w:top w:val="nil"/>
              <w:left w:val="nil"/>
              <w:bottom w:val="single" w:sz="4" w:space="0" w:color="auto"/>
              <w:right w:val="nil"/>
            </w:tcBorders>
            <w:shd w:val="clear" w:color="auto" w:fill="auto"/>
            <w:noWrap/>
            <w:vAlign w:val="center"/>
            <w:hideMark/>
          </w:tcPr>
          <w:p w14:paraId="020B546E" w14:textId="77777777" w:rsidR="008F7600" w:rsidRPr="00C83FAF" w:rsidRDefault="008F7600" w:rsidP="00286C4F">
            <w:pPr>
              <w:spacing w:after="0" w:line="240" w:lineRule="auto"/>
              <w:ind w:firstLine="0"/>
              <w:jc w:val="center"/>
              <w:rPr>
                <w:rFonts w:ascii="Arial" w:eastAsia="Times New Roman" w:hAnsi="Arial" w:cs="Arial"/>
                <w:color w:val="000000"/>
                <w:sz w:val="20"/>
                <w:szCs w:val="20"/>
                <w:lang w:val="pt-BR" w:eastAsia="pt-BR"/>
              </w:rPr>
            </w:pPr>
            <w:r w:rsidRPr="00C83FAF">
              <w:rPr>
                <w:rFonts w:ascii="Arial" w:hAnsi="Arial" w:cs="Arial"/>
                <w:color w:val="000000"/>
                <w:sz w:val="20"/>
                <w:szCs w:val="20"/>
              </w:rPr>
              <w:t>0.429</w:t>
            </w:r>
          </w:p>
        </w:tc>
      </w:tr>
    </w:tbl>
    <w:p w14:paraId="6D9AA15C" w14:textId="77777777" w:rsidR="008F7600" w:rsidRDefault="008F7600" w:rsidP="008F7600">
      <w:pPr>
        <w:pStyle w:val="NoSpacing"/>
        <w:ind w:firstLine="0"/>
        <w:rPr>
          <w:rFonts w:ascii="Arial" w:hAnsi="Arial" w:cs="Arial"/>
          <w:sz w:val="20"/>
          <w:szCs w:val="20"/>
        </w:rPr>
      </w:pPr>
      <w:r w:rsidRPr="00C83FAF">
        <w:rPr>
          <w:rFonts w:ascii="Arial" w:hAnsi="Arial" w:cs="Arial"/>
          <w:sz w:val="20"/>
          <w:szCs w:val="20"/>
        </w:rPr>
        <w:t>Legend: Log of Mean Total Public Exp 2013-2017: Natural logarithm of average</w:t>
      </w:r>
      <w:r>
        <w:rPr>
          <w:rFonts w:ascii="Arial" w:hAnsi="Arial" w:cs="Arial"/>
          <w:sz w:val="20"/>
          <w:szCs w:val="20"/>
        </w:rPr>
        <w:t xml:space="preserve"> </w:t>
      </w:r>
      <w:r w:rsidRPr="00C86E8E">
        <w:rPr>
          <w:rFonts w:ascii="Arial" w:hAnsi="Arial" w:cs="Arial"/>
          <w:sz w:val="20"/>
          <w:szCs w:val="20"/>
        </w:rPr>
        <w:t>public expenditure</w:t>
      </w:r>
      <w:r>
        <w:rPr>
          <w:rFonts w:ascii="Arial" w:hAnsi="Arial" w:cs="Arial"/>
          <w:sz w:val="20"/>
          <w:szCs w:val="20"/>
        </w:rPr>
        <w:t xml:space="preserve"> per capita </w:t>
      </w:r>
      <w:r w:rsidRPr="00C86E8E">
        <w:rPr>
          <w:rFonts w:ascii="Arial" w:hAnsi="Arial" w:cs="Arial"/>
          <w:sz w:val="20"/>
          <w:szCs w:val="20"/>
        </w:rPr>
        <w:t>of the years 201</w:t>
      </w:r>
      <w:r>
        <w:rPr>
          <w:rFonts w:ascii="Arial" w:hAnsi="Arial" w:cs="Arial"/>
          <w:sz w:val="20"/>
          <w:szCs w:val="20"/>
        </w:rPr>
        <w:t xml:space="preserve">3 to </w:t>
      </w:r>
      <w:r w:rsidRPr="00C86E8E">
        <w:rPr>
          <w:rFonts w:ascii="Arial" w:hAnsi="Arial" w:cs="Arial"/>
          <w:sz w:val="20"/>
          <w:szCs w:val="20"/>
        </w:rPr>
        <w:t>201</w:t>
      </w:r>
      <w:r>
        <w:rPr>
          <w:rFonts w:ascii="Arial" w:hAnsi="Arial" w:cs="Arial"/>
          <w:sz w:val="20"/>
          <w:szCs w:val="20"/>
        </w:rPr>
        <w:t>7; Log of Mean Health Public Exp 2013-2017: Natural logarithm of average</w:t>
      </w:r>
      <w:r w:rsidRPr="00C86E8E">
        <w:rPr>
          <w:rFonts w:ascii="Arial" w:hAnsi="Arial" w:cs="Arial"/>
          <w:sz w:val="20"/>
          <w:szCs w:val="20"/>
        </w:rPr>
        <w:t xml:space="preserve"> health public expenditure</w:t>
      </w:r>
      <w:r>
        <w:rPr>
          <w:rFonts w:ascii="Arial" w:hAnsi="Arial" w:cs="Arial"/>
          <w:sz w:val="20"/>
          <w:szCs w:val="20"/>
        </w:rPr>
        <w:t xml:space="preserve"> per capita </w:t>
      </w:r>
      <w:r w:rsidRPr="00C86E8E">
        <w:rPr>
          <w:rFonts w:ascii="Arial" w:hAnsi="Arial" w:cs="Arial"/>
          <w:sz w:val="20"/>
          <w:szCs w:val="20"/>
        </w:rPr>
        <w:t>of the years 201</w:t>
      </w:r>
      <w:r>
        <w:rPr>
          <w:rFonts w:ascii="Arial" w:hAnsi="Arial" w:cs="Arial"/>
          <w:sz w:val="20"/>
          <w:szCs w:val="20"/>
        </w:rPr>
        <w:t xml:space="preserve">3 to </w:t>
      </w:r>
      <w:r w:rsidRPr="00C86E8E">
        <w:rPr>
          <w:rFonts w:ascii="Arial" w:hAnsi="Arial" w:cs="Arial"/>
          <w:sz w:val="20"/>
          <w:szCs w:val="20"/>
        </w:rPr>
        <w:t>201</w:t>
      </w:r>
      <w:r>
        <w:rPr>
          <w:rFonts w:ascii="Arial" w:hAnsi="Arial" w:cs="Arial"/>
          <w:sz w:val="20"/>
          <w:szCs w:val="20"/>
        </w:rPr>
        <w:t>7; Log of Mean Other Sec Public Exp 2013-2017: Natural logarithm of average</w:t>
      </w:r>
      <w:r w:rsidRPr="00C86E8E">
        <w:rPr>
          <w:rFonts w:ascii="Arial" w:hAnsi="Arial" w:cs="Arial"/>
          <w:sz w:val="20"/>
          <w:szCs w:val="20"/>
        </w:rPr>
        <w:t xml:space="preserve"> public expenditure in other sectors than health</w:t>
      </w:r>
      <w:r>
        <w:rPr>
          <w:rFonts w:ascii="Arial" w:hAnsi="Arial" w:cs="Arial"/>
          <w:sz w:val="20"/>
          <w:szCs w:val="20"/>
        </w:rPr>
        <w:t xml:space="preserve"> per capita </w:t>
      </w:r>
      <w:r w:rsidRPr="00C86E8E">
        <w:rPr>
          <w:rFonts w:ascii="Arial" w:hAnsi="Arial" w:cs="Arial"/>
          <w:sz w:val="20"/>
          <w:szCs w:val="20"/>
        </w:rPr>
        <w:t>of the years 201</w:t>
      </w:r>
      <w:r>
        <w:rPr>
          <w:rFonts w:ascii="Arial" w:hAnsi="Arial" w:cs="Arial"/>
          <w:sz w:val="20"/>
          <w:szCs w:val="20"/>
        </w:rPr>
        <w:t xml:space="preserve">3 to </w:t>
      </w:r>
      <w:r w:rsidRPr="00C86E8E">
        <w:rPr>
          <w:rFonts w:ascii="Arial" w:hAnsi="Arial" w:cs="Arial"/>
          <w:sz w:val="20"/>
          <w:szCs w:val="20"/>
        </w:rPr>
        <w:t>201</w:t>
      </w:r>
      <w:r>
        <w:rPr>
          <w:rFonts w:ascii="Arial" w:hAnsi="Arial" w:cs="Arial"/>
          <w:sz w:val="20"/>
          <w:szCs w:val="20"/>
        </w:rPr>
        <w:t>7.</w:t>
      </w:r>
    </w:p>
    <w:p w14:paraId="602D36CE" w14:textId="77777777" w:rsidR="008F7600" w:rsidRDefault="008F7600" w:rsidP="008F7600">
      <w:pPr>
        <w:spacing w:after="0" w:line="240" w:lineRule="auto"/>
        <w:ind w:firstLine="0"/>
        <w:jc w:val="left"/>
        <w:rPr>
          <w:rFonts w:ascii="Arial" w:hAnsi="Arial" w:cs="Arial"/>
          <w:sz w:val="20"/>
          <w:szCs w:val="20"/>
        </w:rPr>
      </w:pPr>
      <w:r>
        <w:rPr>
          <w:rFonts w:ascii="Arial" w:hAnsi="Arial" w:cs="Arial"/>
          <w:sz w:val="20"/>
          <w:szCs w:val="20"/>
        </w:rPr>
        <w:br w:type="page"/>
      </w:r>
    </w:p>
    <w:p w14:paraId="372AE583" w14:textId="5EE1FAB2" w:rsidR="00285AB8" w:rsidRDefault="00285AB8" w:rsidP="008F7600">
      <w:pPr>
        <w:pStyle w:val="NoSpacing"/>
        <w:ind w:firstLine="0"/>
        <w:rPr>
          <w:rFonts w:ascii="Arial" w:hAnsi="Arial" w:cs="Arial"/>
          <w:noProof/>
          <w:szCs w:val="24"/>
          <w:lang w:val="pt-BR" w:eastAsia="pt-BR"/>
        </w:rPr>
      </w:pPr>
      <w:r>
        <w:rPr>
          <w:rFonts w:ascii="Arial" w:hAnsi="Arial" w:cs="Arial"/>
          <w:noProof/>
          <w:szCs w:val="24"/>
        </w:rPr>
        <w:lastRenderedPageBreak/>
        <w:drawing>
          <wp:inline distT="0" distB="0" distL="0" distR="0" wp14:anchorId="1E5B773A" wp14:editId="1EC48D40">
            <wp:extent cx="8229600" cy="3295650"/>
            <wp:effectExtent l="0" t="0" r="0" b="0"/>
            <wp:docPr id="1" name="Imagem 1" descr="Diagrama, Histogram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 Histograma&#10;&#10;Descrição gerada automaticamente com confiança média"/>
                    <pic:cNvPicPr/>
                  </pic:nvPicPr>
                  <pic:blipFill>
                    <a:blip r:embed="rId5">
                      <a:extLst>
                        <a:ext uri="{28A0092B-C50C-407E-A947-70E740481C1C}">
                          <a14:useLocalDpi xmlns:a14="http://schemas.microsoft.com/office/drawing/2010/main" val="0"/>
                        </a:ext>
                      </a:extLst>
                    </a:blip>
                    <a:stretch>
                      <a:fillRect/>
                    </a:stretch>
                  </pic:blipFill>
                  <pic:spPr>
                    <a:xfrm>
                      <a:off x="0" y="0"/>
                      <a:ext cx="8229600" cy="3295650"/>
                    </a:xfrm>
                    <a:prstGeom prst="rect">
                      <a:avLst/>
                    </a:prstGeom>
                  </pic:spPr>
                </pic:pic>
              </a:graphicData>
            </a:graphic>
          </wp:inline>
        </w:drawing>
      </w:r>
    </w:p>
    <w:p w14:paraId="419C5939" w14:textId="036E3D1B" w:rsidR="008F7600" w:rsidRPr="00772C58" w:rsidRDefault="008F7600" w:rsidP="008F7600">
      <w:pPr>
        <w:pStyle w:val="NoSpacing"/>
        <w:ind w:firstLine="0"/>
        <w:rPr>
          <w:rFonts w:ascii="Arial" w:hAnsi="Arial" w:cs="Arial"/>
          <w:szCs w:val="24"/>
        </w:rPr>
      </w:pPr>
      <w:r w:rsidRPr="005B5C1D">
        <w:rPr>
          <w:rFonts w:ascii="Arial" w:hAnsi="Arial" w:cs="Arial"/>
          <w:szCs w:val="24"/>
        </w:rPr>
        <w:t xml:space="preserve">Figure </w:t>
      </w:r>
      <w:r w:rsidR="005B5C1D" w:rsidRPr="005B5C1D">
        <w:rPr>
          <w:rFonts w:ascii="Arial" w:hAnsi="Arial" w:cs="Arial"/>
          <w:szCs w:val="24"/>
        </w:rPr>
        <w:t>S</w:t>
      </w:r>
      <w:r w:rsidRPr="005B5C1D">
        <w:rPr>
          <w:rFonts w:ascii="Arial" w:hAnsi="Arial" w:cs="Arial"/>
          <w:szCs w:val="24"/>
        </w:rPr>
        <w:t>1: Density plots of the missing variables imputation</w:t>
      </w:r>
      <w:r w:rsidRPr="00DD01A7">
        <w:rPr>
          <w:rFonts w:ascii="Arial" w:hAnsi="Arial" w:cs="Arial"/>
          <w:sz w:val="20"/>
          <w:szCs w:val="20"/>
        </w:rPr>
        <w:t>.</w:t>
      </w:r>
    </w:p>
    <w:p w14:paraId="44B234DC" w14:textId="77777777" w:rsidR="005B5C1D" w:rsidRDefault="005B5C1D" w:rsidP="008F7600">
      <w:pPr>
        <w:pStyle w:val="NoSpacing"/>
        <w:ind w:firstLine="0"/>
        <w:rPr>
          <w:rFonts w:ascii="Arial" w:hAnsi="Arial" w:cs="Arial"/>
          <w:sz w:val="20"/>
          <w:szCs w:val="20"/>
        </w:rPr>
      </w:pPr>
    </w:p>
    <w:p w14:paraId="2CADE565" w14:textId="07A20EC2" w:rsidR="00EA278B" w:rsidRPr="005B5C1D" w:rsidRDefault="008F7600" w:rsidP="005B5C1D">
      <w:pPr>
        <w:pStyle w:val="NoSpacing"/>
        <w:ind w:firstLine="0"/>
        <w:rPr>
          <w:rFonts w:ascii="Arial" w:hAnsi="Arial" w:cs="Arial"/>
          <w:sz w:val="20"/>
          <w:szCs w:val="20"/>
        </w:rPr>
      </w:pPr>
      <w:r w:rsidRPr="00DD01A7">
        <w:rPr>
          <w:rFonts w:ascii="Arial" w:hAnsi="Arial" w:cs="Arial"/>
          <w:sz w:val="20"/>
          <w:szCs w:val="20"/>
        </w:rPr>
        <w:t xml:space="preserve">Legend: The density of the imputed data for each data set is in red and that of the observed data in blue. GINI_LAGGED: Gini Index; POVERTY_GAP_LAGGED: Income deficit of US$ 1.90; INFLATION_LAGGED: Inflation, consumer price ; </w:t>
      </w:r>
      <w:r w:rsidR="00285AB8">
        <w:rPr>
          <w:rFonts w:ascii="Arial" w:hAnsi="Arial" w:cs="Arial"/>
          <w:sz w:val="20"/>
          <w:szCs w:val="20"/>
        </w:rPr>
        <w:t xml:space="preserve">BASIC_WATER_LAGGED: </w:t>
      </w:r>
      <w:r w:rsidR="00285AB8" w:rsidRPr="00D55291">
        <w:rPr>
          <w:rFonts w:ascii="Arial" w:hAnsi="Arial" w:cs="Arial"/>
          <w:bCs/>
          <w:sz w:val="20"/>
          <w:szCs w:val="20"/>
        </w:rPr>
        <w:t>Percentage of people using basic drinking water services</w:t>
      </w:r>
      <w:r w:rsidR="00285AB8">
        <w:rPr>
          <w:rFonts w:ascii="Arial" w:hAnsi="Arial" w:cs="Arial"/>
          <w:bCs/>
          <w:sz w:val="20"/>
          <w:szCs w:val="20"/>
        </w:rPr>
        <w:t>;</w:t>
      </w:r>
      <w:r w:rsidR="00285AB8" w:rsidRPr="00DD01A7">
        <w:rPr>
          <w:rFonts w:ascii="Arial" w:hAnsi="Arial" w:cs="Arial"/>
          <w:sz w:val="20"/>
          <w:szCs w:val="20"/>
        </w:rPr>
        <w:t xml:space="preserve"> </w:t>
      </w:r>
      <w:r w:rsidRPr="00DD01A7">
        <w:rPr>
          <w:rFonts w:ascii="Arial" w:hAnsi="Arial" w:cs="Arial"/>
          <w:sz w:val="20"/>
          <w:szCs w:val="20"/>
        </w:rPr>
        <w:t>SCHOOL_FEM_LAGGED:</w:t>
      </w:r>
      <w:r>
        <w:rPr>
          <w:rFonts w:ascii="Arial" w:hAnsi="Arial" w:cs="Arial"/>
          <w:sz w:val="20"/>
          <w:szCs w:val="20"/>
        </w:rPr>
        <w:t xml:space="preserve"> </w:t>
      </w:r>
      <w:r w:rsidRPr="00DD01A7">
        <w:rPr>
          <w:rFonts w:ascii="Arial" w:hAnsi="Arial" w:cs="Arial"/>
          <w:bCs/>
          <w:sz w:val="20"/>
          <w:szCs w:val="20"/>
        </w:rPr>
        <w:t>Secondary school life expectancy among women</w:t>
      </w:r>
      <w:r w:rsidRPr="00DD01A7">
        <w:rPr>
          <w:rFonts w:ascii="Arial" w:hAnsi="Arial" w:cs="Arial"/>
          <w:sz w:val="20"/>
          <w:szCs w:val="20"/>
        </w:rPr>
        <w:t xml:space="preserve">; </w:t>
      </w:r>
      <w:r w:rsidR="00285AB8">
        <w:rPr>
          <w:rFonts w:ascii="Arial" w:hAnsi="Arial" w:cs="Arial"/>
          <w:sz w:val="20"/>
          <w:szCs w:val="20"/>
        </w:rPr>
        <w:t>WOMEN_PARLIAMENT_LAGED:</w:t>
      </w:r>
      <w:r w:rsidR="00285AB8" w:rsidRPr="00285AB8">
        <w:t xml:space="preserve"> </w:t>
      </w:r>
      <w:r w:rsidR="00285AB8">
        <w:t xml:space="preserve"> </w:t>
      </w:r>
      <w:r w:rsidR="00285AB8" w:rsidRPr="00285AB8">
        <w:rPr>
          <w:rFonts w:ascii="Arial" w:hAnsi="Arial" w:cs="Arial"/>
          <w:sz w:val="20"/>
          <w:szCs w:val="20"/>
        </w:rPr>
        <w:t>Proportion of seats held by women in national parliaments</w:t>
      </w:r>
      <w:r w:rsidR="00285AB8">
        <w:rPr>
          <w:rFonts w:ascii="Arial" w:hAnsi="Arial" w:cs="Arial"/>
          <w:sz w:val="20"/>
          <w:szCs w:val="20"/>
        </w:rPr>
        <w:t xml:space="preserve">; </w:t>
      </w:r>
      <w:r w:rsidRPr="00DD01A7">
        <w:rPr>
          <w:rFonts w:ascii="Arial" w:hAnsi="Arial" w:cs="Arial"/>
          <w:sz w:val="20"/>
          <w:szCs w:val="20"/>
        </w:rPr>
        <w:t xml:space="preserve">SCHOOL_LIFE_EXP_LAGGED: </w:t>
      </w:r>
      <w:r w:rsidRPr="00DD01A7">
        <w:rPr>
          <w:rFonts w:ascii="Arial" w:hAnsi="Arial" w:cs="Arial"/>
          <w:bCs/>
          <w:sz w:val="20"/>
          <w:szCs w:val="20"/>
        </w:rPr>
        <w:t>Secondary life school expectancy, for both sexes</w:t>
      </w:r>
      <w:r w:rsidRPr="00DD01A7">
        <w:rPr>
          <w:rFonts w:ascii="Arial" w:hAnsi="Arial" w:cs="Arial"/>
          <w:sz w:val="20"/>
          <w:szCs w:val="20"/>
        </w:rPr>
        <w:t xml:space="preserve">; OUT_OF_SCHOOL_LAGGED: </w:t>
      </w:r>
      <w:r w:rsidRPr="00DD01A7">
        <w:rPr>
          <w:rFonts w:ascii="Arial" w:hAnsi="Arial" w:cs="Arial"/>
          <w:bCs/>
          <w:sz w:val="20"/>
          <w:szCs w:val="20"/>
        </w:rPr>
        <w:t>Percentage of adolescents at high school age who are out of school</w:t>
      </w:r>
      <w:r w:rsidRPr="00DD01A7">
        <w:rPr>
          <w:rFonts w:ascii="Arial" w:hAnsi="Arial" w:cs="Arial"/>
          <w:sz w:val="20"/>
          <w:szCs w:val="20"/>
        </w:rPr>
        <w:t xml:space="preserve">; UNDERNOURISHMENT_LAGGED: </w:t>
      </w:r>
      <w:r w:rsidRPr="00DD01A7">
        <w:rPr>
          <w:rFonts w:ascii="Arial" w:hAnsi="Arial" w:cs="Arial"/>
          <w:bCs/>
          <w:sz w:val="20"/>
          <w:szCs w:val="20"/>
        </w:rPr>
        <w:t>Malnutrition rate</w:t>
      </w:r>
      <w:r w:rsidRPr="00DD01A7">
        <w:rPr>
          <w:rFonts w:ascii="Arial" w:hAnsi="Arial" w:cs="Arial"/>
          <w:sz w:val="20"/>
          <w:szCs w:val="20"/>
        </w:rPr>
        <w:t xml:space="preserve">; DOCTORS_LAGGED: </w:t>
      </w:r>
      <w:r w:rsidRPr="00DD01A7">
        <w:rPr>
          <w:rFonts w:ascii="Arial" w:hAnsi="Arial" w:cs="Arial"/>
          <w:bCs/>
          <w:sz w:val="20"/>
          <w:szCs w:val="20"/>
        </w:rPr>
        <w:t>Doctors per 1000 inhabitants’ rate</w:t>
      </w:r>
      <w:r w:rsidRPr="00DD01A7">
        <w:rPr>
          <w:rFonts w:ascii="Arial" w:hAnsi="Arial" w:cs="Arial"/>
          <w:sz w:val="20"/>
          <w:szCs w:val="20"/>
        </w:rPr>
        <w:t xml:space="preserve">; DELIVERY_ASSISTANCE_LAGGED: </w:t>
      </w:r>
      <w:r w:rsidRPr="00DD01A7">
        <w:rPr>
          <w:rFonts w:ascii="Arial" w:hAnsi="Arial" w:cs="Arial"/>
          <w:bCs/>
          <w:sz w:val="20"/>
          <w:szCs w:val="20"/>
        </w:rPr>
        <w:t>Births attended by a qualified health professional</w:t>
      </w:r>
      <w:r w:rsidRPr="00DD01A7">
        <w:rPr>
          <w:rFonts w:ascii="Arial" w:hAnsi="Arial" w:cs="Arial"/>
          <w:sz w:val="20"/>
          <w:szCs w:val="20"/>
        </w:rPr>
        <w:t xml:space="preserve">; AIDS_PREVALENCE_LAGGED: </w:t>
      </w:r>
      <w:r w:rsidRPr="00DD01A7">
        <w:rPr>
          <w:rFonts w:ascii="Arial" w:hAnsi="Arial" w:cs="Arial"/>
          <w:bCs/>
          <w:sz w:val="20"/>
          <w:szCs w:val="20"/>
        </w:rPr>
        <w:t>HIV prevalence</w:t>
      </w:r>
      <w:r w:rsidRPr="00DD01A7">
        <w:rPr>
          <w:rFonts w:ascii="Arial" w:hAnsi="Arial" w:cs="Arial"/>
          <w:sz w:val="20"/>
          <w:szCs w:val="20"/>
        </w:rPr>
        <w:t xml:space="preserve">; MALARIA_INCIDENCE_LAGGED: </w:t>
      </w:r>
      <w:r w:rsidRPr="00DD01A7">
        <w:rPr>
          <w:rFonts w:ascii="Arial" w:hAnsi="Arial" w:cs="Arial"/>
          <w:bCs/>
          <w:sz w:val="20"/>
          <w:szCs w:val="20"/>
        </w:rPr>
        <w:t>Malaria incidence</w:t>
      </w:r>
      <w:r w:rsidRPr="00DD01A7">
        <w:rPr>
          <w:rFonts w:ascii="Arial" w:hAnsi="Arial" w:cs="Arial"/>
          <w:sz w:val="20"/>
          <w:szCs w:val="20"/>
        </w:rPr>
        <w:t xml:space="preserve">; HOSPITAL_BEDS_LAGGED: </w:t>
      </w:r>
      <w:r w:rsidRPr="00DD01A7">
        <w:rPr>
          <w:rFonts w:ascii="Arial" w:hAnsi="Arial" w:cs="Arial"/>
          <w:bCs/>
          <w:sz w:val="20"/>
          <w:szCs w:val="20"/>
        </w:rPr>
        <w:t>Hospital beds per 1000 inhabitants’ rate</w:t>
      </w:r>
      <w:r w:rsidRPr="00DD01A7">
        <w:rPr>
          <w:rFonts w:ascii="Arial" w:hAnsi="Arial" w:cs="Arial"/>
          <w:sz w:val="20"/>
          <w:szCs w:val="20"/>
        </w:rPr>
        <w:t xml:space="preserve">; ELECTRICITY_LAGGED: </w:t>
      </w:r>
      <w:r w:rsidRPr="00DD01A7">
        <w:rPr>
          <w:rFonts w:ascii="Arial" w:hAnsi="Arial" w:cs="Arial"/>
          <w:bCs/>
          <w:sz w:val="20"/>
          <w:szCs w:val="20"/>
        </w:rPr>
        <w:t>Percentage of population with access to electricity</w:t>
      </w:r>
      <w:r w:rsidRPr="00DD01A7">
        <w:rPr>
          <w:rFonts w:ascii="Arial" w:hAnsi="Arial" w:cs="Arial"/>
          <w:sz w:val="20"/>
          <w:szCs w:val="20"/>
        </w:rPr>
        <w:t>.</w:t>
      </w:r>
    </w:p>
    <w:sectPr w:rsidR="00EA278B" w:rsidRPr="005B5C1D" w:rsidSect="00E21A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I0N7YwszA3NrGwsDRX0lEKTi0uzszPAykwqgUAcZwMXSwAAAA="/>
  </w:docVars>
  <w:rsids>
    <w:rsidRoot w:val="008F7600"/>
    <w:rsid w:val="0003600A"/>
    <w:rsid w:val="0012217A"/>
    <w:rsid w:val="00282831"/>
    <w:rsid w:val="00285AB8"/>
    <w:rsid w:val="003B007B"/>
    <w:rsid w:val="005B5C1D"/>
    <w:rsid w:val="00816381"/>
    <w:rsid w:val="00890B6B"/>
    <w:rsid w:val="008F7600"/>
    <w:rsid w:val="00A518B8"/>
    <w:rsid w:val="00D458C7"/>
    <w:rsid w:val="00E21AD9"/>
    <w:rsid w:val="00EA278B"/>
    <w:rsid w:val="00F26B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9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600"/>
    <w:pPr>
      <w:spacing w:after="200" w:line="360" w:lineRule="auto"/>
      <w:ind w:firstLine="720"/>
      <w:jc w:val="both"/>
    </w:pPr>
    <w:rPr>
      <w:rFonts w:asciiTheme="majorHAnsi" w:eastAsia="Calibri" w:hAnsiTheme="majorHAnsi" w:cs="Times New Roman"/>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7600"/>
    <w:pPr>
      <w:ind w:firstLine="720"/>
      <w:jc w:val="both"/>
    </w:pPr>
    <w:rPr>
      <w:rFonts w:asciiTheme="majorHAnsi" w:eastAsia="Calibri" w:hAnsiTheme="majorHAnsi" w:cs="Times New Roman"/>
      <w:szCs w:val="22"/>
      <w:lang w:val="en-US"/>
    </w:rPr>
  </w:style>
  <w:style w:type="character" w:styleId="LineNumber">
    <w:name w:val="line number"/>
    <w:basedOn w:val="DefaultParagraphFont"/>
    <w:uiPriority w:val="99"/>
    <w:semiHidden/>
    <w:unhideWhenUsed/>
    <w:rsid w:val="00890B6B"/>
  </w:style>
  <w:style w:type="table" w:styleId="TableGrid">
    <w:name w:val="Table Grid"/>
    <w:basedOn w:val="TableNormal"/>
    <w:uiPriority w:val="39"/>
    <w:rsid w:val="00282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1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AD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600"/>
    <w:pPr>
      <w:spacing w:after="200" w:line="360" w:lineRule="auto"/>
      <w:ind w:firstLine="720"/>
      <w:jc w:val="both"/>
    </w:pPr>
    <w:rPr>
      <w:rFonts w:asciiTheme="majorHAnsi" w:eastAsia="Calibri" w:hAnsiTheme="majorHAnsi" w:cs="Times New Roman"/>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7600"/>
    <w:pPr>
      <w:ind w:firstLine="720"/>
      <w:jc w:val="both"/>
    </w:pPr>
    <w:rPr>
      <w:rFonts w:asciiTheme="majorHAnsi" w:eastAsia="Calibri" w:hAnsiTheme="majorHAnsi" w:cs="Times New Roman"/>
      <w:szCs w:val="22"/>
      <w:lang w:val="en-US"/>
    </w:rPr>
  </w:style>
  <w:style w:type="character" w:styleId="LineNumber">
    <w:name w:val="line number"/>
    <w:basedOn w:val="DefaultParagraphFont"/>
    <w:uiPriority w:val="99"/>
    <w:semiHidden/>
    <w:unhideWhenUsed/>
    <w:rsid w:val="00890B6B"/>
  </w:style>
  <w:style w:type="table" w:styleId="TableGrid">
    <w:name w:val="Table Grid"/>
    <w:basedOn w:val="TableNormal"/>
    <w:uiPriority w:val="39"/>
    <w:rsid w:val="00282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1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AD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2833</Words>
  <Characters>16149</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jefferson.traebert jefferson.traebert</dc:creator>
  <cp:keywords/>
  <dc:description/>
  <cp:lastModifiedBy>E754049</cp:lastModifiedBy>
  <cp:revision>3</cp:revision>
  <dcterms:created xsi:type="dcterms:W3CDTF">2023-04-09T22:43:00Z</dcterms:created>
  <dcterms:modified xsi:type="dcterms:W3CDTF">2023-04-18T03:25:00Z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5aeb04af848260b831189054dff1b6b0f666e9a6e40d0d8463750df4b305b22d</vt:lpwstr>
  </property>
</Properties>
</file>