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1BED2A" w14:textId="75CD91F4" w:rsidR="00375E1D" w:rsidRPr="00E1306D" w:rsidRDefault="00E1306D">
      <w:pPr>
        <w:rPr>
          <w:b/>
          <w:bCs/>
        </w:rPr>
      </w:pPr>
      <w:r w:rsidRPr="00E1306D">
        <w:rPr>
          <w:b/>
          <w:bCs/>
        </w:rPr>
        <w:t xml:space="preserve">Supplementary Table </w:t>
      </w:r>
      <w:r w:rsidR="005570C0">
        <w:rPr>
          <w:b/>
          <w:bCs/>
        </w:rPr>
        <w:t>4</w:t>
      </w:r>
      <w:r>
        <w:rPr>
          <w:b/>
          <w:bCs/>
        </w:rPr>
        <w:t xml:space="preserve"> Results of the critical appraisal of </w:t>
      </w:r>
      <w:r w:rsidR="00B40614">
        <w:rPr>
          <w:b/>
          <w:bCs/>
        </w:rPr>
        <w:t>co</w:t>
      </w:r>
      <w:r w:rsidR="0086268E">
        <w:rPr>
          <w:b/>
          <w:bCs/>
        </w:rPr>
        <w:t xml:space="preserve">hort </w:t>
      </w:r>
      <w:r>
        <w:rPr>
          <w:b/>
          <w:bCs/>
        </w:rPr>
        <w:t xml:space="preserve">studies </w:t>
      </w:r>
    </w:p>
    <w:tbl>
      <w:tblPr>
        <w:tblStyle w:val="TableGrid"/>
        <w:tblW w:w="5802" w:type="pct"/>
        <w:tblInd w:w="-1139" w:type="dxa"/>
        <w:tblLayout w:type="fixed"/>
        <w:tblLook w:val="04A0" w:firstRow="1" w:lastRow="0" w:firstColumn="1" w:lastColumn="0" w:noHBand="0" w:noVBand="1"/>
      </w:tblPr>
      <w:tblGrid>
        <w:gridCol w:w="1561"/>
        <w:gridCol w:w="1133"/>
        <w:gridCol w:w="1274"/>
        <w:gridCol w:w="995"/>
        <w:gridCol w:w="1133"/>
        <w:gridCol w:w="1133"/>
        <w:gridCol w:w="1277"/>
        <w:gridCol w:w="1133"/>
        <w:gridCol w:w="1133"/>
        <w:gridCol w:w="1136"/>
        <w:gridCol w:w="1274"/>
        <w:gridCol w:w="1136"/>
        <w:gridCol w:w="709"/>
      </w:tblGrid>
      <w:tr w:rsidR="004A1280" w:rsidRPr="00D32133" w14:paraId="322BAC0E" w14:textId="052386CD" w:rsidTr="00B40614">
        <w:trPr>
          <w:trHeight w:val="456"/>
        </w:trPr>
        <w:tc>
          <w:tcPr>
            <w:tcW w:w="519" w:type="pct"/>
            <w:shd w:val="clear" w:color="auto" w:fill="BFBFBF" w:themeFill="background1" w:themeFillShade="BF"/>
          </w:tcPr>
          <w:p w14:paraId="5A5711F0" w14:textId="717D3608" w:rsidR="004A1280" w:rsidRPr="001362EE" w:rsidRDefault="004A1280" w:rsidP="00D301F8">
            <w:pPr>
              <w:rPr>
                <w:b/>
                <w:bCs/>
                <w:sz w:val="18"/>
                <w:szCs w:val="18"/>
              </w:rPr>
            </w:pPr>
          </w:p>
        </w:tc>
        <w:tc>
          <w:tcPr>
            <w:tcW w:w="377" w:type="pct"/>
            <w:shd w:val="clear" w:color="auto" w:fill="BFBFBF" w:themeFill="background1" w:themeFillShade="BF"/>
          </w:tcPr>
          <w:p w14:paraId="1A2CB5C6" w14:textId="6D746CAA" w:rsidR="004A1280" w:rsidRPr="001362EE" w:rsidRDefault="004A1280" w:rsidP="00D301F8">
            <w:pPr>
              <w:jc w:val="center"/>
              <w:rPr>
                <w:b/>
                <w:bCs/>
                <w:sz w:val="18"/>
                <w:szCs w:val="18"/>
              </w:rPr>
            </w:pPr>
            <w:r w:rsidRPr="001362EE">
              <w:rPr>
                <w:b/>
                <w:bCs/>
                <w:sz w:val="18"/>
                <w:szCs w:val="18"/>
              </w:rPr>
              <w:t>Were the two groups similar and recruited from the same population?</w:t>
            </w:r>
          </w:p>
        </w:tc>
        <w:tc>
          <w:tcPr>
            <w:tcW w:w="424" w:type="pct"/>
            <w:shd w:val="clear" w:color="auto" w:fill="BFBFBF" w:themeFill="background1" w:themeFillShade="BF"/>
          </w:tcPr>
          <w:p w14:paraId="40463456" w14:textId="68B5B7D6" w:rsidR="004A1280" w:rsidRPr="001362EE" w:rsidRDefault="004A1280" w:rsidP="00D301F8">
            <w:pPr>
              <w:jc w:val="center"/>
              <w:rPr>
                <w:b/>
                <w:bCs/>
                <w:sz w:val="18"/>
                <w:szCs w:val="18"/>
              </w:rPr>
            </w:pPr>
            <w:r w:rsidRPr="001362EE">
              <w:rPr>
                <w:b/>
                <w:bCs/>
                <w:sz w:val="18"/>
                <w:szCs w:val="18"/>
                <w:lang w:val="en-NZ"/>
              </w:rPr>
              <w:t>Were the exposures measured similarly to assign people to both exposed and unexposed groups?</w:t>
            </w:r>
          </w:p>
        </w:tc>
        <w:tc>
          <w:tcPr>
            <w:tcW w:w="331" w:type="pct"/>
            <w:shd w:val="clear" w:color="auto" w:fill="BFBFBF" w:themeFill="background1" w:themeFillShade="BF"/>
          </w:tcPr>
          <w:p w14:paraId="6052A50D" w14:textId="66825F41" w:rsidR="004A1280" w:rsidRPr="001362EE" w:rsidRDefault="004A1280" w:rsidP="00D301F8">
            <w:pPr>
              <w:jc w:val="center"/>
              <w:rPr>
                <w:b/>
                <w:bCs/>
                <w:sz w:val="18"/>
                <w:szCs w:val="18"/>
              </w:rPr>
            </w:pPr>
            <w:r w:rsidRPr="001362EE">
              <w:rPr>
                <w:b/>
                <w:bCs/>
                <w:sz w:val="18"/>
                <w:szCs w:val="18"/>
                <w:lang w:val="en-NZ"/>
              </w:rPr>
              <w:t>Was the exposure measured in a valid and reliable way?</w:t>
            </w:r>
          </w:p>
        </w:tc>
        <w:tc>
          <w:tcPr>
            <w:tcW w:w="377" w:type="pct"/>
            <w:shd w:val="clear" w:color="auto" w:fill="BFBFBF" w:themeFill="background1" w:themeFillShade="BF"/>
          </w:tcPr>
          <w:p w14:paraId="34BE63C2" w14:textId="6577FD11" w:rsidR="004A1280" w:rsidRPr="001362EE" w:rsidRDefault="004A1280" w:rsidP="00D301F8">
            <w:pPr>
              <w:jc w:val="center"/>
              <w:rPr>
                <w:b/>
                <w:bCs/>
                <w:sz w:val="18"/>
                <w:szCs w:val="18"/>
              </w:rPr>
            </w:pPr>
            <w:r w:rsidRPr="001362EE">
              <w:rPr>
                <w:b/>
                <w:bCs/>
                <w:sz w:val="18"/>
                <w:szCs w:val="18"/>
                <w:lang w:val="en-NZ"/>
              </w:rPr>
              <w:t xml:space="preserve">Were confounding factors </w:t>
            </w:r>
            <w:proofErr w:type="gramStart"/>
            <w:r w:rsidRPr="001362EE">
              <w:rPr>
                <w:b/>
                <w:bCs/>
                <w:sz w:val="18"/>
                <w:szCs w:val="18"/>
                <w:lang w:val="en-NZ"/>
              </w:rPr>
              <w:t>identified</w:t>
            </w:r>
            <w:proofErr w:type="gramEnd"/>
            <w:r w:rsidRPr="001362EE">
              <w:rPr>
                <w:b/>
                <w:bCs/>
                <w:sz w:val="18"/>
                <w:szCs w:val="18"/>
                <w:lang w:val="en-NZ"/>
              </w:rPr>
              <w:t>?</w:t>
            </w:r>
          </w:p>
        </w:tc>
        <w:tc>
          <w:tcPr>
            <w:tcW w:w="377" w:type="pct"/>
            <w:shd w:val="clear" w:color="auto" w:fill="BFBFBF" w:themeFill="background1" w:themeFillShade="BF"/>
          </w:tcPr>
          <w:p w14:paraId="06985B7E" w14:textId="79BADF49" w:rsidR="004A1280" w:rsidRPr="001362EE" w:rsidRDefault="004A1280" w:rsidP="00D301F8">
            <w:pPr>
              <w:jc w:val="center"/>
              <w:rPr>
                <w:b/>
                <w:bCs/>
                <w:sz w:val="18"/>
                <w:szCs w:val="18"/>
              </w:rPr>
            </w:pPr>
            <w:r w:rsidRPr="001362EE">
              <w:rPr>
                <w:b/>
                <w:bCs/>
                <w:sz w:val="18"/>
                <w:szCs w:val="18"/>
                <w:lang w:val="en-NZ"/>
              </w:rPr>
              <w:t xml:space="preserve">Were strategies to deal with confounding factors </w:t>
            </w:r>
            <w:proofErr w:type="gramStart"/>
            <w:r w:rsidRPr="001362EE">
              <w:rPr>
                <w:b/>
                <w:bCs/>
                <w:sz w:val="18"/>
                <w:szCs w:val="18"/>
                <w:lang w:val="en-NZ"/>
              </w:rPr>
              <w:t>stated</w:t>
            </w:r>
            <w:proofErr w:type="gramEnd"/>
            <w:r w:rsidRPr="001362EE">
              <w:rPr>
                <w:b/>
                <w:bCs/>
                <w:sz w:val="18"/>
                <w:szCs w:val="18"/>
                <w:lang w:val="en-NZ"/>
              </w:rPr>
              <w:t>?</w:t>
            </w:r>
          </w:p>
        </w:tc>
        <w:tc>
          <w:tcPr>
            <w:tcW w:w="425" w:type="pct"/>
            <w:shd w:val="clear" w:color="auto" w:fill="BFBFBF" w:themeFill="background1" w:themeFillShade="BF"/>
          </w:tcPr>
          <w:p w14:paraId="1DFA9B7C" w14:textId="5CA9C572" w:rsidR="004A1280" w:rsidRPr="001362EE" w:rsidRDefault="004A1280" w:rsidP="00D301F8">
            <w:pPr>
              <w:jc w:val="center"/>
              <w:rPr>
                <w:b/>
                <w:bCs/>
                <w:sz w:val="18"/>
                <w:szCs w:val="18"/>
              </w:rPr>
            </w:pPr>
            <w:r w:rsidRPr="001362EE">
              <w:rPr>
                <w:b/>
                <w:bCs/>
                <w:sz w:val="18"/>
                <w:szCs w:val="18"/>
                <w:lang w:val="en-NZ"/>
              </w:rPr>
              <w:t xml:space="preserve">Were the groups/participants free of the outcome at the start of the study (or </w:t>
            </w:r>
            <w:proofErr w:type="gramStart"/>
            <w:r w:rsidRPr="001362EE">
              <w:rPr>
                <w:b/>
                <w:bCs/>
                <w:sz w:val="18"/>
                <w:szCs w:val="18"/>
                <w:lang w:val="en-NZ"/>
              </w:rPr>
              <w:t>at the moment</w:t>
            </w:r>
            <w:proofErr w:type="gramEnd"/>
            <w:r w:rsidRPr="001362EE">
              <w:rPr>
                <w:b/>
                <w:bCs/>
                <w:sz w:val="18"/>
                <w:szCs w:val="18"/>
                <w:lang w:val="en-NZ"/>
              </w:rPr>
              <w:t xml:space="preserve"> of exposure)?</w:t>
            </w:r>
          </w:p>
        </w:tc>
        <w:tc>
          <w:tcPr>
            <w:tcW w:w="377" w:type="pct"/>
            <w:shd w:val="clear" w:color="auto" w:fill="BFBFBF" w:themeFill="background1" w:themeFillShade="BF"/>
          </w:tcPr>
          <w:p w14:paraId="4EE8369D" w14:textId="5D0D6D13" w:rsidR="004A1280" w:rsidRPr="001362EE" w:rsidRDefault="004A1280" w:rsidP="00D301F8">
            <w:pPr>
              <w:jc w:val="center"/>
              <w:rPr>
                <w:b/>
                <w:bCs/>
                <w:sz w:val="18"/>
                <w:szCs w:val="18"/>
              </w:rPr>
            </w:pPr>
            <w:r w:rsidRPr="001362EE">
              <w:rPr>
                <w:b/>
                <w:bCs/>
                <w:sz w:val="18"/>
                <w:szCs w:val="18"/>
                <w:lang w:val="en-NZ"/>
              </w:rPr>
              <w:t>Were the outcomes measured in a valid and reliable way?</w:t>
            </w:r>
          </w:p>
        </w:tc>
        <w:tc>
          <w:tcPr>
            <w:tcW w:w="377" w:type="pct"/>
            <w:shd w:val="clear" w:color="auto" w:fill="BFBFBF" w:themeFill="background1" w:themeFillShade="BF"/>
          </w:tcPr>
          <w:p w14:paraId="56153F6C" w14:textId="7006F815" w:rsidR="004A1280" w:rsidRPr="001362EE" w:rsidRDefault="004A1280" w:rsidP="00D301F8">
            <w:pPr>
              <w:jc w:val="center"/>
              <w:rPr>
                <w:b/>
                <w:bCs/>
                <w:sz w:val="18"/>
                <w:szCs w:val="18"/>
                <w:lang w:val="en-NZ"/>
              </w:rPr>
            </w:pPr>
            <w:r w:rsidRPr="001362EE">
              <w:rPr>
                <w:b/>
                <w:bCs/>
                <w:sz w:val="18"/>
                <w:szCs w:val="18"/>
                <w:lang w:val="en-NZ"/>
              </w:rPr>
              <w:t>Was the follow up time reported and sufficient to be long enough for outcomes to occur?</w:t>
            </w:r>
          </w:p>
        </w:tc>
        <w:tc>
          <w:tcPr>
            <w:tcW w:w="378" w:type="pct"/>
            <w:shd w:val="clear" w:color="auto" w:fill="BFBFBF" w:themeFill="background1" w:themeFillShade="BF"/>
          </w:tcPr>
          <w:p w14:paraId="6626A47F" w14:textId="18F3F078" w:rsidR="004A1280" w:rsidRPr="001362EE" w:rsidRDefault="004A1280" w:rsidP="00D301F8">
            <w:pPr>
              <w:jc w:val="center"/>
              <w:rPr>
                <w:b/>
                <w:bCs/>
                <w:sz w:val="18"/>
                <w:szCs w:val="18"/>
                <w:lang w:val="en-NZ"/>
              </w:rPr>
            </w:pPr>
            <w:r w:rsidRPr="001362EE">
              <w:rPr>
                <w:b/>
                <w:bCs/>
                <w:sz w:val="18"/>
                <w:szCs w:val="18"/>
                <w:lang w:val="en-NZ"/>
              </w:rPr>
              <w:t>Was follow up complete, and if not, were the reasons to loss to follow up described and explored?</w:t>
            </w:r>
          </w:p>
        </w:tc>
        <w:tc>
          <w:tcPr>
            <w:tcW w:w="424" w:type="pct"/>
            <w:shd w:val="clear" w:color="auto" w:fill="BFBFBF" w:themeFill="background1" w:themeFillShade="BF"/>
          </w:tcPr>
          <w:p w14:paraId="241A22B8" w14:textId="4A11B6D7" w:rsidR="004A1280" w:rsidRPr="001362EE" w:rsidRDefault="004A1280" w:rsidP="00D301F8">
            <w:pPr>
              <w:jc w:val="center"/>
              <w:rPr>
                <w:b/>
                <w:bCs/>
                <w:sz w:val="18"/>
                <w:szCs w:val="18"/>
                <w:lang w:val="en-NZ"/>
              </w:rPr>
            </w:pPr>
            <w:r w:rsidRPr="001362EE">
              <w:rPr>
                <w:b/>
                <w:bCs/>
                <w:sz w:val="18"/>
                <w:szCs w:val="18"/>
                <w:lang w:val="en-NZ"/>
              </w:rPr>
              <w:t xml:space="preserve">Were strategies to address incomplete follow up </w:t>
            </w:r>
            <w:proofErr w:type="gramStart"/>
            <w:r w:rsidRPr="001362EE">
              <w:rPr>
                <w:b/>
                <w:bCs/>
                <w:sz w:val="18"/>
                <w:szCs w:val="18"/>
                <w:lang w:val="en-NZ"/>
              </w:rPr>
              <w:t>utilized</w:t>
            </w:r>
            <w:proofErr w:type="gramEnd"/>
            <w:r w:rsidRPr="001362EE">
              <w:rPr>
                <w:b/>
                <w:bCs/>
                <w:sz w:val="18"/>
                <w:szCs w:val="18"/>
                <w:lang w:val="en-NZ"/>
              </w:rPr>
              <w:t>?</w:t>
            </w:r>
          </w:p>
        </w:tc>
        <w:tc>
          <w:tcPr>
            <w:tcW w:w="378" w:type="pct"/>
            <w:shd w:val="clear" w:color="auto" w:fill="BFBFBF" w:themeFill="background1" w:themeFillShade="BF"/>
          </w:tcPr>
          <w:p w14:paraId="1214B4B6" w14:textId="21F95852" w:rsidR="004A1280" w:rsidRPr="001362EE" w:rsidRDefault="004A1280" w:rsidP="00D301F8">
            <w:pPr>
              <w:jc w:val="center"/>
              <w:rPr>
                <w:b/>
                <w:bCs/>
                <w:sz w:val="18"/>
                <w:szCs w:val="18"/>
                <w:lang w:val="en-NZ"/>
              </w:rPr>
            </w:pPr>
            <w:r w:rsidRPr="001362EE">
              <w:rPr>
                <w:b/>
                <w:bCs/>
                <w:sz w:val="18"/>
                <w:szCs w:val="18"/>
                <w:lang w:val="en-NZ"/>
              </w:rPr>
              <w:t xml:space="preserve">Was </w:t>
            </w:r>
            <w:proofErr w:type="gramStart"/>
            <w:r w:rsidRPr="001362EE">
              <w:rPr>
                <w:b/>
                <w:bCs/>
                <w:sz w:val="18"/>
                <w:szCs w:val="18"/>
                <w:lang w:val="en-NZ"/>
              </w:rPr>
              <w:t>appropriate statistical</w:t>
            </w:r>
            <w:proofErr w:type="gramEnd"/>
            <w:r w:rsidRPr="001362EE">
              <w:rPr>
                <w:b/>
                <w:bCs/>
                <w:sz w:val="18"/>
                <w:szCs w:val="18"/>
                <w:lang w:val="en-NZ"/>
              </w:rPr>
              <w:t xml:space="preserve"> analysis used?</w:t>
            </w:r>
          </w:p>
        </w:tc>
        <w:tc>
          <w:tcPr>
            <w:tcW w:w="236" w:type="pct"/>
            <w:shd w:val="clear" w:color="auto" w:fill="BFBFBF" w:themeFill="background1" w:themeFillShade="BF"/>
          </w:tcPr>
          <w:p w14:paraId="54777E09" w14:textId="77777777" w:rsidR="004A1280" w:rsidRDefault="004A1280" w:rsidP="00D301F8">
            <w:pPr>
              <w:jc w:val="center"/>
              <w:rPr>
                <w:b/>
                <w:bCs/>
                <w:sz w:val="18"/>
                <w:szCs w:val="18"/>
                <w:lang w:val="en-NZ"/>
              </w:rPr>
            </w:pPr>
          </w:p>
          <w:p w14:paraId="17782F47" w14:textId="77777777" w:rsidR="004A1280" w:rsidRDefault="004A1280" w:rsidP="00D301F8">
            <w:pPr>
              <w:jc w:val="center"/>
              <w:rPr>
                <w:b/>
                <w:bCs/>
                <w:sz w:val="18"/>
                <w:szCs w:val="18"/>
                <w:lang w:val="en-NZ"/>
              </w:rPr>
            </w:pPr>
          </w:p>
          <w:p w14:paraId="22C52827" w14:textId="77777777" w:rsidR="004A1280" w:rsidRDefault="004A1280" w:rsidP="00D301F8">
            <w:pPr>
              <w:jc w:val="center"/>
              <w:rPr>
                <w:b/>
                <w:bCs/>
                <w:sz w:val="18"/>
                <w:szCs w:val="18"/>
                <w:lang w:val="en-NZ"/>
              </w:rPr>
            </w:pPr>
          </w:p>
          <w:p w14:paraId="69B23ABE" w14:textId="77777777" w:rsidR="004A1280" w:rsidRDefault="004A1280" w:rsidP="00D301F8">
            <w:pPr>
              <w:jc w:val="center"/>
              <w:rPr>
                <w:b/>
                <w:bCs/>
                <w:sz w:val="18"/>
                <w:szCs w:val="18"/>
                <w:lang w:val="en-NZ"/>
              </w:rPr>
            </w:pPr>
          </w:p>
          <w:p w14:paraId="7676E8E1" w14:textId="77777777" w:rsidR="004A1280" w:rsidRDefault="004A1280" w:rsidP="00D301F8">
            <w:pPr>
              <w:jc w:val="center"/>
              <w:rPr>
                <w:b/>
                <w:bCs/>
                <w:sz w:val="18"/>
                <w:szCs w:val="18"/>
                <w:lang w:val="en-NZ"/>
              </w:rPr>
            </w:pPr>
          </w:p>
          <w:p w14:paraId="3880D09D" w14:textId="75847B30" w:rsidR="004A1280" w:rsidRPr="001362EE" w:rsidRDefault="004A1280" w:rsidP="00D301F8">
            <w:pPr>
              <w:jc w:val="center"/>
              <w:rPr>
                <w:b/>
                <w:bCs/>
                <w:sz w:val="18"/>
                <w:szCs w:val="18"/>
                <w:lang w:val="en-NZ"/>
              </w:rPr>
            </w:pPr>
            <w:r>
              <w:rPr>
                <w:b/>
                <w:bCs/>
                <w:sz w:val="18"/>
                <w:szCs w:val="18"/>
                <w:lang w:val="en-NZ"/>
              </w:rPr>
              <w:t xml:space="preserve">Score </w:t>
            </w:r>
          </w:p>
        </w:tc>
      </w:tr>
      <w:tr w:rsidR="004A1280" w:rsidRPr="00D32133" w14:paraId="55263E8A" w14:textId="5D56BD08" w:rsidTr="00B40614">
        <w:trPr>
          <w:trHeight w:val="456"/>
        </w:trPr>
        <w:tc>
          <w:tcPr>
            <w:tcW w:w="519" w:type="pct"/>
          </w:tcPr>
          <w:p w14:paraId="1287B8C7" w14:textId="307C3CB3" w:rsidR="004A1280" w:rsidRPr="00D32133" w:rsidRDefault="004A1280" w:rsidP="00D301F8">
            <w:pPr>
              <w:rPr>
                <w:sz w:val="18"/>
                <w:szCs w:val="18"/>
              </w:rPr>
            </w:pPr>
            <w:r w:rsidRPr="00D32133">
              <w:rPr>
                <w:sz w:val="18"/>
                <w:szCs w:val="18"/>
              </w:rPr>
              <w:t>Ganle and Bedwei-Majdoub, 2019</w:t>
            </w:r>
            <w:r w:rsidRPr="00D32133">
              <w:rPr>
                <w:sz w:val="18"/>
                <w:szCs w:val="18"/>
              </w:rPr>
              <w:fldChar w:fldCharType="begin" w:fldLock="1"/>
            </w:r>
            <w:r w:rsidRPr="00D32133">
              <w:rPr>
                <w:sz w:val="18"/>
                <w:szCs w:val="18"/>
              </w:rPr>
              <w:instrText>ADDIN CSL_CITATION {"citationItems":[{"id":"ITEM-1","itemData":{"DOI":"10.1177/0890334419871012","ISSN":"15525732","PMID":"31465696","abstract":"Background: Although exclusive breastfeeding of infants has several benefits, in Ghana only 52% of children under 6 months old are breastfed exclusively. However, researchers have not conducted longitudinal observational studies to examine exclusive breastfeeding discontinuation and determine risk factors. Research aims: (1) To determine exclusive breastfeeding discontinuation, and (2) to examine those factors linked to discontinued exclusive breastfeeding. Methods: A longitudinal, one-group observational study was conducted. A total of 322 mothers who had normal and full-term delivery at a district level referral hospital from January to December 2017 were recruited, followed-up every month, and subsequently interviewed after 6 months postpartum. Data were collected using validated questionnaires. Binary and multivariable Poisson regression analyses were the statistical analytical methods used. Results: Respondents’ mean age was 29.78 years (SD = 5.20). Among the 322 mothers who initiated breastfeeding with human milk at birth, 108 (34%) discontinued exclusive breastfeeding before 6 months postpartum. After controlling for possible covariates, attending antenatal care 4 or less times during pregnancy (aRR = 6.54; 95% CI [1.77–24.22]; p =.005); lack of support from family to breastfeed exclusively (aRR = 2.41; 95% CI [1.23–4.71]; p =.010), outside pressure to provide other food to the baby &lt; 6 months postpartum (aRR = 1.87; 95% CI [1.01–3.46]; p =.045), and living in an urban area (aRR = 2.10; 95% CI [1.17-3.75]; p =.013) significantly increased the risks of discontinuing exclusive breastfeeding. Conclusion: Universal exclusive breastfeeding may not be achieved without tackling the key determinants of discontinuation of exclusive breastfeeding. Health facility and community-based exclusive breastfeeding promotion interventions are therefore needed.","author":[{"dropping-particle":"","family":"Ganle","given":"John Kuumuori","non-dropping-particle":"","parse-names":false,"suffix":""},{"dropping-particle":"","family":"Bedwei-Majdoub","given":"Vanessa Marie","non-dropping-particle":"","parse-names":false,"suffix":""}],"container-title":"Journal of Human Lactation","id":"ITEM-1","issue":"3","issued":{"date-parts":[["2019"]]},"page":"461-470","title":"Discontinuation of Exclusive Breastfeeding in Ghana: A Longitudinal, One-Group Observational Study of Postnatal Mothers With Children 0–6 Months old","type":"article-journal","volume":"36"},"uris":["http://www.mendeley.com/documents/?uuid=260ec5c0-2590-43f5-afa5-2d29fd38433b"]}],"mendeley":{"formattedCitation":"(3)","plainTextFormattedCitation":"(3)","previouslyFormattedCitation":"(3)"},"properties":{"noteIndex":0},"schema":"https://github.com/citation-style-language/schema/raw/master/csl-citation.json"}</w:instrText>
            </w:r>
            <w:r w:rsidRPr="00D32133">
              <w:rPr>
                <w:sz w:val="18"/>
                <w:szCs w:val="18"/>
              </w:rPr>
              <w:fldChar w:fldCharType="separate"/>
            </w:r>
            <w:r w:rsidRPr="00D32133">
              <w:rPr>
                <w:noProof/>
                <w:sz w:val="18"/>
                <w:szCs w:val="18"/>
              </w:rPr>
              <w:t>(3)</w:t>
            </w:r>
            <w:r w:rsidRPr="00D32133">
              <w:rPr>
                <w:sz w:val="18"/>
                <w:szCs w:val="18"/>
              </w:rPr>
              <w:fldChar w:fldCharType="end"/>
            </w:r>
          </w:p>
        </w:tc>
        <w:tc>
          <w:tcPr>
            <w:tcW w:w="377" w:type="pct"/>
            <w:vAlign w:val="center"/>
          </w:tcPr>
          <w:p w14:paraId="7BC87033" w14:textId="4898915C" w:rsidR="004A1280" w:rsidRPr="00D32133" w:rsidRDefault="004A1280" w:rsidP="00D301F8">
            <w:pPr>
              <w:jc w:val="center"/>
              <w:rPr>
                <w:sz w:val="18"/>
                <w:szCs w:val="18"/>
              </w:rPr>
            </w:pPr>
            <w:r>
              <w:rPr>
                <w:sz w:val="18"/>
                <w:szCs w:val="18"/>
              </w:rPr>
              <w:t>Yes</w:t>
            </w:r>
          </w:p>
        </w:tc>
        <w:tc>
          <w:tcPr>
            <w:tcW w:w="424" w:type="pct"/>
            <w:vAlign w:val="center"/>
          </w:tcPr>
          <w:p w14:paraId="5385406C" w14:textId="10C16D62" w:rsidR="004A1280" w:rsidRPr="00D32133" w:rsidRDefault="004A1280" w:rsidP="00D301F8">
            <w:pPr>
              <w:jc w:val="center"/>
              <w:rPr>
                <w:sz w:val="18"/>
                <w:szCs w:val="18"/>
              </w:rPr>
            </w:pPr>
            <w:r>
              <w:rPr>
                <w:sz w:val="18"/>
                <w:szCs w:val="18"/>
              </w:rPr>
              <w:t>Yes</w:t>
            </w:r>
          </w:p>
        </w:tc>
        <w:tc>
          <w:tcPr>
            <w:tcW w:w="331" w:type="pct"/>
            <w:vAlign w:val="center"/>
          </w:tcPr>
          <w:p w14:paraId="3A055EA7" w14:textId="64A54D6D" w:rsidR="004A1280" w:rsidRPr="00D32133" w:rsidRDefault="004A1280" w:rsidP="00D301F8">
            <w:pPr>
              <w:jc w:val="center"/>
              <w:rPr>
                <w:sz w:val="18"/>
                <w:szCs w:val="18"/>
              </w:rPr>
            </w:pPr>
            <w:r>
              <w:rPr>
                <w:sz w:val="18"/>
                <w:szCs w:val="18"/>
              </w:rPr>
              <w:t>Yes</w:t>
            </w:r>
          </w:p>
        </w:tc>
        <w:tc>
          <w:tcPr>
            <w:tcW w:w="377" w:type="pct"/>
            <w:vAlign w:val="center"/>
          </w:tcPr>
          <w:p w14:paraId="3E52144E" w14:textId="2ADA76EF" w:rsidR="004A1280" w:rsidRPr="00D32133" w:rsidRDefault="004A1280" w:rsidP="00D301F8">
            <w:pPr>
              <w:jc w:val="center"/>
              <w:rPr>
                <w:sz w:val="18"/>
                <w:szCs w:val="18"/>
              </w:rPr>
            </w:pPr>
            <w:r>
              <w:rPr>
                <w:sz w:val="18"/>
                <w:szCs w:val="18"/>
              </w:rPr>
              <w:t>Yes</w:t>
            </w:r>
          </w:p>
        </w:tc>
        <w:tc>
          <w:tcPr>
            <w:tcW w:w="377" w:type="pct"/>
            <w:vAlign w:val="center"/>
          </w:tcPr>
          <w:p w14:paraId="6DE1BB71" w14:textId="4FBA8C52" w:rsidR="004A1280" w:rsidRPr="00D32133" w:rsidRDefault="004A1280" w:rsidP="00D301F8">
            <w:pPr>
              <w:jc w:val="center"/>
              <w:rPr>
                <w:sz w:val="18"/>
                <w:szCs w:val="18"/>
              </w:rPr>
            </w:pPr>
            <w:r>
              <w:rPr>
                <w:sz w:val="18"/>
                <w:szCs w:val="18"/>
              </w:rPr>
              <w:t>Yes</w:t>
            </w:r>
          </w:p>
        </w:tc>
        <w:tc>
          <w:tcPr>
            <w:tcW w:w="425" w:type="pct"/>
            <w:vAlign w:val="center"/>
          </w:tcPr>
          <w:p w14:paraId="07E0C65B" w14:textId="74195519" w:rsidR="004A1280" w:rsidRPr="00D32133" w:rsidRDefault="004A1280" w:rsidP="00D301F8">
            <w:pPr>
              <w:jc w:val="center"/>
              <w:rPr>
                <w:sz w:val="18"/>
                <w:szCs w:val="18"/>
              </w:rPr>
            </w:pPr>
            <w:r>
              <w:rPr>
                <w:sz w:val="18"/>
                <w:szCs w:val="18"/>
              </w:rPr>
              <w:t>Yes</w:t>
            </w:r>
          </w:p>
        </w:tc>
        <w:tc>
          <w:tcPr>
            <w:tcW w:w="377" w:type="pct"/>
            <w:vAlign w:val="center"/>
          </w:tcPr>
          <w:p w14:paraId="4BFDC6FD" w14:textId="0198B66A" w:rsidR="004A1280" w:rsidRPr="00D32133" w:rsidRDefault="004A1280" w:rsidP="00D301F8">
            <w:pPr>
              <w:jc w:val="center"/>
              <w:rPr>
                <w:sz w:val="18"/>
                <w:szCs w:val="18"/>
              </w:rPr>
            </w:pPr>
            <w:r>
              <w:rPr>
                <w:sz w:val="18"/>
                <w:szCs w:val="18"/>
              </w:rPr>
              <w:t>Yes</w:t>
            </w:r>
          </w:p>
        </w:tc>
        <w:tc>
          <w:tcPr>
            <w:tcW w:w="377" w:type="pct"/>
            <w:vAlign w:val="center"/>
          </w:tcPr>
          <w:p w14:paraId="60FABB5D" w14:textId="29D31240" w:rsidR="004A1280" w:rsidRDefault="004A1280" w:rsidP="00D301F8">
            <w:pPr>
              <w:jc w:val="center"/>
              <w:rPr>
                <w:sz w:val="18"/>
                <w:szCs w:val="18"/>
              </w:rPr>
            </w:pPr>
            <w:r>
              <w:rPr>
                <w:sz w:val="18"/>
                <w:szCs w:val="18"/>
              </w:rPr>
              <w:t>Yes</w:t>
            </w:r>
          </w:p>
        </w:tc>
        <w:tc>
          <w:tcPr>
            <w:tcW w:w="378" w:type="pct"/>
            <w:vAlign w:val="center"/>
          </w:tcPr>
          <w:p w14:paraId="6ECC5CC3" w14:textId="1C4CE239" w:rsidR="004A1280" w:rsidRDefault="004A1280" w:rsidP="00D301F8">
            <w:pPr>
              <w:jc w:val="center"/>
              <w:rPr>
                <w:sz w:val="18"/>
                <w:szCs w:val="18"/>
              </w:rPr>
            </w:pPr>
            <w:r>
              <w:rPr>
                <w:sz w:val="18"/>
                <w:szCs w:val="18"/>
              </w:rPr>
              <w:t>Yes</w:t>
            </w:r>
          </w:p>
        </w:tc>
        <w:tc>
          <w:tcPr>
            <w:tcW w:w="424" w:type="pct"/>
            <w:vAlign w:val="center"/>
          </w:tcPr>
          <w:p w14:paraId="54C2D74F" w14:textId="587DBF06" w:rsidR="004A1280" w:rsidRDefault="004A1280" w:rsidP="00D301F8">
            <w:pPr>
              <w:jc w:val="center"/>
              <w:rPr>
                <w:sz w:val="18"/>
                <w:szCs w:val="18"/>
              </w:rPr>
            </w:pPr>
            <w:r>
              <w:rPr>
                <w:sz w:val="18"/>
                <w:szCs w:val="18"/>
              </w:rPr>
              <w:t>N/A</w:t>
            </w:r>
          </w:p>
        </w:tc>
        <w:tc>
          <w:tcPr>
            <w:tcW w:w="378" w:type="pct"/>
            <w:vAlign w:val="center"/>
          </w:tcPr>
          <w:p w14:paraId="1815B75A" w14:textId="5C649312" w:rsidR="004A1280" w:rsidRDefault="004A1280" w:rsidP="00D301F8">
            <w:pPr>
              <w:jc w:val="center"/>
              <w:rPr>
                <w:sz w:val="18"/>
                <w:szCs w:val="18"/>
              </w:rPr>
            </w:pPr>
            <w:r>
              <w:rPr>
                <w:sz w:val="18"/>
                <w:szCs w:val="18"/>
              </w:rPr>
              <w:t>Yes</w:t>
            </w:r>
          </w:p>
        </w:tc>
        <w:tc>
          <w:tcPr>
            <w:tcW w:w="236" w:type="pct"/>
            <w:vAlign w:val="center"/>
          </w:tcPr>
          <w:p w14:paraId="43CCAA56" w14:textId="2C68338B" w:rsidR="004A1280" w:rsidRDefault="004A1280" w:rsidP="00D301F8">
            <w:pPr>
              <w:jc w:val="center"/>
              <w:rPr>
                <w:sz w:val="18"/>
                <w:szCs w:val="18"/>
              </w:rPr>
            </w:pPr>
            <w:r>
              <w:rPr>
                <w:sz w:val="18"/>
                <w:szCs w:val="18"/>
              </w:rPr>
              <w:t>10</w:t>
            </w:r>
          </w:p>
        </w:tc>
      </w:tr>
      <w:tr w:rsidR="004A1280" w:rsidRPr="00D32133" w14:paraId="68B6BEC5" w14:textId="2434997F" w:rsidTr="00B40614">
        <w:trPr>
          <w:trHeight w:val="217"/>
        </w:trPr>
        <w:tc>
          <w:tcPr>
            <w:tcW w:w="519" w:type="pct"/>
          </w:tcPr>
          <w:p w14:paraId="0DD81AC5" w14:textId="73B16CA2" w:rsidR="004A1280" w:rsidRPr="00D32133" w:rsidRDefault="004A1280" w:rsidP="00D301F8">
            <w:pPr>
              <w:rPr>
                <w:sz w:val="18"/>
                <w:szCs w:val="18"/>
              </w:rPr>
            </w:pPr>
            <w:r w:rsidRPr="00D32133">
              <w:rPr>
                <w:sz w:val="18"/>
                <w:szCs w:val="18"/>
              </w:rPr>
              <w:t>Marquis et al., 2016</w:t>
            </w:r>
            <w:r w:rsidRPr="00D32133">
              <w:rPr>
                <w:sz w:val="18"/>
                <w:szCs w:val="18"/>
              </w:rPr>
              <w:fldChar w:fldCharType="begin" w:fldLock="1"/>
            </w:r>
            <w:r w:rsidRPr="00D32133">
              <w:rPr>
                <w:sz w:val="18"/>
                <w:szCs w:val="18"/>
              </w:rPr>
              <w:instrText>ADDIN CSL_CITATION {"citationItems":[{"id":"ITEM-1","itemData":{"DOI":"10.1017/S0007114516001707","ISBN":"0007114516","ISSN":"14752662","PMID":"27149980","abstract":"Exclusive breast-feeding (EBF) for 6 months supports optimal infant growth, health and development. This paper examined whether maternal HIV status was associated with EBF and other infant feeding practices. Pregnant women were enrolled after HIV counselling, and their babies were followed up for up to 1 year. Data on household socio-economics and demographics, maternal characteristics and infants' daily diet were available for 482 infants and their mothers (150 HIV-positive (HIV-P), 170 HIV-negative (HIV-N) and 162 HIV-unknown (HIV-U)). Survival analyses estimated median EBF duration and time to introduction of liquids and foods; hazards ratios (HR) used data from 1-365 and 1-183 d, adjusting for covariates. Logistic regression estimated the probability of EBF for 6 months. Being HIV-P was associated with a shorter EBF duration (139 d) compared with HIV-N (163 d) and HIV-U (165 d) (P=0·004). Compared with HIV-N, being HIV-P was associated with about a 40 % higher risk of stopping EBF at any time point (HR 1·39; 95 % CI 1·06, 1·84; P=0·018) and less than half as likely to complete 6 months of EBF (adjusted OR 0·42; 95 % CI 0·22, 0·81; P=0·01). Being HIV-P tended to be or was associated with a higher risk of introducing non-milk liquids (HR 1·34; 95 % CI 0·98, 1·83; P=0·068), animal milks (HR 2·37; 95 % CI 1·32, 4·24; P=0·004) and solids (HR 1·56; 95 % CI 1·10, 2·22; P=0·011) during the first 6 months. Weight-for-age Z-score was associated with EBF and introducing formula. Different factors (ethnicity, food insecurity, HIV testing strategy) were associated with the various feeding behaviours, suggesting that diverse interventions are needed to promote optimal infant feeding.","author":[{"dropping-particle":"","family":"Marquis","given":"Grace S.","non-dropping-particle":"","parse-names":false,"suffix":""},{"dropping-particle":"","family":"Lartey","given":"Anna","non-dropping-particle":"","parse-names":false,"suffix":""},{"dropping-particle":"","family":"Perez-Escamilla","given":"Rafael","non-dropping-particle":"","parse-names":false,"suffix":""},{"dropping-particle":"","family":"Mazur","given":"Robert E.","non-dropping-particle":"","parse-names":false,"suffix":""},{"dropping-particle":"","family":"Brakohiapa","given":"Lucy","non-dropping-particle":"","parse-names":false,"suffix":""},{"dropping-particle":"","family":"Birks","given":"Katherine A.","non-dropping-particle":"","parse-names":false,"suffix":""}],"container-title":"British Journal of Nutrition","id":"ITEM-1","issue":"1","issued":{"date-parts":[["2016"]]},"page":"115-125","title":"Factors are not the same for risk of stopping exclusive breast-feeding and introducing different types of liquids and solids in HIV-affected communities in Ghana","type":"article-journal","volume":"116"},"uris":["http://www.mendeley.com/documents/?uuid=334179a7-d2e7-4793-9b4e-85b3cecf7a23"]}],"mendeley":{"formattedCitation":"(8)","plainTextFormattedCitation":"(8)","previouslyFormattedCitation":"(8)"},"properties":{"noteIndex":0},"schema":"https://github.com/citation-style-language/schema/raw/master/csl-citation.json"}</w:instrText>
            </w:r>
            <w:r w:rsidRPr="00D32133">
              <w:rPr>
                <w:sz w:val="18"/>
                <w:szCs w:val="18"/>
              </w:rPr>
              <w:fldChar w:fldCharType="separate"/>
            </w:r>
            <w:r w:rsidRPr="00D32133">
              <w:rPr>
                <w:noProof/>
                <w:sz w:val="18"/>
                <w:szCs w:val="18"/>
              </w:rPr>
              <w:t>(8)</w:t>
            </w:r>
            <w:r w:rsidRPr="00D32133">
              <w:rPr>
                <w:sz w:val="18"/>
                <w:szCs w:val="18"/>
              </w:rPr>
              <w:fldChar w:fldCharType="end"/>
            </w:r>
          </w:p>
        </w:tc>
        <w:tc>
          <w:tcPr>
            <w:tcW w:w="377" w:type="pct"/>
            <w:vAlign w:val="center"/>
          </w:tcPr>
          <w:p w14:paraId="3687A663" w14:textId="1387F812" w:rsidR="004A1280" w:rsidRPr="00D32133" w:rsidRDefault="004A1280" w:rsidP="00D301F8">
            <w:pPr>
              <w:jc w:val="center"/>
              <w:rPr>
                <w:sz w:val="18"/>
                <w:szCs w:val="18"/>
              </w:rPr>
            </w:pPr>
            <w:r>
              <w:rPr>
                <w:sz w:val="18"/>
                <w:szCs w:val="18"/>
              </w:rPr>
              <w:t>Yes</w:t>
            </w:r>
          </w:p>
        </w:tc>
        <w:tc>
          <w:tcPr>
            <w:tcW w:w="424" w:type="pct"/>
            <w:vAlign w:val="center"/>
          </w:tcPr>
          <w:p w14:paraId="0D0702B7" w14:textId="6FB5CE50" w:rsidR="004A1280" w:rsidRPr="00D32133" w:rsidRDefault="004A1280" w:rsidP="00D301F8">
            <w:pPr>
              <w:jc w:val="center"/>
              <w:rPr>
                <w:sz w:val="18"/>
                <w:szCs w:val="18"/>
              </w:rPr>
            </w:pPr>
            <w:r>
              <w:rPr>
                <w:sz w:val="18"/>
                <w:szCs w:val="18"/>
              </w:rPr>
              <w:t>yes</w:t>
            </w:r>
          </w:p>
        </w:tc>
        <w:tc>
          <w:tcPr>
            <w:tcW w:w="331" w:type="pct"/>
            <w:vAlign w:val="center"/>
          </w:tcPr>
          <w:p w14:paraId="60FFE113" w14:textId="3F6B96D6" w:rsidR="004A1280" w:rsidRPr="00D32133" w:rsidRDefault="004A1280" w:rsidP="00D301F8">
            <w:pPr>
              <w:jc w:val="center"/>
              <w:rPr>
                <w:sz w:val="18"/>
                <w:szCs w:val="18"/>
              </w:rPr>
            </w:pPr>
            <w:r>
              <w:rPr>
                <w:sz w:val="18"/>
                <w:szCs w:val="18"/>
              </w:rPr>
              <w:t>Yes</w:t>
            </w:r>
          </w:p>
        </w:tc>
        <w:tc>
          <w:tcPr>
            <w:tcW w:w="377" w:type="pct"/>
            <w:vAlign w:val="center"/>
          </w:tcPr>
          <w:p w14:paraId="536A7164" w14:textId="3C54B2B5" w:rsidR="004A1280" w:rsidRPr="00D32133" w:rsidRDefault="004A1280" w:rsidP="00D301F8">
            <w:pPr>
              <w:jc w:val="center"/>
              <w:rPr>
                <w:sz w:val="18"/>
                <w:szCs w:val="18"/>
              </w:rPr>
            </w:pPr>
            <w:r>
              <w:rPr>
                <w:sz w:val="18"/>
                <w:szCs w:val="18"/>
              </w:rPr>
              <w:t>Yes</w:t>
            </w:r>
          </w:p>
        </w:tc>
        <w:tc>
          <w:tcPr>
            <w:tcW w:w="377" w:type="pct"/>
            <w:vAlign w:val="center"/>
          </w:tcPr>
          <w:p w14:paraId="358CDADA" w14:textId="26385461" w:rsidR="004A1280" w:rsidRPr="00D32133" w:rsidRDefault="004A1280" w:rsidP="00D301F8">
            <w:pPr>
              <w:jc w:val="center"/>
              <w:rPr>
                <w:sz w:val="18"/>
                <w:szCs w:val="18"/>
              </w:rPr>
            </w:pPr>
            <w:r>
              <w:rPr>
                <w:sz w:val="18"/>
                <w:szCs w:val="18"/>
              </w:rPr>
              <w:t>Yes</w:t>
            </w:r>
          </w:p>
        </w:tc>
        <w:tc>
          <w:tcPr>
            <w:tcW w:w="425" w:type="pct"/>
            <w:vAlign w:val="center"/>
          </w:tcPr>
          <w:p w14:paraId="77B4A8A5" w14:textId="3B82D210" w:rsidR="004A1280" w:rsidRPr="00D32133" w:rsidRDefault="004A1280" w:rsidP="00D301F8">
            <w:pPr>
              <w:jc w:val="center"/>
              <w:rPr>
                <w:sz w:val="18"/>
                <w:szCs w:val="18"/>
              </w:rPr>
            </w:pPr>
            <w:r>
              <w:rPr>
                <w:sz w:val="18"/>
                <w:szCs w:val="18"/>
              </w:rPr>
              <w:t>Yes</w:t>
            </w:r>
          </w:p>
        </w:tc>
        <w:tc>
          <w:tcPr>
            <w:tcW w:w="377" w:type="pct"/>
            <w:vAlign w:val="center"/>
          </w:tcPr>
          <w:p w14:paraId="141342A5" w14:textId="2674E8A0" w:rsidR="004A1280" w:rsidRPr="00D32133" w:rsidRDefault="004A1280" w:rsidP="00D301F8">
            <w:pPr>
              <w:jc w:val="center"/>
              <w:rPr>
                <w:sz w:val="18"/>
                <w:szCs w:val="18"/>
              </w:rPr>
            </w:pPr>
            <w:r>
              <w:rPr>
                <w:sz w:val="18"/>
                <w:szCs w:val="18"/>
              </w:rPr>
              <w:t>Yes</w:t>
            </w:r>
          </w:p>
        </w:tc>
        <w:tc>
          <w:tcPr>
            <w:tcW w:w="377" w:type="pct"/>
            <w:vAlign w:val="center"/>
          </w:tcPr>
          <w:p w14:paraId="08AA438D" w14:textId="298AF432" w:rsidR="004A1280" w:rsidRDefault="004A1280" w:rsidP="00D301F8">
            <w:pPr>
              <w:jc w:val="center"/>
              <w:rPr>
                <w:sz w:val="18"/>
                <w:szCs w:val="18"/>
              </w:rPr>
            </w:pPr>
            <w:r>
              <w:rPr>
                <w:sz w:val="18"/>
                <w:szCs w:val="18"/>
              </w:rPr>
              <w:t>Yes</w:t>
            </w:r>
          </w:p>
        </w:tc>
        <w:tc>
          <w:tcPr>
            <w:tcW w:w="378" w:type="pct"/>
            <w:vAlign w:val="center"/>
          </w:tcPr>
          <w:p w14:paraId="1C5CDC90" w14:textId="3332B47B" w:rsidR="004A1280" w:rsidRDefault="004A1280" w:rsidP="00D301F8">
            <w:pPr>
              <w:jc w:val="center"/>
              <w:rPr>
                <w:sz w:val="18"/>
                <w:szCs w:val="18"/>
              </w:rPr>
            </w:pPr>
            <w:r>
              <w:rPr>
                <w:sz w:val="18"/>
                <w:szCs w:val="18"/>
              </w:rPr>
              <w:t>Yes</w:t>
            </w:r>
          </w:p>
        </w:tc>
        <w:tc>
          <w:tcPr>
            <w:tcW w:w="424" w:type="pct"/>
            <w:vAlign w:val="center"/>
          </w:tcPr>
          <w:p w14:paraId="30F08324" w14:textId="69D78ED8" w:rsidR="004A1280" w:rsidRDefault="004A1280" w:rsidP="00D301F8">
            <w:pPr>
              <w:jc w:val="center"/>
              <w:rPr>
                <w:sz w:val="18"/>
                <w:szCs w:val="18"/>
              </w:rPr>
            </w:pPr>
            <w:r>
              <w:rPr>
                <w:sz w:val="18"/>
                <w:szCs w:val="18"/>
              </w:rPr>
              <w:t>Unclear</w:t>
            </w:r>
          </w:p>
        </w:tc>
        <w:tc>
          <w:tcPr>
            <w:tcW w:w="378" w:type="pct"/>
            <w:vAlign w:val="center"/>
          </w:tcPr>
          <w:p w14:paraId="20C3EAF7" w14:textId="52F8BB84" w:rsidR="004A1280" w:rsidRDefault="004A1280" w:rsidP="00D301F8">
            <w:pPr>
              <w:jc w:val="center"/>
              <w:rPr>
                <w:sz w:val="18"/>
                <w:szCs w:val="18"/>
              </w:rPr>
            </w:pPr>
            <w:r>
              <w:rPr>
                <w:sz w:val="18"/>
                <w:szCs w:val="18"/>
              </w:rPr>
              <w:t>Yes</w:t>
            </w:r>
          </w:p>
        </w:tc>
        <w:tc>
          <w:tcPr>
            <w:tcW w:w="236" w:type="pct"/>
            <w:vAlign w:val="center"/>
          </w:tcPr>
          <w:p w14:paraId="4449DFDC" w14:textId="4DD1FF3A" w:rsidR="004A1280" w:rsidRDefault="004A1280" w:rsidP="00D301F8">
            <w:pPr>
              <w:jc w:val="center"/>
              <w:rPr>
                <w:sz w:val="18"/>
                <w:szCs w:val="18"/>
              </w:rPr>
            </w:pPr>
            <w:r>
              <w:rPr>
                <w:sz w:val="18"/>
                <w:szCs w:val="18"/>
              </w:rPr>
              <w:t>10</w:t>
            </w:r>
          </w:p>
        </w:tc>
      </w:tr>
    </w:tbl>
    <w:p w14:paraId="635C8564" w14:textId="77777777" w:rsidR="00F23F8F" w:rsidRDefault="00F23F8F"/>
    <w:p w14:paraId="7CBEDAE1" w14:textId="77777777" w:rsidR="00E33FBE" w:rsidRDefault="00E33FBE"/>
    <w:p w14:paraId="675E2878" w14:textId="77777777" w:rsidR="00E33FBE" w:rsidRDefault="00E33FBE"/>
    <w:p w14:paraId="12B99F92" w14:textId="77777777" w:rsidR="00E33FBE" w:rsidRDefault="00E33FBE"/>
    <w:p w14:paraId="77929714" w14:textId="77777777" w:rsidR="00E33FBE" w:rsidRDefault="00E33FBE"/>
    <w:p w14:paraId="1489FD46" w14:textId="77777777" w:rsidR="00E33FBE" w:rsidRDefault="00E33FBE"/>
    <w:p w14:paraId="2974AD15" w14:textId="77777777" w:rsidR="00E33FBE" w:rsidRDefault="00E33FBE"/>
    <w:p w14:paraId="0E5D5BF9" w14:textId="77777777" w:rsidR="00E33FBE" w:rsidRDefault="00E33FBE"/>
    <w:p w14:paraId="03C1900C" w14:textId="77777777" w:rsidR="00E33FBE" w:rsidRDefault="00E33FBE"/>
    <w:p w14:paraId="435C0888" w14:textId="77777777" w:rsidR="00E33FBE" w:rsidRDefault="00E33FBE" w:rsidP="00E33FBE"/>
    <w:p w14:paraId="57F433F7" w14:textId="77777777" w:rsidR="00E33FBE" w:rsidRDefault="00E33FBE"/>
    <w:p w14:paraId="34B81718" w14:textId="77777777" w:rsidR="00E33FBE" w:rsidRDefault="00E33FBE"/>
    <w:sectPr w:rsidR="00E33FBE" w:rsidSect="00B12F24">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B94EE8" w14:textId="77777777" w:rsidR="00162675" w:rsidRDefault="00162675" w:rsidP="00406F6D">
      <w:pPr>
        <w:spacing w:after="0" w:line="240" w:lineRule="auto"/>
      </w:pPr>
      <w:r>
        <w:separator/>
      </w:r>
    </w:p>
  </w:endnote>
  <w:endnote w:type="continuationSeparator" w:id="0">
    <w:p w14:paraId="3BA78BD2" w14:textId="77777777" w:rsidR="00162675" w:rsidRDefault="00162675" w:rsidP="00406F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230F0A" w14:textId="77777777" w:rsidR="00162675" w:rsidRDefault="00162675" w:rsidP="00406F6D">
      <w:pPr>
        <w:spacing w:after="0" w:line="240" w:lineRule="auto"/>
      </w:pPr>
      <w:r>
        <w:separator/>
      </w:r>
    </w:p>
  </w:footnote>
  <w:footnote w:type="continuationSeparator" w:id="0">
    <w:p w14:paraId="2816DBCA" w14:textId="77777777" w:rsidR="00162675" w:rsidRDefault="00162675" w:rsidP="00406F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5F17FF"/>
    <w:multiLevelType w:val="hybridMultilevel"/>
    <w:tmpl w:val="A734FC7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3060102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LQwMjOyNLM0tLQwszBS0lEKTi0uzszPAykwNKgFAEl1mCYtAAAA"/>
  </w:docVars>
  <w:rsids>
    <w:rsidRoot w:val="001F27CF"/>
    <w:rsid w:val="00010FE5"/>
    <w:rsid w:val="0005534E"/>
    <w:rsid w:val="00061987"/>
    <w:rsid w:val="00077053"/>
    <w:rsid w:val="00083B5C"/>
    <w:rsid w:val="000911BE"/>
    <w:rsid w:val="00092FE9"/>
    <w:rsid w:val="000A095F"/>
    <w:rsid w:val="000B5AA0"/>
    <w:rsid w:val="000C2CA4"/>
    <w:rsid w:val="000E42F3"/>
    <w:rsid w:val="00103C13"/>
    <w:rsid w:val="001043EE"/>
    <w:rsid w:val="0011760B"/>
    <w:rsid w:val="0012702C"/>
    <w:rsid w:val="00134592"/>
    <w:rsid w:val="001362EE"/>
    <w:rsid w:val="00137207"/>
    <w:rsid w:val="00147210"/>
    <w:rsid w:val="00152C5E"/>
    <w:rsid w:val="0016014B"/>
    <w:rsid w:val="00162675"/>
    <w:rsid w:val="00172362"/>
    <w:rsid w:val="00197FA0"/>
    <w:rsid w:val="001B39AE"/>
    <w:rsid w:val="001B559F"/>
    <w:rsid w:val="001B58AF"/>
    <w:rsid w:val="001C2FA8"/>
    <w:rsid w:val="001D60CB"/>
    <w:rsid w:val="001F27CF"/>
    <w:rsid w:val="00207200"/>
    <w:rsid w:val="00230FE6"/>
    <w:rsid w:val="002316E3"/>
    <w:rsid w:val="00245EDD"/>
    <w:rsid w:val="00251936"/>
    <w:rsid w:val="00253ED3"/>
    <w:rsid w:val="00254971"/>
    <w:rsid w:val="00257F09"/>
    <w:rsid w:val="0026297B"/>
    <w:rsid w:val="002656CC"/>
    <w:rsid w:val="00270E0A"/>
    <w:rsid w:val="00271E92"/>
    <w:rsid w:val="00274EF4"/>
    <w:rsid w:val="00274EFB"/>
    <w:rsid w:val="002A5286"/>
    <w:rsid w:val="002A6E95"/>
    <w:rsid w:val="002B1260"/>
    <w:rsid w:val="002E4B58"/>
    <w:rsid w:val="002E4EE1"/>
    <w:rsid w:val="002E69A4"/>
    <w:rsid w:val="002F6FD6"/>
    <w:rsid w:val="003026F5"/>
    <w:rsid w:val="00314D9E"/>
    <w:rsid w:val="00321C7D"/>
    <w:rsid w:val="003314FC"/>
    <w:rsid w:val="0033174F"/>
    <w:rsid w:val="00332AC5"/>
    <w:rsid w:val="00333058"/>
    <w:rsid w:val="00337B3A"/>
    <w:rsid w:val="00344524"/>
    <w:rsid w:val="00364471"/>
    <w:rsid w:val="00375E1D"/>
    <w:rsid w:val="00383799"/>
    <w:rsid w:val="003A4749"/>
    <w:rsid w:val="003B1D8A"/>
    <w:rsid w:val="003B3373"/>
    <w:rsid w:val="003B6511"/>
    <w:rsid w:val="003F4E0B"/>
    <w:rsid w:val="0040211B"/>
    <w:rsid w:val="004036A7"/>
    <w:rsid w:val="00406F6D"/>
    <w:rsid w:val="00420A0E"/>
    <w:rsid w:val="00423272"/>
    <w:rsid w:val="004302B7"/>
    <w:rsid w:val="00442852"/>
    <w:rsid w:val="0046264F"/>
    <w:rsid w:val="00463ED2"/>
    <w:rsid w:val="00475869"/>
    <w:rsid w:val="00481B4C"/>
    <w:rsid w:val="00486A86"/>
    <w:rsid w:val="00492554"/>
    <w:rsid w:val="004A1280"/>
    <w:rsid w:val="004A5B6F"/>
    <w:rsid w:val="004C1E35"/>
    <w:rsid w:val="004C5E28"/>
    <w:rsid w:val="004D0111"/>
    <w:rsid w:val="004D25CB"/>
    <w:rsid w:val="004E50CF"/>
    <w:rsid w:val="004F4D75"/>
    <w:rsid w:val="00500DE1"/>
    <w:rsid w:val="005174F7"/>
    <w:rsid w:val="00534524"/>
    <w:rsid w:val="005514D2"/>
    <w:rsid w:val="005570C0"/>
    <w:rsid w:val="00561874"/>
    <w:rsid w:val="005757EA"/>
    <w:rsid w:val="00576E70"/>
    <w:rsid w:val="00585D67"/>
    <w:rsid w:val="00591124"/>
    <w:rsid w:val="005A19A3"/>
    <w:rsid w:val="005A1D6C"/>
    <w:rsid w:val="005B7024"/>
    <w:rsid w:val="005C4739"/>
    <w:rsid w:val="005C73FA"/>
    <w:rsid w:val="005C7560"/>
    <w:rsid w:val="005D2B3F"/>
    <w:rsid w:val="00600E5C"/>
    <w:rsid w:val="00610130"/>
    <w:rsid w:val="006145CA"/>
    <w:rsid w:val="00632559"/>
    <w:rsid w:val="0064030D"/>
    <w:rsid w:val="0065614A"/>
    <w:rsid w:val="00663186"/>
    <w:rsid w:val="00682C52"/>
    <w:rsid w:val="0068786A"/>
    <w:rsid w:val="00691A82"/>
    <w:rsid w:val="00694023"/>
    <w:rsid w:val="006963A0"/>
    <w:rsid w:val="006B41E0"/>
    <w:rsid w:val="006C6B5F"/>
    <w:rsid w:val="006D3628"/>
    <w:rsid w:val="006E3994"/>
    <w:rsid w:val="006E6B70"/>
    <w:rsid w:val="006F3E01"/>
    <w:rsid w:val="007060F9"/>
    <w:rsid w:val="007250A0"/>
    <w:rsid w:val="007317DC"/>
    <w:rsid w:val="007341F0"/>
    <w:rsid w:val="00742255"/>
    <w:rsid w:val="00743265"/>
    <w:rsid w:val="0075157A"/>
    <w:rsid w:val="00751B91"/>
    <w:rsid w:val="007575F7"/>
    <w:rsid w:val="00762DEF"/>
    <w:rsid w:val="00764F72"/>
    <w:rsid w:val="00777A8D"/>
    <w:rsid w:val="00780658"/>
    <w:rsid w:val="0078331C"/>
    <w:rsid w:val="0079350A"/>
    <w:rsid w:val="00793C09"/>
    <w:rsid w:val="007A2829"/>
    <w:rsid w:val="007C0DE2"/>
    <w:rsid w:val="007D4428"/>
    <w:rsid w:val="007D44A9"/>
    <w:rsid w:val="007E1101"/>
    <w:rsid w:val="007F220A"/>
    <w:rsid w:val="008068F9"/>
    <w:rsid w:val="0081235C"/>
    <w:rsid w:val="008159C4"/>
    <w:rsid w:val="00831B31"/>
    <w:rsid w:val="008434BD"/>
    <w:rsid w:val="008461A0"/>
    <w:rsid w:val="00852196"/>
    <w:rsid w:val="00861FDC"/>
    <w:rsid w:val="0086268E"/>
    <w:rsid w:val="00865196"/>
    <w:rsid w:val="00885D25"/>
    <w:rsid w:val="00887872"/>
    <w:rsid w:val="0089056E"/>
    <w:rsid w:val="008955F5"/>
    <w:rsid w:val="008A7E2F"/>
    <w:rsid w:val="008C09CC"/>
    <w:rsid w:val="008D5A31"/>
    <w:rsid w:val="008E244D"/>
    <w:rsid w:val="008E3F67"/>
    <w:rsid w:val="008E76D9"/>
    <w:rsid w:val="0090387C"/>
    <w:rsid w:val="0092441A"/>
    <w:rsid w:val="00935DEA"/>
    <w:rsid w:val="0093704A"/>
    <w:rsid w:val="00937915"/>
    <w:rsid w:val="00941D3E"/>
    <w:rsid w:val="009514F7"/>
    <w:rsid w:val="00953D3A"/>
    <w:rsid w:val="009650B7"/>
    <w:rsid w:val="00992DF1"/>
    <w:rsid w:val="00996C15"/>
    <w:rsid w:val="009B21F0"/>
    <w:rsid w:val="009C1C78"/>
    <w:rsid w:val="009C2D63"/>
    <w:rsid w:val="009C6FC9"/>
    <w:rsid w:val="009F15E2"/>
    <w:rsid w:val="00A07BE0"/>
    <w:rsid w:val="00A07C36"/>
    <w:rsid w:val="00A24163"/>
    <w:rsid w:val="00A30360"/>
    <w:rsid w:val="00A30DD7"/>
    <w:rsid w:val="00A33557"/>
    <w:rsid w:val="00A36E59"/>
    <w:rsid w:val="00A42C04"/>
    <w:rsid w:val="00A42F34"/>
    <w:rsid w:val="00A4501B"/>
    <w:rsid w:val="00A475E5"/>
    <w:rsid w:val="00A60E84"/>
    <w:rsid w:val="00A84BF8"/>
    <w:rsid w:val="00A90A32"/>
    <w:rsid w:val="00B12F24"/>
    <w:rsid w:val="00B20725"/>
    <w:rsid w:val="00B25A8A"/>
    <w:rsid w:val="00B3786B"/>
    <w:rsid w:val="00B40614"/>
    <w:rsid w:val="00B457B4"/>
    <w:rsid w:val="00B46513"/>
    <w:rsid w:val="00B46CCE"/>
    <w:rsid w:val="00B5051F"/>
    <w:rsid w:val="00B554ED"/>
    <w:rsid w:val="00B74F12"/>
    <w:rsid w:val="00B9253D"/>
    <w:rsid w:val="00B93004"/>
    <w:rsid w:val="00BA795D"/>
    <w:rsid w:val="00BC67C2"/>
    <w:rsid w:val="00C002AC"/>
    <w:rsid w:val="00C1058A"/>
    <w:rsid w:val="00C172E7"/>
    <w:rsid w:val="00C25164"/>
    <w:rsid w:val="00C47EE3"/>
    <w:rsid w:val="00C94C28"/>
    <w:rsid w:val="00C96A45"/>
    <w:rsid w:val="00CA2F10"/>
    <w:rsid w:val="00CB4CC7"/>
    <w:rsid w:val="00CB71CE"/>
    <w:rsid w:val="00CF2A4F"/>
    <w:rsid w:val="00D301F8"/>
    <w:rsid w:val="00D32133"/>
    <w:rsid w:val="00D513B6"/>
    <w:rsid w:val="00D53599"/>
    <w:rsid w:val="00D6392A"/>
    <w:rsid w:val="00D826A4"/>
    <w:rsid w:val="00D840F1"/>
    <w:rsid w:val="00D85BF6"/>
    <w:rsid w:val="00D87A1F"/>
    <w:rsid w:val="00D92AED"/>
    <w:rsid w:val="00DA7002"/>
    <w:rsid w:val="00DB20A6"/>
    <w:rsid w:val="00DC2F39"/>
    <w:rsid w:val="00DC41C0"/>
    <w:rsid w:val="00DC5B08"/>
    <w:rsid w:val="00DD2ABD"/>
    <w:rsid w:val="00DE3528"/>
    <w:rsid w:val="00E10F7E"/>
    <w:rsid w:val="00E1306D"/>
    <w:rsid w:val="00E21CED"/>
    <w:rsid w:val="00E32F0D"/>
    <w:rsid w:val="00E33FBE"/>
    <w:rsid w:val="00E4744A"/>
    <w:rsid w:val="00E61DE4"/>
    <w:rsid w:val="00E633F3"/>
    <w:rsid w:val="00E65CFB"/>
    <w:rsid w:val="00E71937"/>
    <w:rsid w:val="00E743FA"/>
    <w:rsid w:val="00F0732F"/>
    <w:rsid w:val="00F074B1"/>
    <w:rsid w:val="00F23F8F"/>
    <w:rsid w:val="00F30273"/>
    <w:rsid w:val="00F40D29"/>
    <w:rsid w:val="00F5619D"/>
    <w:rsid w:val="00F7076A"/>
    <w:rsid w:val="00F71E4C"/>
    <w:rsid w:val="00F76DA3"/>
    <w:rsid w:val="00F77DEF"/>
    <w:rsid w:val="00F85C23"/>
    <w:rsid w:val="00F87D73"/>
    <w:rsid w:val="00FA2626"/>
    <w:rsid w:val="00FB3E77"/>
    <w:rsid w:val="00FE11E2"/>
    <w:rsid w:val="00FE1CC8"/>
    <w:rsid w:val="00FF58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D5B35"/>
  <w15:chartTrackingRefBased/>
  <w15:docId w15:val="{E63606BD-94B3-416C-8481-CA6C03FE4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F27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E3994"/>
    <w:pPr>
      <w:spacing w:after="0" w:line="240" w:lineRule="auto"/>
    </w:pPr>
    <w:rPr>
      <w:lang w:val="en-GB"/>
    </w:rPr>
  </w:style>
  <w:style w:type="paragraph" w:styleId="Header">
    <w:name w:val="header"/>
    <w:basedOn w:val="Normal"/>
    <w:link w:val="HeaderChar"/>
    <w:uiPriority w:val="99"/>
    <w:unhideWhenUsed/>
    <w:rsid w:val="00406F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6F6D"/>
    <w:rPr>
      <w:lang w:val="en-GB"/>
    </w:rPr>
  </w:style>
  <w:style w:type="paragraph" w:styleId="Footer">
    <w:name w:val="footer"/>
    <w:basedOn w:val="Normal"/>
    <w:link w:val="FooterChar"/>
    <w:uiPriority w:val="99"/>
    <w:unhideWhenUsed/>
    <w:rsid w:val="00406F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6F6D"/>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2337</TotalTime>
  <Pages>1</Pages>
  <Words>1080</Words>
  <Characters>6158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Shamsudeen Mohammed</dc:creator>
  <cp:keywords/>
  <dc:description/>
  <cp:lastModifiedBy>Shamsudeen Mohammed</cp:lastModifiedBy>
  <cp:revision>250</cp:revision>
  <dcterms:created xsi:type="dcterms:W3CDTF">2022-02-08T22:06:00Z</dcterms:created>
  <dcterms:modified xsi:type="dcterms:W3CDTF">2023-04-10T10:03:00Z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98c10ab6391b623bd06d325a67f7ab34ec6827ec1a826ebf3fcb5f630d362aa6</vt:lpwstr>
  </property>
</Properties>
</file>