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67A3" w14:textId="77777777" w:rsidR="001243CD" w:rsidRPr="00D81DBE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Pr="00D81DBE">
        <w:rPr>
          <w:rFonts w:ascii="Times New Roman" w:hAnsi="Times New Roman" w:cs="Times New Roman"/>
          <w:b/>
          <w:bCs/>
          <w:sz w:val="28"/>
          <w:szCs w:val="28"/>
        </w:rPr>
        <w:t>Decomposing inequality in Maternal and Child Health (MCH) Services in Nepal</w:t>
      </w:r>
    </w:p>
    <w:p w14:paraId="3FF65E6F" w14:textId="77777777" w:rsidR="00D81DBE" w:rsidRPr="00D81DBE" w:rsidRDefault="00000000" w:rsidP="00D81DBE">
      <w:pPr>
        <w:rPr>
          <w:rFonts w:cstheme="minorHAnsi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</w:rPr>
        <w:br/>
      </w:r>
      <w:r w:rsidR="00D81DBE" w:rsidRPr="00D81DBE">
        <w:rPr>
          <w:rFonts w:cstheme="minorHAnsi"/>
          <w:b/>
          <w:bCs/>
          <w:kern w:val="0"/>
          <w14:ligatures w14:val="none"/>
        </w:rPr>
        <w:t>Derivation of equation (3)</w:t>
      </w:r>
    </w:p>
    <w:p w14:paraId="69918F47" w14:textId="77777777" w:rsidR="00D81DBE" w:rsidRPr="00D81DBE" w:rsidRDefault="00D81DBE" w:rsidP="00D81DBE">
      <w:pPr>
        <w:suppressAutoHyphens w:val="0"/>
        <w:rPr>
          <w:rFonts w:cstheme="minorHAnsi"/>
          <w:b/>
          <w:bCs/>
          <w:kern w:val="0"/>
          <w14:ligatures w14:val="none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kern w:val="0"/>
              <w14:ligatures w14:val="none"/>
            </w:rPr>
            <m:t>C=</m:t>
          </m:r>
          <m:f>
            <m:fPr>
              <m:ctrlPr>
                <w:rPr>
                  <w:rFonts w:ascii="Cambria Math" w:hAnsi="Cambria Math" w:cstheme="minorHAnsi"/>
                  <w:i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hAnsi="Cambria Math" w:cstheme="minorHAnsi"/>
                  <w:kern w:val="0"/>
                  <w14:ligatures w14:val="none"/>
                </w:rPr>
                <m:t>2cov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kern w:val="0"/>
                      <w14:ligatures w14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kern w:val="0"/>
                          <w14:ligatures w14:val="none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kern w:val="0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inorHAnsi"/>
                      <w:kern w:val="0"/>
                      <w14:ligatures w14:val="none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kern w:val="0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kern w:val="0"/>
                          <w14:ligatures w14:val="none"/>
                        </w:rPr>
                        <m:t>i</m:t>
                      </m:r>
                    </m:sub>
                  </m:sSub>
                </m:e>
              </m:d>
            </m:num>
            <m:den>
              <m:acc>
                <m:accPr>
                  <m:chr m:val="̅"/>
                  <m:ctrlPr>
                    <w:rPr>
                      <w:rFonts w:ascii="Cambria Math" w:hAnsi="Cambria Math" w:cstheme="minorHAnsi"/>
                      <w:i/>
                      <w:kern w:val="0"/>
                      <w14:ligatures w14:val="none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kern w:val="0"/>
                      <w14:ligatures w14:val="none"/>
                    </w:rPr>
                    <m:t>H</m:t>
                  </m:r>
                </m:e>
              </m:acc>
            </m:den>
          </m:f>
        </m:oMath>
      </m:oMathPara>
    </w:p>
    <w:p w14:paraId="10329786" w14:textId="77777777" w:rsidR="00D81DBE" w:rsidRPr="00D81DBE" w:rsidRDefault="00D81DBE" w:rsidP="00D81DBE">
      <w:pPr>
        <w:suppressAutoHyphens w:val="0"/>
        <w:spacing w:line="360" w:lineRule="auto"/>
        <w:rPr>
          <w:rFonts w:cstheme="minorHAnsi"/>
          <w:i/>
          <w:iCs/>
          <w:color w:val="000000" w:themeColor="text1"/>
          <w:kern w:val="0"/>
          <w14:ligatures w14:val="none"/>
        </w:rPr>
      </w:pP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    =</m:t>
        </m:r>
        <m:f>
          <m:fPr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[E</m:t>
        </m:r>
        <m:d>
          <m:dPr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H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.</m:t>
            </m:r>
            <m:sSub>
              <m:sSub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-E</m:t>
        </m:r>
        <m:d>
          <m:dPr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H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. E</m:t>
        </m:r>
        <m:d>
          <m:dPr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]</m:t>
        </m:r>
      </m:oMath>
      <w:r w:rsidRPr="00D81DBE">
        <w:rPr>
          <w:rFonts w:cstheme="minorHAnsi"/>
          <w:i/>
          <w:iCs/>
          <w:color w:val="000000" w:themeColor="text1"/>
          <w:kern w:val="0"/>
          <w14:ligatures w14:val="none"/>
        </w:rPr>
        <w:t xml:space="preserve"> </w:t>
      </w:r>
    </w:p>
    <w:p w14:paraId="7FEBA566" w14:textId="77777777" w:rsidR="00D81DBE" w:rsidRPr="00D81DBE" w:rsidRDefault="00D81DBE" w:rsidP="00D81DBE">
      <w:pPr>
        <w:suppressAutoHyphens w:val="0"/>
        <w:spacing w:line="360" w:lineRule="auto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i/>
          <w:color w:val="000000" w:themeColor="text1"/>
          <w:kern w:val="0"/>
          <w14:ligatures w14:val="none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</m:t>
        </m:r>
        <m:f>
          <m:fPr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[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i=1</m:t>
            </m:r>
          </m:sub>
          <m:sup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H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.</m:t>
            </m:r>
            <m:f>
              <m:f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n</m:t>
                </m:r>
              </m:den>
            </m:f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- </m:t>
            </m:r>
          </m:e>
        </m:nary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1/2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i/>
                <w:iCs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i=1</m:t>
            </m:r>
          </m:sub>
          <m:sup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theme="minorHAnsi"/>
                    <w:i/>
                    <w:iCs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n</m:t>
                </m:r>
              </m:den>
            </m:f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 </m:t>
            </m:r>
          </m:e>
        </m:nary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]</m:t>
        </m:r>
      </m:oMath>
      <w:r w:rsidRPr="00D81DBE">
        <w:rPr>
          <w:rFonts w:cstheme="minorHAnsi"/>
          <w:i/>
          <w:iCs/>
          <w:color w:val="000000" w:themeColor="text1"/>
          <w:kern w:val="0"/>
          <w14:ligatures w14:val="none"/>
        </w:rPr>
        <w:t xml:space="preserve"> </w:t>
      </w: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                                             </w:t>
      </w:r>
    </w:p>
    <w:p w14:paraId="0E354354" w14:textId="77777777" w:rsidR="00D81DBE" w:rsidRPr="00D81DBE" w:rsidRDefault="00D81DBE" w:rsidP="00D81DBE">
      <w:pPr>
        <w:suppressAutoHyphens w:val="0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nary>
          <m:naryPr>
            <m:chr m:val="∑"/>
            <m:limLoc m:val="undOvr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i=1</m:t>
            </m:r>
          </m:sub>
          <m:sup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H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.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</m:e>
        </m:nary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-1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  </w:t>
      </w:r>
    </w:p>
    <w:p w14:paraId="2C649800" w14:textId="77777777" w:rsidR="00D81DBE" w:rsidRPr="00D81DBE" w:rsidRDefault="00D81DBE" w:rsidP="00D81DBE">
      <w:pPr>
        <w:suppressAutoHyphens w:val="0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D81DBE">
        <w:rPr>
          <w:rFonts w:cstheme="minorHAnsi"/>
          <w:b/>
          <w:bCs/>
          <w:color w:val="000000" w:themeColor="text1"/>
          <w:kern w:val="0"/>
          <w14:ligatures w14:val="none"/>
        </w:rPr>
        <w:t>Derivation of equation (5)</w:t>
      </w:r>
    </w:p>
    <w:p w14:paraId="2A281177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C=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nary>
          <m:naryPr>
            <m:chr m:val="∑"/>
            <m:limLoc m:val="undOvr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i=1</m:t>
            </m:r>
          </m:sub>
          <m:sup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</m:sup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[α+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ki</m:t>
                    </m:r>
                  </m:sub>
                </m:sSub>
              </m:e>
            </m:nary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ϵ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].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</m:e>
        </m:nary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-1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</w:p>
    <w:p w14:paraId="5E32D76C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α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nary>
              <m:naryPr>
                <m:chr m:val="∑"/>
                <m:limLoc m:val="undOvr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i=1</m:t>
                </m:r>
              </m:sub>
              <m:sup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ki</m:t>
                    </m:r>
                  </m:sub>
                </m:sSub>
              </m:e>
            </m:nary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+ 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 xml:space="preserve">. 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i</m:t>
                    </m:r>
                  </m:sub>
                </m:sSub>
              </m:e>
            </m:nary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-1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</w:p>
    <w:p w14:paraId="5F7F383A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α.</m:t>
            </m:r>
            <m:f>
              <m:f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n</m:t>
                </m:r>
              </m:num>
              <m:den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2</m:t>
                </m:r>
              </m:den>
            </m:f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nary>
              <m:naryPr>
                <m:chr m:val="∑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  <m:sup/>
              <m:e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kern w:val="0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2</m:t>
                    </m:r>
                  </m:den>
                </m:f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.n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kern w:val="0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</m:e>
            </m:nary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+G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ϵ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.</m:t>
            </m:r>
            <m:f>
              <m:f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n</m:t>
                </m:r>
              </m:num>
              <m:den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2</m:t>
                </m:r>
              </m:den>
            </m:f>
          </m:e>
        </m:d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                                     </w:t>
      </w:r>
      <w:r w:rsidRPr="00D81DBE">
        <w:rPr>
          <w:rFonts w:ascii="Cambria Math" w:hAnsi="Cambria Math" w:cs="Cambria Math"/>
          <w:color w:val="000000" w:themeColor="text1"/>
          <w:kern w:val="0"/>
          <w14:ligatures w14:val="none"/>
        </w:rPr>
        <w:t>∵</w:t>
      </w:r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C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k</m:t>
            </m:r>
          </m:sub>
        </m:sSub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n.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i=1</m:t>
            </m:r>
          </m:sub>
          <m:sup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.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i</m:t>
                </m:r>
              </m:sub>
            </m:sSub>
          </m:e>
        </m:nary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-1 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</w:p>
    <w:p w14:paraId="2E9CFBC9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1</m:t>
            </m:r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α+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nary>
              <m:naryPr>
                <m:chr m:val="∑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  <m:sup/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kern w:val="0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+1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kern w:val="0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</m:e>
            </m:nary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+G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ϵ</m:t>
                </m:r>
              </m:sub>
            </m:sSub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-1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</w:p>
    <w:p w14:paraId="57742B61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1</m:t>
            </m:r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α+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. </m:t>
            </m:r>
            <m:nary>
              <m:naryPr>
                <m:chr m:val="∑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</m:e>
            </m:nary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β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+G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ϵ</m:t>
                </m:r>
              </m:sub>
            </m:sSub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-1 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</w:p>
    <w:p w14:paraId="1EB10E85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=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1</m:t>
            </m:r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+ </m:t>
            </m:r>
            <m:nary>
              <m:naryPr>
                <m:chr m:val="∑"/>
                <m:supHide m:val="1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naryPr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</m:e>
            </m:nary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. 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+G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ϵ</m:t>
                </m:r>
              </m:sub>
            </m:sSub>
          </m:e>
        </m:d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-1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                                              </w:t>
      </w:r>
      <w:r w:rsidRPr="00D81DBE">
        <w:rPr>
          <w:rFonts w:ascii="Cambria Math" w:hAnsi="Cambria Math" w:cs="Cambria Math"/>
          <w:color w:val="000000" w:themeColor="text1"/>
          <w:kern w:val="0"/>
          <w14:ligatures w14:val="none"/>
        </w:rPr>
        <w:t>∵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μ=α+ </m:t>
        </m:r>
        <m:sSub>
          <m:sSub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β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k</m:t>
            </m:r>
          </m:sub>
        </m:sSub>
        <m:sSub>
          <m:sSub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x</m:t>
                </m:r>
              </m:e>
            </m:acc>
          </m:e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k</m:t>
            </m:r>
          </m:sub>
        </m:sSub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 xml:space="preserve"> </m:t>
        </m:r>
      </m:oMath>
    </w:p>
    <w:p w14:paraId="0986B579" w14:textId="77777777" w:rsidR="00D81DBE" w:rsidRPr="00D81DBE" w:rsidRDefault="00D81DBE" w:rsidP="00D81DBE">
      <w:pPr>
        <w:suppressAutoHyphens w:val="0"/>
        <w:spacing w:line="360" w:lineRule="auto"/>
        <w:jc w:val="both"/>
        <w:rPr>
          <w:rFonts w:cstheme="minorHAnsi"/>
          <w:color w:val="000000" w:themeColor="text1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=1+</m:t>
        </m:r>
        <m:nary>
          <m:naryPr>
            <m:chr m:val="∑"/>
            <m:supHide m:val="1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k</m:t>
            </m:r>
          </m:sub>
          <m:sup/>
          <m:e>
            <m:f>
              <m:f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kern w:val="0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</m:num>
              <m:den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kern w:val="0"/>
                        <w14:ligatures w14:val="none"/>
                      </w:rPr>
                      <m:t>H</m:t>
                    </m:r>
                  </m:e>
                </m:acc>
              </m:den>
            </m:f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. 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</m:e>
        </m:nary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+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G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ϵ</m:t>
                </m:r>
              </m:sub>
            </m:sSub>
          </m:num>
          <m:den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kern w:val="0"/>
                    <w14:ligatures w14:val="none"/>
                  </w:rPr>
                </m:ctrlPr>
              </m:accPr>
              <m:e>
                <m:r>
                  <w:rPr>
                    <w:rFonts w:ascii="Cambria Math" w:hAnsi="Cambria Math" w:cstheme="minorHAnsi"/>
                    <w:kern w:val="0"/>
                    <w14:ligatures w14:val="none"/>
                  </w:rPr>
                  <m:t>H</m:t>
                </m:r>
              </m:e>
            </m:acc>
          </m:den>
        </m:f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-1</m:t>
        </m:r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</w:t>
      </w:r>
    </w:p>
    <w:p w14:paraId="6B1B6C3F" w14:textId="2F05B6F9" w:rsidR="001243CD" w:rsidRPr="00D81DBE" w:rsidRDefault="00D81DBE" w:rsidP="00D81DBE">
      <w:pPr>
        <w:suppressAutoHyphens w:val="0"/>
        <w:rPr>
          <w:rFonts w:eastAsiaTheme="minorEastAsia" w:cstheme="minorHAnsi"/>
          <w:kern w:val="0"/>
          <w14:ligatures w14:val="none"/>
        </w:rPr>
      </w:pPr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</w:t>
      </w:r>
      <m:oMath>
        <m:r>
          <w:rPr>
            <w:rFonts w:ascii="Cambria Math" w:hAnsi="Cambria Math" w:cstheme="minorHAnsi"/>
            <w:color w:val="000000" w:themeColor="text1"/>
            <w:kern w:val="0"/>
            <w14:ligatures w14:val="none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theme="minorHAnsi"/>
                <w:i/>
                <w:color w:val="000000" w:themeColor="text1"/>
                <w:kern w:val="0"/>
                <w14:ligatures w14:val="none"/>
              </w:rPr>
            </m:ctrlPr>
          </m:naryPr>
          <m: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k</m:t>
            </m:r>
          </m:sub>
          <m:sup/>
          <m:e>
            <m:f>
              <m:f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kern w:val="0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kern w:val="0"/>
                            <w14:ligatures w14:val="none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k</m:t>
                    </m:r>
                  </m:sub>
                </m:sSub>
              </m:num>
              <m:den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kern w:val="0"/>
                        <w14:ligatures w14:val="none"/>
                      </w:rPr>
                      <m:t>H</m:t>
                    </m:r>
                  </m:e>
                </m:acc>
              </m:den>
            </m:f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 xml:space="preserve">. 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k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kern w:val="0"/>
                <w14:ligatures w14:val="none"/>
              </w:rPr>
              <m:t>+</m:t>
            </m:r>
            <m:f>
              <m:fPr>
                <m:ctrlPr>
                  <w:rPr>
                    <w:rFonts w:ascii="Cambria Math" w:hAnsi="Cambria Math" w:cstheme="minorHAnsi"/>
                    <w:i/>
                    <w:color w:val="000000" w:themeColor="text1"/>
                    <w:kern w:val="0"/>
                    <w14:ligatures w14:val="none"/>
                  </w:rPr>
                </m:ctrlPr>
              </m:fPr>
              <m:num>
                <m:r>
                  <w:rPr>
                    <w:rFonts w:ascii="Cambria Math" w:hAnsi="Cambria Math" w:cstheme="minorHAnsi"/>
                    <w:color w:val="000000" w:themeColor="text1"/>
                    <w:kern w:val="0"/>
                    <w14:ligatures w14:val="none"/>
                  </w:rPr>
                  <m:t>G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kern w:val="0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 w:themeColor="text1"/>
                        <w:kern w:val="0"/>
                        <w14:ligatures w14:val="none"/>
                      </w:rPr>
                      <m:t>ϵ</m:t>
                    </m:r>
                  </m:sub>
                </m:sSub>
              </m:num>
              <m:den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  <w:kern w:val="0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kern w:val="0"/>
                        <w14:ligatures w14:val="none"/>
                      </w:rPr>
                      <m:t>H</m:t>
                    </m:r>
                  </m:e>
                </m:acc>
              </m:den>
            </m:f>
          </m:e>
        </m:nary>
      </m:oMath>
      <w:r w:rsidRPr="00D81DBE">
        <w:rPr>
          <w:rFonts w:cstheme="minorHAnsi"/>
          <w:color w:val="000000" w:themeColor="text1"/>
          <w:kern w:val="0"/>
          <w14:ligatures w14:val="none"/>
        </w:rPr>
        <w:t xml:space="preserve">             </w:t>
      </w:r>
    </w:p>
    <w:p w14:paraId="16149A6F" w14:textId="77777777" w:rsidR="001243CD" w:rsidRDefault="001243CD">
      <w:pPr>
        <w:rPr>
          <w:rFonts w:ascii="Times New Roman" w:hAnsi="Times New Roman"/>
        </w:rPr>
      </w:pPr>
    </w:p>
    <w:p w14:paraId="2F755D61" w14:textId="77777777" w:rsidR="001243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Supplementary table 1:</w:t>
      </w:r>
      <w:r>
        <w:rPr>
          <w:rFonts w:ascii="Times New Roman" w:hAnsi="Times New Roman" w:cs="Times New Roman"/>
        </w:rPr>
        <w:t xml:space="preserve"> List of variables identified from literature and available in Nepal Demographic Health Survey 2011 and 2016 dataset</w:t>
      </w: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5215"/>
        <w:gridCol w:w="1250"/>
      </w:tblGrid>
      <w:tr w:rsidR="001243CD" w14:paraId="3B0B3ED8" w14:textId="77777777">
        <w:tc>
          <w:tcPr>
            <w:tcW w:w="540" w:type="dxa"/>
          </w:tcPr>
          <w:p w14:paraId="448C2FE6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SN</w:t>
            </w:r>
          </w:p>
        </w:tc>
        <w:tc>
          <w:tcPr>
            <w:tcW w:w="2340" w:type="dxa"/>
          </w:tcPr>
          <w:p w14:paraId="5116665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5214" w:type="dxa"/>
          </w:tcPr>
          <w:p w14:paraId="6361050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Measurement</w:t>
            </w:r>
          </w:p>
        </w:tc>
        <w:tc>
          <w:tcPr>
            <w:tcW w:w="1250" w:type="dxa"/>
          </w:tcPr>
          <w:p w14:paraId="1C09B256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References</w:t>
            </w:r>
          </w:p>
        </w:tc>
      </w:tr>
      <w:tr w:rsidR="001243CD" w14:paraId="6D6176D6" w14:textId="77777777">
        <w:tc>
          <w:tcPr>
            <w:tcW w:w="540" w:type="dxa"/>
          </w:tcPr>
          <w:p w14:paraId="3976C7C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14:paraId="1CD9DE14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ANC Visits</w:t>
            </w:r>
          </w:p>
        </w:tc>
        <w:tc>
          <w:tcPr>
            <w:tcW w:w="5214" w:type="dxa"/>
          </w:tcPr>
          <w:p w14:paraId="6D296A1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 per WHO standards: at least 4 visits (0); less than 4 visits (1)</w:t>
            </w:r>
          </w:p>
        </w:tc>
        <w:tc>
          <w:tcPr>
            <w:tcW w:w="1250" w:type="dxa"/>
          </w:tcPr>
          <w:p w14:paraId="68D924B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</w:tr>
      <w:tr w:rsidR="001243CD" w14:paraId="7B50F371" w14:textId="77777777">
        <w:tc>
          <w:tcPr>
            <w:tcW w:w="540" w:type="dxa"/>
          </w:tcPr>
          <w:p w14:paraId="4F18D61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06DA355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Postnatal checkup</w:t>
            </w:r>
          </w:p>
        </w:tc>
        <w:tc>
          <w:tcPr>
            <w:tcW w:w="5214" w:type="dxa"/>
          </w:tcPr>
          <w:p w14:paraId="7C3DA75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Yes (0); No (1)</w:t>
            </w:r>
          </w:p>
        </w:tc>
        <w:tc>
          <w:tcPr>
            <w:tcW w:w="1250" w:type="dxa"/>
          </w:tcPr>
          <w:p w14:paraId="6449B92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</w:tr>
      <w:tr w:rsidR="001243CD" w14:paraId="56D91637" w14:textId="77777777">
        <w:tc>
          <w:tcPr>
            <w:tcW w:w="540" w:type="dxa"/>
          </w:tcPr>
          <w:p w14:paraId="6B9833E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14:paraId="490D114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Advised SBA delivery</w:t>
            </w:r>
          </w:p>
        </w:tc>
        <w:tc>
          <w:tcPr>
            <w:tcW w:w="5214" w:type="dxa"/>
          </w:tcPr>
          <w:p w14:paraId="155D506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Yes (0); No (1)</w:t>
            </w:r>
          </w:p>
        </w:tc>
        <w:tc>
          <w:tcPr>
            <w:tcW w:w="1250" w:type="dxa"/>
          </w:tcPr>
          <w:p w14:paraId="37E13C75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7-9</w:t>
            </w:r>
          </w:p>
        </w:tc>
      </w:tr>
      <w:tr w:rsidR="001243CD" w14:paraId="09AA1458" w14:textId="77777777">
        <w:tc>
          <w:tcPr>
            <w:tcW w:w="540" w:type="dxa"/>
          </w:tcPr>
          <w:p w14:paraId="6136214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40" w:type="dxa"/>
          </w:tcPr>
          <w:p w14:paraId="74A7B72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Age Group</w:t>
            </w:r>
          </w:p>
        </w:tc>
        <w:tc>
          <w:tcPr>
            <w:tcW w:w="5214" w:type="dxa"/>
          </w:tcPr>
          <w:p w14:paraId="612B020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15 to 24 (0), 25 to 34 (1) and 35 to 49 (2)</w:t>
            </w:r>
          </w:p>
        </w:tc>
        <w:tc>
          <w:tcPr>
            <w:tcW w:w="1250" w:type="dxa"/>
          </w:tcPr>
          <w:p w14:paraId="49F9A7E0" w14:textId="10598BFC" w:rsidR="001243CD" w:rsidRDefault="001933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21-22</w:t>
            </w:r>
          </w:p>
        </w:tc>
      </w:tr>
      <w:tr w:rsidR="001243CD" w14:paraId="3688616A" w14:textId="77777777">
        <w:tc>
          <w:tcPr>
            <w:tcW w:w="540" w:type="dxa"/>
          </w:tcPr>
          <w:p w14:paraId="5CDB30E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0" w:type="dxa"/>
          </w:tcPr>
          <w:p w14:paraId="5FEF41C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Wealth Index</w:t>
            </w:r>
          </w:p>
        </w:tc>
        <w:tc>
          <w:tcPr>
            <w:tcW w:w="5214" w:type="dxa"/>
          </w:tcPr>
          <w:p w14:paraId="78BBCD9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poorest (0); poorer (1); middle (2); richer (3); richest (4)</w:t>
            </w:r>
          </w:p>
        </w:tc>
        <w:tc>
          <w:tcPr>
            <w:tcW w:w="1250" w:type="dxa"/>
          </w:tcPr>
          <w:p w14:paraId="57CB8A60" w14:textId="36D4335F" w:rsidR="001243CD" w:rsidRDefault="00046E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  <w:r w:rsidR="00D8081F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7331C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1933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243CD" w14:paraId="04ED710F" w14:textId="77777777">
        <w:tc>
          <w:tcPr>
            <w:tcW w:w="540" w:type="dxa"/>
          </w:tcPr>
          <w:p w14:paraId="290DDF8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1443E9A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Sex of Household Head</w:t>
            </w:r>
          </w:p>
        </w:tc>
        <w:tc>
          <w:tcPr>
            <w:tcW w:w="5214" w:type="dxa"/>
          </w:tcPr>
          <w:p w14:paraId="0C66547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male (0); female (1)</w:t>
            </w:r>
          </w:p>
        </w:tc>
        <w:tc>
          <w:tcPr>
            <w:tcW w:w="1250" w:type="dxa"/>
          </w:tcPr>
          <w:p w14:paraId="4CC38C62" w14:textId="76097C1F" w:rsidR="001243CD" w:rsidRDefault="00BC08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</w:t>
            </w:r>
            <w:r w:rsidR="00D8081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243CD" w14:paraId="3D5A5D1E" w14:textId="77777777">
        <w:tc>
          <w:tcPr>
            <w:tcW w:w="540" w:type="dxa"/>
          </w:tcPr>
          <w:p w14:paraId="2416FDA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210EBCA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5214" w:type="dxa"/>
          </w:tcPr>
          <w:p w14:paraId="4D680E3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others (0); married (1)</w:t>
            </w:r>
          </w:p>
        </w:tc>
        <w:tc>
          <w:tcPr>
            <w:tcW w:w="1250" w:type="dxa"/>
          </w:tcPr>
          <w:p w14:paraId="2BF6FD26" w14:textId="4736103C" w:rsidR="001243CD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46E5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7331C9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</w:p>
        </w:tc>
      </w:tr>
      <w:tr w:rsidR="001243CD" w14:paraId="777B0D22" w14:textId="77777777">
        <w:tc>
          <w:tcPr>
            <w:tcW w:w="540" w:type="dxa"/>
          </w:tcPr>
          <w:p w14:paraId="4EB3183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14:paraId="47B511C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Place of Residence</w:t>
            </w:r>
          </w:p>
        </w:tc>
        <w:tc>
          <w:tcPr>
            <w:tcW w:w="5214" w:type="dxa"/>
          </w:tcPr>
          <w:p w14:paraId="08770B2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urban (0); rural (1)</w:t>
            </w:r>
          </w:p>
        </w:tc>
        <w:tc>
          <w:tcPr>
            <w:tcW w:w="1250" w:type="dxa"/>
          </w:tcPr>
          <w:p w14:paraId="59F3C28A" w14:textId="38E891E1" w:rsidR="001243CD" w:rsidRDefault="00046E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C0884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="00D8081F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</w:p>
        </w:tc>
      </w:tr>
      <w:tr w:rsidR="001243CD" w14:paraId="06C4A59B" w14:textId="77777777">
        <w:tc>
          <w:tcPr>
            <w:tcW w:w="540" w:type="dxa"/>
          </w:tcPr>
          <w:p w14:paraId="46B3CBD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40" w:type="dxa"/>
          </w:tcPr>
          <w:p w14:paraId="7AA0902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Ecological Zone</w:t>
            </w:r>
          </w:p>
        </w:tc>
        <w:tc>
          <w:tcPr>
            <w:tcW w:w="5214" w:type="dxa"/>
          </w:tcPr>
          <w:p w14:paraId="7CC75B8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mountain (0); hill (1); terai (2)</w:t>
            </w:r>
          </w:p>
        </w:tc>
        <w:tc>
          <w:tcPr>
            <w:tcW w:w="1250" w:type="dxa"/>
          </w:tcPr>
          <w:p w14:paraId="070FDE02" w14:textId="79BCE4E2" w:rsidR="001243CD" w:rsidRDefault="00341D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243CD" w14:paraId="739DEBF7" w14:textId="77777777">
        <w:tc>
          <w:tcPr>
            <w:tcW w:w="540" w:type="dxa"/>
          </w:tcPr>
          <w:p w14:paraId="4111EB9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40" w:type="dxa"/>
          </w:tcPr>
          <w:p w14:paraId="67882093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5214" w:type="dxa"/>
          </w:tcPr>
          <w:p w14:paraId="6C5698F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Categorized as: Hindu (0); Buddhist (1); Muslim (2); Kirat (3); Christian (4) </w:t>
            </w:r>
          </w:p>
        </w:tc>
        <w:tc>
          <w:tcPr>
            <w:tcW w:w="1250" w:type="dxa"/>
          </w:tcPr>
          <w:p w14:paraId="51383033" w14:textId="0B99FC1E" w:rsidR="001243CD" w:rsidRDefault="00D808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331C9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1933D3">
              <w:rPr>
                <w:rFonts w:ascii="Times New Roman" w:hAnsi="Times New Roman" w:cs="Times New Roman"/>
                <w:sz w:val="20"/>
                <w:szCs w:val="20"/>
              </w:rPr>
              <w:t>, 22</w:t>
            </w:r>
          </w:p>
        </w:tc>
      </w:tr>
      <w:tr w:rsidR="001243CD" w14:paraId="3D52ED81" w14:textId="77777777">
        <w:tc>
          <w:tcPr>
            <w:tcW w:w="540" w:type="dxa"/>
          </w:tcPr>
          <w:p w14:paraId="0C7261F6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40" w:type="dxa"/>
          </w:tcPr>
          <w:p w14:paraId="1B24DE54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Mother’s Education</w:t>
            </w:r>
          </w:p>
        </w:tc>
        <w:tc>
          <w:tcPr>
            <w:tcW w:w="5214" w:type="dxa"/>
          </w:tcPr>
          <w:p w14:paraId="70720CB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No education (0); primary (1); secondary (2); higher (3)</w:t>
            </w:r>
          </w:p>
        </w:tc>
        <w:tc>
          <w:tcPr>
            <w:tcW w:w="1250" w:type="dxa"/>
          </w:tcPr>
          <w:p w14:paraId="625DA369" w14:textId="2C9CF7BA" w:rsidR="001243CD" w:rsidRDefault="00BC08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12-14</w:t>
            </w:r>
            <w:r w:rsidR="00D8081F"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="007331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933D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243CD" w14:paraId="7E37F76F" w14:textId="77777777">
        <w:tc>
          <w:tcPr>
            <w:tcW w:w="540" w:type="dxa"/>
          </w:tcPr>
          <w:p w14:paraId="316E391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40" w:type="dxa"/>
          </w:tcPr>
          <w:p w14:paraId="6C910F4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Partner’s Education</w:t>
            </w:r>
          </w:p>
        </w:tc>
        <w:tc>
          <w:tcPr>
            <w:tcW w:w="5214" w:type="dxa"/>
          </w:tcPr>
          <w:p w14:paraId="14041487" w14:textId="39960AD9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Categorized as: </w:t>
            </w:r>
            <w:r w:rsidR="00046E50">
              <w:rPr>
                <w:rFonts w:ascii="Times New Roman" w:eastAsia="Calibri" w:hAnsi="Times New Roman" w:cs="Times New Roman"/>
                <w:sz w:val="20"/>
                <w:szCs w:val="20"/>
              </w:rPr>
              <w:t>Uneducated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(0); </w:t>
            </w:r>
            <w:r w:rsidR="00046E50">
              <w:rPr>
                <w:rFonts w:ascii="Times New Roman" w:eastAsia="Calibri" w:hAnsi="Times New Roman" w:cs="Times New Roman"/>
                <w:sz w:val="20"/>
                <w:szCs w:val="20"/>
              </w:rPr>
              <w:t>Educated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1250" w:type="dxa"/>
          </w:tcPr>
          <w:p w14:paraId="7B942AB9" w14:textId="6CD467B9" w:rsidR="001243CD" w:rsidRDefault="00046E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243CD" w14:paraId="7190F61C" w14:textId="77777777">
        <w:tc>
          <w:tcPr>
            <w:tcW w:w="540" w:type="dxa"/>
          </w:tcPr>
          <w:p w14:paraId="441C63D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40" w:type="dxa"/>
          </w:tcPr>
          <w:p w14:paraId="102E4AE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Occupation Status</w:t>
            </w:r>
          </w:p>
        </w:tc>
        <w:tc>
          <w:tcPr>
            <w:tcW w:w="5214" w:type="dxa"/>
          </w:tcPr>
          <w:p w14:paraId="5AFD458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Not working (0); working (1)</w:t>
            </w:r>
          </w:p>
        </w:tc>
        <w:tc>
          <w:tcPr>
            <w:tcW w:w="1250" w:type="dxa"/>
          </w:tcPr>
          <w:p w14:paraId="41624229" w14:textId="66B26DBB" w:rsidR="001243CD" w:rsidRDefault="007331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243CD" w14:paraId="60557587" w14:textId="77777777">
        <w:tc>
          <w:tcPr>
            <w:tcW w:w="540" w:type="dxa"/>
          </w:tcPr>
          <w:p w14:paraId="613E7A7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40" w:type="dxa"/>
          </w:tcPr>
          <w:p w14:paraId="34EE2A63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Problem of Distance (nearest health facility)</w:t>
            </w:r>
          </w:p>
        </w:tc>
        <w:tc>
          <w:tcPr>
            <w:tcW w:w="5214" w:type="dxa"/>
          </w:tcPr>
          <w:p w14:paraId="2FDCE00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Categorized as: Not a problem (0); problem (1)</w:t>
            </w:r>
          </w:p>
        </w:tc>
        <w:tc>
          <w:tcPr>
            <w:tcW w:w="1250" w:type="dxa"/>
          </w:tcPr>
          <w:p w14:paraId="478BFC28" w14:textId="3B1513EA" w:rsidR="001243CD" w:rsidRDefault="00046E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243CD" w14:paraId="5D2B7E87" w14:textId="77777777">
        <w:tc>
          <w:tcPr>
            <w:tcW w:w="540" w:type="dxa"/>
          </w:tcPr>
          <w:p w14:paraId="498AA49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40" w:type="dxa"/>
          </w:tcPr>
          <w:p w14:paraId="66D8376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Number of living children</w:t>
            </w:r>
          </w:p>
        </w:tc>
        <w:tc>
          <w:tcPr>
            <w:tcW w:w="5214" w:type="dxa"/>
          </w:tcPr>
          <w:p w14:paraId="0FD327E4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Continuous variable</w:t>
            </w:r>
          </w:p>
        </w:tc>
        <w:tc>
          <w:tcPr>
            <w:tcW w:w="1250" w:type="dxa"/>
          </w:tcPr>
          <w:p w14:paraId="32AE20C2" w14:textId="2725A6B4" w:rsidR="001243CD" w:rsidRDefault="00BC08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14:paraId="68A1E8E4" w14:textId="77777777" w:rsidR="001243CD" w:rsidRDefault="001243CD">
      <w:pPr>
        <w:rPr>
          <w:rFonts w:ascii="Times New Roman" w:hAnsi="Times New Roman" w:cs="Times New Roman"/>
        </w:rPr>
      </w:pPr>
    </w:p>
    <w:p w14:paraId="26706997" w14:textId="184B699C" w:rsidR="001243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Supplementary table 2</w:t>
      </w:r>
      <w:r>
        <w:rPr>
          <w:rFonts w:ascii="Times New Roman" w:hAnsi="Times New Roman" w:cs="Times New Roman"/>
        </w:rPr>
        <w:t xml:space="preserve">: Generalized Variance Inflation Factors (GVIFs) of the variables included in </w:t>
      </w:r>
      <w:r w:rsidR="00B64758">
        <w:rPr>
          <w:rFonts w:ascii="Times New Roman" w:hAnsi="Times New Roman" w:cs="Times New Roman"/>
        </w:rPr>
        <w:t xml:space="preserve">&lt;4 </w:t>
      </w:r>
      <w:r>
        <w:rPr>
          <w:rFonts w:ascii="Times New Roman" w:hAnsi="Times New Roman" w:cs="Times New Roman"/>
        </w:rPr>
        <w:t>ANC model</w:t>
      </w:r>
    </w:p>
    <w:tbl>
      <w:tblPr>
        <w:tblpPr w:leftFromText="187" w:rightFromText="187" w:vertAnchor="text" w:horzAnchor="margin" w:tblpY="1"/>
        <w:tblW w:w="9085" w:type="dxa"/>
        <w:tblLayout w:type="fixed"/>
        <w:tblLook w:val="04A0" w:firstRow="1" w:lastRow="0" w:firstColumn="1" w:lastColumn="0" w:noHBand="0" w:noVBand="1"/>
      </w:tblPr>
      <w:tblGrid>
        <w:gridCol w:w="3147"/>
        <w:gridCol w:w="448"/>
        <w:gridCol w:w="992"/>
        <w:gridCol w:w="1619"/>
        <w:gridCol w:w="1261"/>
        <w:gridCol w:w="1618"/>
      </w:tblGrid>
      <w:tr w:rsidR="001243CD" w14:paraId="1D0B6534" w14:textId="77777777">
        <w:trPr>
          <w:trHeight w:val="288"/>
        </w:trPr>
        <w:tc>
          <w:tcPr>
            <w:tcW w:w="314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18F9BE0" w14:textId="77777777" w:rsidR="001243CD" w:rsidRDefault="001243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D5BA7EF" w14:textId="77777777" w:rsidR="001243CD" w:rsidRDefault="001243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46413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2011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406FB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2016</w:t>
            </w:r>
          </w:p>
        </w:tc>
      </w:tr>
      <w:tr w:rsidR="001243CD" w14:paraId="6D4C288D" w14:textId="77777777">
        <w:trPr>
          <w:trHeight w:val="288"/>
        </w:trPr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363EF3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Variables</w:t>
            </w:r>
          </w:p>
        </w:tc>
        <w:tc>
          <w:tcPr>
            <w:tcW w:w="44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19DFE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df</m:t>
                </m:r>
              </m:oMath>
            </m:oMathPara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02CF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GVIF</m:t>
                </m:r>
              </m:oMath>
            </m:oMathPara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8C29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GVIF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df</m:t>
                    </m:r>
                  </m:sup>
                </m:sSup>
              </m:oMath>
            </m:oMathPara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EC932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GVIF</m:t>
                </m:r>
              </m:oMath>
            </m:oMathPara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493392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GVIF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df</m:t>
                    </m:r>
                  </m:sup>
                </m:sSup>
              </m:oMath>
            </m:oMathPara>
          </w:p>
        </w:tc>
      </w:tr>
      <w:tr w:rsidR="001243CD" w14:paraId="3853B3DB" w14:textId="77777777">
        <w:trPr>
          <w:trHeight w:val="288"/>
        </w:trPr>
        <w:tc>
          <w:tcPr>
            <w:tcW w:w="314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DBC922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Age group</w:t>
            </w:r>
          </w:p>
        </w:tc>
        <w:tc>
          <w:tcPr>
            <w:tcW w:w="44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63E947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9D36877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1.7968</w:t>
            </w: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E5B43A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1.1578</w:t>
            </w:r>
          </w:p>
        </w:tc>
        <w:tc>
          <w:tcPr>
            <w:tcW w:w="12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E3FD7E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1.7962</w:t>
            </w:r>
          </w:p>
        </w:tc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4B930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1.1577</w:t>
            </w:r>
          </w:p>
        </w:tc>
      </w:tr>
      <w:tr w:rsidR="001243CD" w14:paraId="1744B502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E27A34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Wealth Index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51AF1ED9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3F5F0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2.063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82E1EA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1.0947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6C5A0D6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2.1788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55C23A5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1.1022</w:t>
            </w:r>
          </w:p>
        </w:tc>
      </w:tr>
      <w:tr w:rsidR="001243CD" w14:paraId="5CAD93E3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41E0D74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Sex of HH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69B0B369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DFA87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1.0206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314E0D6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1.0102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1A662402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1.0277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5B801B8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1.0138</w:t>
            </w:r>
          </w:p>
        </w:tc>
      </w:tr>
      <w:tr w:rsidR="001243CD" w14:paraId="30475151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0A0F56F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Marital Status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0988F47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182B4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1.0219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484275F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1.0109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38B4D07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1.0111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0BAE142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1.0055</w:t>
            </w:r>
          </w:p>
        </w:tc>
      </w:tr>
      <w:tr w:rsidR="001243CD" w14:paraId="5F2B4497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3B0758A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Place of residence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23E102C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33FBF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1.1676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755CF48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1.0806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01FDB88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1.0942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7D9BDAF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1.046</w:t>
            </w:r>
          </w:p>
        </w:tc>
      </w:tr>
      <w:tr w:rsidR="001243CD" w14:paraId="3471D145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19F33B23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Ecological zones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23305ED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B44A7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1.5388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4C9A36B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1.1138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5332B34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1.8242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5B144A4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1.1622</w:t>
            </w:r>
          </w:p>
        </w:tc>
      </w:tr>
      <w:tr w:rsidR="001243CD" w14:paraId="1D7D99CD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0D76113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Religion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058054D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42688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1.2388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39B01ED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1.0271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349CE3B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1.2338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01D9D99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1.0266</w:t>
            </w:r>
          </w:p>
        </w:tc>
      </w:tr>
      <w:tr w:rsidR="001243CD" w14:paraId="23EE15CF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682116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Women’s education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76E3B67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DD2AF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1.5793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77C6E15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1.0791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23BF6747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1.6553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00E9C9C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1.0876</w:t>
            </w:r>
          </w:p>
        </w:tc>
      </w:tr>
      <w:tr w:rsidR="001243CD" w14:paraId="12E0776E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FC7631D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Partner’s literacy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1F324EB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03091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1.1997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7818BA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1.0953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1FD86C8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1.1906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4CC73F9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1.0911</w:t>
            </w:r>
          </w:p>
        </w:tc>
      </w:tr>
      <w:tr w:rsidR="001243CD" w14:paraId="2568A561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4852611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Occupation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1B62CC87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4D1A7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1.3016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0FDA672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1.1409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1DE71B0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1.2012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4604136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1.096</w:t>
            </w:r>
          </w:p>
        </w:tc>
      </w:tr>
      <w:tr w:rsidR="001243CD" w14:paraId="20EC9FC6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3A9D455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Distance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3E790E6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2AD81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1.1188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17B1C80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1.0577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1A54435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1.0936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2DA7FEF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1.0458</w:t>
            </w:r>
          </w:p>
        </w:tc>
      </w:tr>
      <w:tr w:rsidR="001243CD" w14:paraId="28F54AD9" w14:textId="77777777">
        <w:trPr>
          <w:trHeight w:val="288"/>
        </w:trPr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BA2D3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No. of children</w:t>
            </w:r>
          </w:p>
        </w:tc>
        <w:tc>
          <w:tcPr>
            <w:tcW w:w="44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164AED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E93E8C9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1.8481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B5644E8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1.3594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79E429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1.8285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D6E3BB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1.3522</w:t>
            </w:r>
          </w:p>
        </w:tc>
      </w:tr>
    </w:tbl>
    <w:p w14:paraId="6545343B" w14:textId="77777777" w:rsidR="001243CD" w:rsidRDefault="001243CD">
      <w:pPr>
        <w:rPr>
          <w:rFonts w:ascii="Times New Roman" w:hAnsi="Times New Roman" w:cs="Times New Roman"/>
          <w:sz w:val="20"/>
          <w:szCs w:val="20"/>
        </w:rPr>
      </w:pPr>
    </w:p>
    <w:p w14:paraId="2AF1ADA0" w14:textId="68E5A837" w:rsidR="001243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Supplementary table 3</w:t>
      </w:r>
      <w:r>
        <w:rPr>
          <w:rFonts w:ascii="Times New Roman" w:hAnsi="Times New Roman" w:cs="Times New Roman"/>
        </w:rPr>
        <w:t xml:space="preserve">: Generalized Variance Inflation Factors (GVIFs) of the variables included in </w:t>
      </w:r>
      <w:r w:rsidR="00B64758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postnatal checkup model</w:t>
      </w: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147"/>
        <w:gridCol w:w="448"/>
        <w:gridCol w:w="992"/>
        <w:gridCol w:w="1619"/>
        <w:gridCol w:w="1261"/>
        <w:gridCol w:w="1618"/>
      </w:tblGrid>
      <w:tr w:rsidR="001243CD" w14:paraId="2E097F67" w14:textId="77777777">
        <w:trPr>
          <w:trHeight w:val="288"/>
        </w:trPr>
        <w:tc>
          <w:tcPr>
            <w:tcW w:w="314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49EA613" w14:textId="77777777" w:rsidR="001243CD" w:rsidRDefault="001243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555DD4D" w14:textId="77777777" w:rsidR="001243CD" w:rsidRDefault="001243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17A7D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2011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8FC1C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2016</w:t>
            </w:r>
          </w:p>
        </w:tc>
      </w:tr>
      <w:tr w:rsidR="001243CD" w14:paraId="248E7EDD" w14:textId="77777777">
        <w:trPr>
          <w:trHeight w:val="288"/>
        </w:trPr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696E4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Variables</w:t>
            </w:r>
          </w:p>
        </w:tc>
        <w:tc>
          <w:tcPr>
            <w:tcW w:w="44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0B88E29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df</m:t>
                </m:r>
              </m:oMath>
            </m:oMathPara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271B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GVIF</m:t>
                </m:r>
              </m:oMath>
            </m:oMathPara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425E5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GVIF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df</m:t>
                    </m:r>
                  </m:sup>
                </m:sSup>
              </m:oMath>
            </m:oMathPara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2AF58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GVIF</m:t>
                </m:r>
              </m:oMath>
            </m:oMathPara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1AB49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GVIF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df</m:t>
                    </m:r>
                  </m:sup>
                </m:sSup>
              </m:oMath>
            </m:oMathPara>
          </w:p>
        </w:tc>
      </w:tr>
      <w:tr w:rsidR="001243CD" w14:paraId="48106F82" w14:textId="77777777">
        <w:trPr>
          <w:trHeight w:val="288"/>
        </w:trPr>
        <w:tc>
          <w:tcPr>
            <w:tcW w:w="314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9A5A9B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Age group</w:t>
            </w:r>
          </w:p>
        </w:tc>
        <w:tc>
          <w:tcPr>
            <w:tcW w:w="44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36DC679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563F1B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1.8325</w:t>
            </w: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63DBB1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1.1635</w:t>
            </w:r>
          </w:p>
        </w:tc>
        <w:tc>
          <w:tcPr>
            <w:tcW w:w="12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93E927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1.6855</w:t>
            </w:r>
          </w:p>
        </w:tc>
        <w:tc>
          <w:tcPr>
            <w:tcW w:w="16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085621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1.1394</w:t>
            </w:r>
          </w:p>
        </w:tc>
      </w:tr>
      <w:tr w:rsidR="001243CD" w14:paraId="1F734778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3992AAC4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Wealth Index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4AADE13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A4F34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2.2976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216133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1.1096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33ECA4D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2.2858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187D716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1.1089</w:t>
            </w:r>
          </w:p>
        </w:tc>
      </w:tr>
      <w:tr w:rsidR="001243CD" w14:paraId="4F14D89D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2489870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Sex of HH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4B0E1FD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E83E17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1.0208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3A2E108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1.0103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3A9FC04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1.026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1DA1465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1.0129</w:t>
            </w:r>
          </w:p>
        </w:tc>
      </w:tr>
      <w:tr w:rsidR="001243CD" w14:paraId="3C8BD8E1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6DC6EAC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Marital Status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0329DC2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EF10B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1.0202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2960385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6B5D0FB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1.0083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6C315B6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1.0041</w:t>
            </w:r>
          </w:p>
        </w:tc>
      </w:tr>
      <w:tr w:rsidR="001243CD" w14:paraId="5AAC37D9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5C0C0993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Place of residence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54D8447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C6561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1.1947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EE10B7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1.093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7A82AC8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1.1735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0221830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1.0833</w:t>
            </w:r>
          </w:p>
        </w:tc>
      </w:tr>
      <w:tr w:rsidR="001243CD" w14:paraId="21971816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1BE7624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Ecological zones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16B2954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C15FAA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1.5107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23D5FB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1.1087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178DA5C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1.6062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301E9DC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1.1258</w:t>
            </w:r>
          </w:p>
        </w:tc>
      </w:tr>
      <w:tr w:rsidR="001243CD" w14:paraId="5EEFB85E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3C83BA1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Religion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2486E3B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DBAC4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1.2234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376C880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1.0255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59ABD19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1.2144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2F9414D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1.0246</w:t>
            </w:r>
          </w:p>
        </w:tc>
      </w:tr>
      <w:tr w:rsidR="001243CD" w14:paraId="6B675EF8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2D80E68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lastRenderedPageBreak/>
              <w:t>Women’s education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4519D1D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931EE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1.8144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49159E4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1.1044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5D659DC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2.0273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1E63880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1.125</w:t>
            </w:r>
          </w:p>
        </w:tc>
      </w:tr>
      <w:tr w:rsidR="001243CD" w14:paraId="3275EAD9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7B340C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Partner’s literacy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32C9400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AB1540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1.2375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75B32F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1.1124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60BFB567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1.2352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359F11A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1.1114</w:t>
            </w:r>
          </w:p>
        </w:tc>
      </w:tr>
      <w:tr w:rsidR="001243CD" w14:paraId="5C83ED7D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0BF47D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Occupation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753502F6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BF863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1.2775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078BABCB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1.1303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144A41BF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1.1763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7FC8FC4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1.0846</w:t>
            </w:r>
          </w:p>
        </w:tc>
      </w:tr>
      <w:tr w:rsidR="001243CD" w14:paraId="074F155D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4C3AB43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Distance</w:t>
            </w:r>
          </w:p>
        </w:tc>
        <w:tc>
          <w:tcPr>
            <w:tcW w:w="448" w:type="dxa"/>
            <w:shd w:val="clear" w:color="auto" w:fill="auto"/>
            <w:vAlign w:val="bottom"/>
          </w:tcPr>
          <w:p w14:paraId="0321949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4DB46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1.1654</w:t>
            </w:r>
          </w:p>
        </w:tc>
        <w:tc>
          <w:tcPr>
            <w:tcW w:w="1619" w:type="dxa"/>
            <w:shd w:val="clear" w:color="auto" w:fill="auto"/>
            <w:vAlign w:val="bottom"/>
          </w:tcPr>
          <w:p w14:paraId="520DB313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1.0795</w:t>
            </w:r>
          </w:p>
        </w:tc>
        <w:tc>
          <w:tcPr>
            <w:tcW w:w="1261" w:type="dxa"/>
            <w:shd w:val="clear" w:color="auto" w:fill="auto"/>
            <w:vAlign w:val="bottom"/>
          </w:tcPr>
          <w:p w14:paraId="729BB578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1.1879</w:t>
            </w:r>
          </w:p>
        </w:tc>
        <w:tc>
          <w:tcPr>
            <w:tcW w:w="1618" w:type="dxa"/>
            <w:shd w:val="clear" w:color="auto" w:fill="auto"/>
            <w:vAlign w:val="bottom"/>
          </w:tcPr>
          <w:p w14:paraId="5A8DA71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1.0899</w:t>
            </w:r>
          </w:p>
        </w:tc>
      </w:tr>
      <w:tr w:rsidR="001243CD" w14:paraId="07DAD3A6" w14:textId="77777777">
        <w:trPr>
          <w:trHeight w:val="288"/>
        </w:trPr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FF3509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No. of children</w:t>
            </w:r>
          </w:p>
        </w:tc>
        <w:tc>
          <w:tcPr>
            <w:tcW w:w="44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468DAA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99DC8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1.9504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AD7A3C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1.3966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37382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1.8355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72CAC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1.3548</w:t>
            </w:r>
          </w:p>
        </w:tc>
      </w:tr>
    </w:tbl>
    <w:p w14:paraId="70F62B1E" w14:textId="77777777" w:rsidR="001243CD" w:rsidRDefault="001243CD">
      <w:pPr>
        <w:rPr>
          <w:rFonts w:ascii="Times New Roman" w:hAnsi="Times New Roman" w:cs="Times New Roman"/>
          <w:sz w:val="20"/>
          <w:szCs w:val="20"/>
        </w:rPr>
      </w:pPr>
    </w:p>
    <w:p w14:paraId="2EE1175C" w14:textId="45F99637" w:rsidR="001243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Supplementary table 4</w:t>
      </w:r>
      <w:r>
        <w:rPr>
          <w:rFonts w:ascii="Times New Roman" w:hAnsi="Times New Roman" w:cs="Times New Roman"/>
        </w:rPr>
        <w:t xml:space="preserve">: Generalized Variance Inflation Factors (GVIFs) of the variables included in </w:t>
      </w:r>
      <w:r w:rsidR="00B64758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SBA delivery model</w:t>
      </w:r>
    </w:p>
    <w:p w14:paraId="0C49E8D6" w14:textId="77777777" w:rsidR="001243CD" w:rsidRDefault="001243C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147"/>
        <w:gridCol w:w="537"/>
        <w:gridCol w:w="993"/>
        <w:gridCol w:w="1529"/>
        <w:gridCol w:w="1350"/>
        <w:gridCol w:w="1529"/>
      </w:tblGrid>
      <w:tr w:rsidR="001243CD" w14:paraId="06E68D89" w14:textId="77777777">
        <w:trPr>
          <w:trHeight w:val="288"/>
        </w:trPr>
        <w:tc>
          <w:tcPr>
            <w:tcW w:w="314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A760701" w14:textId="77777777" w:rsidR="001243CD" w:rsidRDefault="001243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F759BF" w14:textId="77777777" w:rsidR="001243CD" w:rsidRDefault="001243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3AF0EA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2011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93D04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2016</w:t>
            </w:r>
          </w:p>
        </w:tc>
      </w:tr>
      <w:tr w:rsidR="001243CD" w14:paraId="5712E67D" w14:textId="77777777">
        <w:trPr>
          <w:trHeight w:val="288"/>
        </w:trPr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5D07465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Variables</w:t>
            </w:r>
          </w:p>
        </w:tc>
        <w:tc>
          <w:tcPr>
            <w:tcW w:w="53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90E264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df</m:t>
                </m:r>
              </m:oMath>
            </m:oMathPara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E0291E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GVIF</m:t>
                </m:r>
              </m:oMath>
            </m:oMathPara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6593D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GVIF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df</m:t>
                    </m:r>
                  </m:sup>
                </m:sSup>
              </m:oMath>
            </m:oMathPara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A3E05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GVIF</m:t>
                </m:r>
              </m:oMath>
            </m:oMathPara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5A1CE1" w14:textId="77777777" w:rsidR="001243C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GVIF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df</m:t>
                    </m:r>
                  </m:sup>
                </m:sSup>
              </m:oMath>
            </m:oMathPara>
          </w:p>
        </w:tc>
      </w:tr>
      <w:tr w:rsidR="001243CD" w14:paraId="577DF6B7" w14:textId="77777777">
        <w:trPr>
          <w:trHeight w:val="288"/>
        </w:trPr>
        <w:tc>
          <w:tcPr>
            <w:tcW w:w="314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B2121E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Age group</w:t>
            </w: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11E624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5AC081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1.7802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3BF483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1.1551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C41B14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1.6872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F3BE2F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1.1397</w:t>
            </w:r>
          </w:p>
        </w:tc>
      </w:tr>
      <w:tr w:rsidR="001243CD" w14:paraId="311F6807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166EA90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Wealth Index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2E57C75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8862A5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2.3553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E143DF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1.113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99A73F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2.2034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55FA3E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1.1038</w:t>
            </w:r>
          </w:p>
        </w:tc>
      </w:tr>
      <w:tr w:rsidR="001243CD" w14:paraId="51AF79A7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1CE6943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Sex of HH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54D18468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4D175F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1.0221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2A7DCB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1.011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CCC7EE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1.0225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C2E278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1.0112</w:t>
            </w:r>
          </w:p>
        </w:tc>
      </w:tr>
      <w:tr w:rsidR="001243CD" w14:paraId="553CF4A8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53DACF1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Marital Status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0C46790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69D975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1.0148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66C405B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1.0074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91B921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1.0076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1C09C68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1.0038</w:t>
            </w:r>
          </w:p>
        </w:tc>
      </w:tr>
      <w:tr w:rsidR="001243CD" w14:paraId="54C47EB6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1E82B7B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Place of residence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17CD9F9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66F8C9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1.1547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070591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1.0746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115921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1.1252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392E0B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1.0608</w:t>
            </w:r>
          </w:p>
        </w:tc>
      </w:tr>
      <w:tr w:rsidR="001243CD" w14:paraId="307033D1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113DF3F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Ecological zones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10C5417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A6E54C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1.4871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5B7B74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1.1043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3FFF0C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1.6404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CC5844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1.1317</w:t>
            </w:r>
          </w:p>
        </w:tc>
      </w:tr>
      <w:tr w:rsidR="001243CD" w14:paraId="67028856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5B80B03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Religion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72F51F4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0BD8C7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1.2793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2C3329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1.0313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5579620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1.2213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CB2EB88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1.0253</w:t>
            </w:r>
          </w:p>
        </w:tc>
      </w:tr>
      <w:tr w:rsidR="001243CD" w14:paraId="40EA2528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6735337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Women’s education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7F044F7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369965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1.8446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64BA840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1.1074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2676E8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1.9353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5094D6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1.1163</w:t>
            </w:r>
          </w:p>
        </w:tc>
      </w:tr>
      <w:tr w:rsidR="001243CD" w14:paraId="51B1C669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1A03BB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Partner’s literacy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2B206AB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5AB035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1.2763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CACDD8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1.1297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EBC511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1.2229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98014F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1.1058</w:t>
            </w:r>
          </w:p>
        </w:tc>
      </w:tr>
      <w:tr w:rsidR="001243CD" w14:paraId="708A0B35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2C159332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Occupation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52BCB1F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04318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1.2777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7ED48A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1.1304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50A3B5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1.1728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493435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1.083</w:t>
            </w:r>
          </w:p>
        </w:tc>
      </w:tr>
      <w:tr w:rsidR="001243CD" w14:paraId="399D953C" w14:textId="77777777">
        <w:trPr>
          <w:trHeight w:val="288"/>
        </w:trPr>
        <w:tc>
          <w:tcPr>
            <w:tcW w:w="3146" w:type="dxa"/>
            <w:shd w:val="clear" w:color="auto" w:fill="auto"/>
            <w:vAlign w:val="bottom"/>
          </w:tcPr>
          <w:p w14:paraId="7ADCE47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Distance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07359EF2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F1F6B2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1.1291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635F7F3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1.0626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19FD04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1.1295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B05D3D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1.0628</w:t>
            </w:r>
          </w:p>
        </w:tc>
      </w:tr>
      <w:tr w:rsidR="001243CD" w14:paraId="3DD118C1" w14:textId="77777777">
        <w:trPr>
          <w:trHeight w:val="288"/>
        </w:trPr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72F15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No. of children</w:t>
            </w:r>
          </w:p>
        </w:tc>
        <w:tc>
          <w:tcPr>
            <w:tcW w:w="53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A2836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E98FC8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1.9183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E1CEB1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1.385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6728FB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1.8319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01381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1.3535</w:t>
            </w:r>
          </w:p>
        </w:tc>
      </w:tr>
    </w:tbl>
    <w:p w14:paraId="19AF7484" w14:textId="77777777" w:rsidR="001243CD" w:rsidRDefault="001243CD">
      <w:pPr>
        <w:rPr>
          <w:rFonts w:ascii="Times New Roman" w:hAnsi="Times New Roman"/>
          <w:b/>
          <w:bCs/>
        </w:rPr>
      </w:pPr>
    </w:p>
    <w:p w14:paraId="06FF773B" w14:textId="649A5CBB" w:rsidR="001243CD" w:rsidRPr="00D81DBE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Supplementary table 5: Model specification test for logistic regressions using blr_linktest command in R studio</w:t>
      </w: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690"/>
        <w:gridCol w:w="1350"/>
        <w:gridCol w:w="1166"/>
        <w:gridCol w:w="1350"/>
        <w:gridCol w:w="1529"/>
      </w:tblGrid>
      <w:tr w:rsidR="001243CD" w14:paraId="48300342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8DD7E5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ANC (2011)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02E48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Estimate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1C3B9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2651D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Z value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D897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Pr(&gt;|Z|)</w:t>
            </w:r>
          </w:p>
        </w:tc>
      </w:tr>
      <w:tr w:rsidR="001243CD" w14:paraId="340A24EA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4F9D11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(Intercept)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ED66E1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-0.0608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349436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0.0441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CAD018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-1.381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421140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0.167</w:t>
            </w:r>
          </w:p>
        </w:tc>
      </w:tr>
      <w:tr w:rsidR="001243CD" w14:paraId="180C865B" w14:textId="77777777">
        <w:trPr>
          <w:trHeight w:val="288"/>
        </w:trPr>
        <w:tc>
          <w:tcPr>
            <w:tcW w:w="3690" w:type="dxa"/>
            <w:shd w:val="clear" w:color="auto" w:fill="auto"/>
            <w:vAlign w:val="bottom"/>
          </w:tcPr>
          <w:p w14:paraId="0436ECD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A29BB8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0.9412</w:t>
            </w:r>
          </w:p>
        </w:tc>
        <w:tc>
          <w:tcPr>
            <w:tcW w:w="1166" w:type="dxa"/>
            <w:shd w:val="clear" w:color="auto" w:fill="auto"/>
            <w:vAlign w:val="bottom"/>
          </w:tcPr>
          <w:p w14:paraId="3E0C947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0.0350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3A98D2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26.866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A99C44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&lt;2e-16***</w:t>
            </w:r>
          </w:p>
        </w:tc>
      </w:tr>
      <w:tr w:rsidR="001243CD" w14:paraId="47DA6176" w14:textId="77777777">
        <w:trPr>
          <w:trHeight w:val="288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8B165E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E5EEA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-0.0212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501B36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0.0244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D4CEA9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-0.871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AD13B3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0.384</w:t>
            </w:r>
          </w:p>
        </w:tc>
      </w:tr>
    </w:tbl>
    <w:p w14:paraId="1FD9BEAA" w14:textId="77777777" w:rsidR="001243CD" w:rsidRDefault="001243CD">
      <w:pPr>
        <w:rPr>
          <w:rFonts w:ascii="Times New Roman" w:hAnsi="Times New Roman"/>
        </w:rPr>
      </w:pP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690"/>
        <w:gridCol w:w="1350"/>
        <w:gridCol w:w="1166"/>
        <w:gridCol w:w="1350"/>
        <w:gridCol w:w="1529"/>
      </w:tblGrid>
      <w:tr w:rsidR="001243CD" w14:paraId="7D71289A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44E94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ANC (2016)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F7874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Estimate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D0D2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BE55A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Z value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E8C24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Pr(&gt;|Z|)</w:t>
            </w:r>
          </w:p>
        </w:tc>
      </w:tr>
      <w:tr w:rsidR="001243CD" w14:paraId="654ED39D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92F98D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(Intercept)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207B53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-0.0498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C0E17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0.0469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E96792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-1.061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DB3C9B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0.2888</w:t>
            </w:r>
          </w:p>
        </w:tc>
      </w:tr>
      <w:tr w:rsidR="001243CD" w14:paraId="33B65C36" w14:textId="77777777">
        <w:trPr>
          <w:trHeight w:val="288"/>
        </w:trPr>
        <w:tc>
          <w:tcPr>
            <w:tcW w:w="3690" w:type="dxa"/>
            <w:shd w:val="clear" w:color="auto" w:fill="auto"/>
            <w:vAlign w:val="bottom"/>
          </w:tcPr>
          <w:p w14:paraId="1C190F38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869A16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0.8288</w:t>
            </w:r>
          </w:p>
        </w:tc>
        <w:tc>
          <w:tcPr>
            <w:tcW w:w="1166" w:type="dxa"/>
            <w:shd w:val="clear" w:color="auto" w:fill="auto"/>
            <w:vAlign w:val="bottom"/>
          </w:tcPr>
          <w:p w14:paraId="5760A508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0.0710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1A816D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11.667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8814EB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&lt;2e-16***</w:t>
            </w:r>
          </w:p>
        </w:tc>
      </w:tr>
      <w:tr w:rsidR="001243CD" w14:paraId="15A1421E" w14:textId="77777777">
        <w:trPr>
          <w:trHeight w:val="288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FC5C4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6C253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-0.0646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DDB0A2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0.0358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BCE337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-1.804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098EBF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0.0712</w:t>
            </w:r>
          </w:p>
        </w:tc>
      </w:tr>
    </w:tbl>
    <w:p w14:paraId="66723524" w14:textId="77777777" w:rsidR="001243CD" w:rsidRDefault="001243CD">
      <w:pPr>
        <w:rPr>
          <w:rFonts w:ascii="Times New Roman" w:hAnsi="Times New Roman"/>
        </w:rPr>
      </w:pP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690"/>
        <w:gridCol w:w="1350"/>
        <w:gridCol w:w="1166"/>
        <w:gridCol w:w="1350"/>
        <w:gridCol w:w="1529"/>
      </w:tblGrid>
      <w:tr w:rsidR="001243CD" w14:paraId="2DA99996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6D816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Postnatal checkup (2011)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0AA97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Estimate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13C13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975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Z value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A4FDC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Pr(&gt;|Z|)</w:t>
            </w:r>
          </w:p>
        </w:tc>
      </w:tr>
      <w:tr w:rsidR="001243CD" w14:paraId="62E05175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E75C97C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(Intercept)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7BF8A8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-0.0481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A31B61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0.0426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0230C1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-1.130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B93744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0.259</w:t>
            </w:r>
          </w:p>
        </w:tc>
      </w:tr>
      <w:tr w:rsidR="001243CD" w14:paraId="3FEB8EB4" w14:textId="77777777">
        <w:trPr>
          <w:trHeight w:val="288"/>
        </w:trPr>
        <w:tc>
          <w:tcPr>
            <w:tcW w:w="3690" w:type="dxa"/>
            <w:shd w:val="clear" w:color="auto" w:fill="auto"/>
            <w:vAlign w:val="bottom"/>
          </w:tcPr>
          <w:p w14:paraId="52A1DFF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71A57EF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0.9016</w:t>
            </w:r>
          </w:p>
        </w:tc>
        <w:tc>
          <w:tcPr>
            <w:tcW w:w="1166" w:type="dxa"/>
            <w:shd w:val="clear" w:color="auto" w:fill="auto"/>
            <w:vAlign w:val="bottom"/>
          </w:tcPr>
          <w:p w14:paraId="38AC24B2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0.0428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F08955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21.086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755C17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&lt;2e-16***</w:t>
            </w:r>
          </w:p>
        </w:tc>
      </w:tr>
      <w:tr w:rsidR="001243CD" w14:paraId="07E64166" w14:textId="77777777">
        <w:trPr>
          <w:trHeight w:val="288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CE6A2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BCA4C8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-0.0061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E7B1E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0.0411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A0244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0.149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9BED2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0.882</w:t>
            </w:r>
          </w:p>
        </w:tc>
      </w:tr>
    </w:tbl>
    <w:p w14:paraId="27679111" w14:textId="77777777" w:rsidR="001243CD" w:rsidRDefault="001243CD">
      <w:pPr>
        <w:rPr>
          <w:rFonts w:ascii="Times New Roman" w:hAnsi="Times New Roman"/>
        </w:rPr>
      </w:pP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690"/>
        <w:gridCol w:w="1350"/>
        <w:gridCol w:w="1166"/>
        <w:gridCol w:w="1350"/>
        <w:gridCol w:w="1529"/>
      </w:tblGrid>
      <w:tr w:rsidR="001243CD" w14:paraId="012EC08B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34F6B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lastRenderedPageBreak/>
              <w:t>Postnatal checkup (2016)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E8C30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Estimate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8E145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AF4E08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Z value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516F7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Pr(&gt;|Z|)</w:t>
            </w:r>
          </w:p>
        </w:tc>
      </w:tr>
      <w:tr w:rsidR="001243CD" w14:paraId="3D9A7410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99D3576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(Intercept)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F18ED1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0.1259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A4BC50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0.0549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7D1555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2.294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4C390E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0.0218**</w:t>
            </w:r>
          </w:p>
        </w:tc>
      </w:tr>
      <w:tr w:rsidR="001243CD" w14:paraId="487DBDAA" w14:textId="77777777">
        <w:trPr>
          <w:trHeight w:val="288"/>
        </w:trPr>
        <w:tc>
          <w:tcPr>
            <w:tcW w:w="3690" w:type="dxa"/>
            <w:shd w:val="clear" w:color="auto" w:fill="auto"/>
            <w:vAlign w:val="bottom"/>
          </w:tcPr>
          <w:p w14:paraId="69635F9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24579653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0.7983</w:t>
            </w:r>
          </w:p>
        </w:tc>
        <w:tc>
          <w:tcPr>
            <w:tcW w:w="1166" w:type="dxa"/>
            <w:shd w:val="clear" w:color="auto" w:fill="auto"/>
            <w:vAlign w:val="bottom"/>
          </w:tcPr>
          <w:p w14:paraId="4F2EBFE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0.1638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F84BAE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4.872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2036D1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1.11e-0.6***</w:t>
            </w:r>
          </w:p>
        </w:tc>
      </w:tr>
      <w:tr w:rsidR="001243CD" w14:paraId="2264885B" w14:textId="77777777">
        <w:trPr>
          <w:trHeight w:val="288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E1EB37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09694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0.0411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17DF5E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0.1501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E1038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0.274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51E90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0.7843</w:t>
            </w:r>
          </w:p>
        </w:tc>
      </w:tr>
    </w:tbl>
    <w:p w14:paraId="05CFDF5B" w14:textId="77777777" w:rsidR="001243CD" w:rsidRDefault="001243CD">
      <w:pPr>
        <w:rPr>
          <w:rFonts w:ascii="Times New Roman" w:hAnsi="Times New Roman"/>
        </w:rPr>
      </w:pP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690"/>
        <w:gridCol w:w="1350"/>
        <w:gridCol w:w="1166"/>
        <w:gridCol w:w="1350"/>
        <w:gridCol w:w="1529"/>
      </w:tblGrid>
      <w:tr w:rsidR="001243CD" w14:paraId="4699B747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866CD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SBA Delivery (2011)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C778D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Estimate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93351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68772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Z value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B06ED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Pr(&gt;|Z|)</w:t>
            </w:r>
          </w:p>
        </w:tc>
      </w:tr>
      <w:tr w:rsidR="001243CD" w14:paraId="32061B37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218F20B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(Intercept)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20A3BE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-0.1508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DA8F7B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0.0859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63314E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-1.757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0B6707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0.0789*</w:t>
            </w:r>
          </w:p>
        </w:tc>
      </w:tr>
      <w:tr w:rsidR="001243CD" w14:paraId="6AA1E410" w14:textId="77777777">
        <w:trPr>
          <w:trHeight w:val="288"/>
        </w:trPr>
        <w:tc>
          <w:tcPr>
            <w:tcW w:w="3690" w:type="dxa"/>
            <w:shd w:val="clear" w:color="auto" w:fill="auto"/>
            <w:vAlign w:val="bottom"/>
          </w:tcPr>
          <w:p w14:paraId="2F4EE27A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00531F7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1.1680</w:t>
            </w:r>
          </w:p>
        </w:tc>
        <w:tc>
          <w:tcPr>
            <w:tcW w:w="1166" w:type="dxa"/>
            <w:shd w:val="clear" w:color="auto" w:fill="auto"/>
            <w:vAlign w:val="bottom"/>
          </w:tcPr>
          <w:p w14:paraId="0FEAD41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0.1459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3ED7A1F1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8.003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16C811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1.22e-15 ***</w:t>
            </w:r>
          </w:p>
        </w:tc>
      </w:tr>
      <w:tr w:rsidR="001243CD" w14:paraId="2290F241" w14:textId="77777777">
        <w:trPr>
          <w:trHeight w:val="288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B7325F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2144A52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0.1271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73DD2B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0.0594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AF8890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2.138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BAC7853" w14:textId="77777777" w:rsidR="001243CD" w:rsidRDefault="00000000">
            <w:pPr>
              <w:widowControl w:val="0"/>
              <w:spacing w:after="0" w:line="240" w:lineRule="auto"/>
              <w:jc w:val="right"/>
              <w:rPr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0.0325**</w:t>
            </w:r>
          </w:p>
        </w:tc>
      </w:tr>
    </w:tbl>
    <w:p w14:paraId="2DAA62E2" w14:textId="77777777" w:rsidR="001243CD" w:rsidRDefault="001243CD">
      <w:pPr>
        <w:rPr>
          <w:rFonts w:ascii="Times New Roman" w:hAnsi="Times New Roman"/>
        </w:rPr>
      </w:pPr>
    </w:p>
    <w:tbl>
      <w:tblPr>
        <w:tblW w:w="9085" w:type="dxa"/>
        <w:tblLayout w:type="fixed"/>
        <w:tblLook w:val="04A0" w:firstRow="1" w:lastRow="0" w:firstColumn="1" w:lastColumn="0" w:noHBand="0" w:noVBand="1"/>
      </w:tblPr>
      <w:tblGrid>
        <w:gridCol w:w="3690"/>
        <w:gridCol w:w="1350"/>
        <w:gridCol w:w="1166"/>
        <w:gridCol w:w="1350"/>
        <w:gridCol w:w="1529"/>
      </w:tblGrid>
      <w:tr w:rsidR="001243CD" w14:paraId="3625FDC2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A04593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SBA Delivery (2016)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A1190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Estimate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A0903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Std. Error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C94BB9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Z value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6AC575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Pr(&gt;|Z|)</w:t>
            </w:r>
          </w:p>
        </w:tc>
      </w:tr>
      <w:tr w:rsidR="001243CD" w14:paraId="2C3BA14F" w14:textId="77777777">
        <w:trPr>
          <w:trHeight w:val="288"/>
        </w:trPr>
        <w:tc>
          <w:tcPr>
            <w:tcW w:w="3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A84D6A9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(Intercept)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2C13C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0.0489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6FF4882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0.1281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A8D51D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0.382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A89317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0.703</w:t>
            </w:r>
          </w:p>
        </w:tc>
      </w:tr>
      <w:tr w:rsidR="001243CD" w14:paraId="015A3CAA" w14:textId="77777777">
        <w:trPr>
          <w:trHeight w:val="288"/>
        </w:trPr>
        <w:tc>
          <w:tcPr>
            <w:tcW w:w="3690" w:type="dxa"/>
            <w:shd w:val="clear" w:color="auto" w:fill="auto"/>
            <w:vAlign w:val="bottom"/>
          </w:tcPr>
          <w:p w14:paraId="06A82FF1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7D43D4A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1.2623</w:t>
            </w:r>
          </w:p>
        </w:tc>
        <w:tc>
          <w:tcPr>
            <w:tcW w:w="1166" w:type="dxa"/>
            <w:shd w:val="clear" w:color="auto" w:fill="auto"/>
            <w:vAlign w:val="bottom"/>
          </w:tcPr>
          <w:p w14:paraId="2E426CB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0.2497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4551F5DC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5.054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451CE0A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4.32e-07 ***</w:t>
            </w:r>
          </w:p>
        </w:tc>
      </w:tr>
      <w:tr w:rsidR="001243CD" w14:paraId="0CA39862" w14:textId="77777777">
        <w:trPr>
          <w:trHeight w:val="288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DD5EFF0" w14:textId="77777777" w:rsidR="001243CD" w:rsidRDefault="000000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fit2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62D482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0.1131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7F4A14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0.1123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B49CCB7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1.007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3F4E16" w14:textId="77777777" w:rsidR="001243C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0.314</w:t>
            </w:r>
          </w:p>
        </w:tc>
      </w:tr>
    </w:tbl>
    <w:p w14:paraId="7B199AC6" w14:textId="77777777" w:rsidR="001243CD" w:rsidRDefault="001243CD">
      <w:pPr>
        <w:rPr>
          <w:rFonts w:ascii="Times New Roman" w:hAnsi="Times New Roman"/>
        </w:rPr>
      </w:pPr>
    </w:p>
    <w:p w14:paraId="2053A075" w14:textId="77777777" w:rsidR="001243CD" w:rsidRDefault="00000000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References</w:t>
      </w:r>
    </w:p>
    <w:p w14:paraId="433F6C2A" w14:textId="77777777" w:rsidR="001243CD" w:rsidRPr="00D81DBE" w:rsidRDefault="00000000" w:rsidP="00D81D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Fox, J. and Monette, G. (1992) Generalized collinearity diagnostics, </w:t>
      </w:r>
      <w:r w:rsidRPr="00D81DBE">
        <w:rPr>
          <w:rStyle w:val="Emphasis"/>
          <w:rFonts w:ascii="Times New Roman" w:hAnsi="Times New Roman" w:cs="Times New Roman"/>
          <w:color w:val="000000" w:themeColor="text1"/>
          <w:sz w:val="20"/>
          <w:szCs w:val="20"/>
        </w:rPr>
        <w:t>JASA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87, 178–183. </w:t>
      </w:r>
      <w:hyperlink r:id="rId5">
        <w:r w:rsidRPr="00D81DBE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 xml:space="preserve">https://doi.org/10.2307/2290467 </w:t>
        </w:r>
      </w:hyperlink>
    </w:p>
    <w:p w14:paraId="732561EB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Pregibon, D. 1979. Data analytic methods for generalized linear models. PhD diss., University of Toronto. </w:t>
      </w:r>
    </w:p>
    <w:p w14:paraId="7C2A6C54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Pregibon, D. 1980. Goodness of link tests for generalized linear models. </w:t>
      </w:r>
    </w:p>
    <w:p w14:paraId="028ACB61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Tukey, J. W. 1949. One degree of freedom for non-additivity. </w:t>
      </w:r>
    </w:p>
    <w:p w14:paraId="21A8FB44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Shibre, G., Mekonnen, W. Socio-economic inequalities in ANC attendance among mothers who gave birth in the past 12 months in Debre Brehan town and surrounding rural areas, North East Ethiopia: a community-based survey. </w:t>
      </w:r>
      <w:r w:rsidRPr="00D81D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Reprod Health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D81D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16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99 (2019). </w:t>
      </w:r>
      <w:hyperlink r:id="rId6">
        <w:r w:rsidRPr="00D81DBE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https://doi.org/10.1186/s12978-019-0768-8</w:t>
        </w:r>
      </w:hyperlink>
    </w:p>
    <w:p w14:paraId="6ABC2DEE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Rahman, A., Nisha, M.K., Begum, T. </w:t>
      </w:r>
      <w:r w:rsidRPr="00D81D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et al.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 Trends, determinants and inequities of 4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 ANC utilisation in Bangladesh. </w:t>
      </w:r>
      <w:r w:rsidRPr="00D81D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J Health Popul Nutr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D81D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36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, 2 (2017). https://doi.org/10.1186/s41043-016-0078-5</w:t>
      </w:r>
    </w:p>
    <w:p w14:paraId="503AE637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Goli, S., Nawal, D., Rammohan, A., Sekher, T. V., &amp; Singh, D. (2018). Decomposing the socioeconomic inequality in utilization of maternal health care services in selected countries of South Asia and sub-Saharan Africa. </w:t>
      </w:r>
      <w:r w:rsidRPr="00D81D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Journal of biosocial science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, </w:t>
      </w:r>
      <w:r w:rsidRPr="00D81DB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50</w:t>
      </w:r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(6), 749-769.</w:t>
      </w:r>
    </w:p>
    <w:p w14:paraId="7E9EB540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7" w:tgtFrame="Dipty Nawal">
        <w:r w:rsidRPr="00D81DBE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Nawal, D.</w:t>
        </w:r>
      </w:hyperlink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 and </w:t>
      </w:r>
      <w:hyperlink r:id="rId8" w:tgtFrame="Srinivas Goli">
        <w:r w:rsidRPr="00D81DBE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Goli, S.</w:t>
        </w:r>
      </w:hyperlink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 (2013), "Inequalities in utilization of maternal health care services in Nepal", </w:t>
      </w:r>
      <w:hyperlink r:id="rId9">
        <w:r w:rsidRPr="00D81DBE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0"/>
            <w:szCs w:val="20"/>
            <w:u w:val="none"/>
          </w:rPr>
          <w:t>Ethnicity and Inequalities in Health and Social Care</w:t>
        </w:r>
      </w:hyperlink>
      <w:r w:rsidRPr="00D81DBE">
        <w:rPr>
          <w:rFonts w:ascii="Times New Roman" w:hAnsi="Times New Roman" w:cs="Times New Roman"/>
          <w:color w:val="000000" w:themeColor="text1"/>
          <w:sz w:val="20"/>
          <w:szCs w:val="20"/>
        </w:rPr>
        <w:t>, Vol. 6 No. 1, pp. 3-15. </w:t>
      </w:r>
      <w:hyperlink>
        <w:r w:rsidRPr="00D81DBE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https://doi.org/10.1108/EIHSC-11-2012-0015</w:t>
        </w:r>
      </w:hyperlink>
    </w:p>
    <w:p w14:paraId="299C6052" w14:textId="77777777" w:rsidR="001243CD" w:rsidRPr="00D81DBE" w:rsidRDefault="00000000" w:rsidP="00D81DBE">
      <w:pPr>
        <w:pStyle w:val="BodyTex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81DBE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Goli, S., Singh, L., Jain, K. </w:t>
      </w:r>
      <w:r w:rsidRPr="00D81DBE">
        <w:rPr>
          <w:rStyle w:val="Hyperlink"/>
          <w:rFonts w:ascii="Times New Roman" w:hAnsi="Times New Roman" w:cs="Times New Roman"/>
          <w:i/>
          <w:color w:val="000000" w:themeColor="text1"/>
          <w:sz w:val="20"/>
          <w:szCs w:val="20"/>
          <w:u w:val="none"/>
        </w:rPr>
        <w:t>et al.</w:t>
      </w:r>
      <w:r w:rsidRPr="00D81DBE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Socioeconomic Determinants of Health Inequalities Among the Older Population in India: A Decomposition Analysis. </w:t>
      </w:r>
      <w:r w:rsidRPr="00D81DBE">
        <w:rPr>
          <w:rStyle w:val="Hyperlink"/>
          <w:rFonts w:ascii="Times New Roman" w:hAnsi="Times New Roman" w:cs="Times New Roman"/>
          <w:i/>
          <w:color w:val="000000" w:themeColor="text1"/>
          <w:sz w:val="20"/>
          <w:szCs w:val="20"/>
          <w:u w:val="none"/>
        </w:rPr>
        <w:t>J Cross Cult Gerontol</w:t>
      </w:r>
      <w:r w:rsidRPr="00D81DBE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</w:t>
      </w:r>
      <w:r w:rsidRPr="00D81DBE">
        <w:rPr>
          <w:rStyle w:val="Hyperlink"/>
          <w:rFonts w:ascii="Times New Roman" w:hAnsi="Times New Roman" w:cs="Times New Roman"/>
          <w:b/>
          <w:color w:val="000000" w:themeColor="text1"/>
          <w:sz w:val="20"/>
          <w:szCs w:val="20"/>
          <w:u w:val="none"/>
        </w:rPr>
        <w:t>29</w:t>
      </w:r>
      <w:r w:rsidRPr="00D81DBE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, 353–369 (2014). </w:t>
      </w:r>
      <w:hyperlink>
        <w:r w:rsidRPr="00D81DBE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https://doi.org/10.1007/s10823-014-9251-8</w:t>
        </w:r>
      </w:hyperlink>
    </w:p>
    <w:p w14:paraId="6F27FE3B" w14:textId="63169E7D" w:rsidR="001243CD" w:rsidRDefault="00046E50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046E50">
        <w:rPr>
          <w:rFonts w:ascii="Times New Roman" w:hAnsi="Times New Roman"/>
          <w:sz w:val="20"/>
          <w:szCs w:val="20"/>
        </w:rPr>
        <w:t>Omotoso, K. O., &amp; Koch, S. F. (2018). Assessing changes in social determinants of health inequalities in South Africa: A decomposition analysis. </w:t>
      </w:r>
      <w:r w:rsidRPr="00046E50">
        <w:rPr>
          <w:rFonts w:ascii="Times New Roman" w:hAnsi="Times New Roman"/>
          <w:i/>
          <w:iCs/>
          <w:sz w:val="20"/>
          <w:szCs w:val="20"/>
        </w:rPr>
        <w:t>International Journal for Equity in Health</w:t>
      </w:r>
      <w:r w:rsidRPr="00046E50">
        <w:rPr>
          <w:rFonts w:ascii="Times New Roman" w:hAnsi="Times New Roman"/>
          <w:sz w:val="20"/>
          <w:szCs w:val="20"/>
        </w:rPr>
        <w:t>, </w:t>
      </w:r>
      <w:r w:rsidRPr="00046E50">
        <w:rPr>
          <w:rFonts w:ascii="Times New Roman" w:hAnsi="Times New Roman"/>
          <w:i/>
          <w:iCs/>
          <w:sz w:val="20"/>
          <w:szCs w:val="20"/>
        </w:rPr>
        <w:t>17</w:t>
      </w:r>
      <w:r w:rsidRPr="00046E50">
        <w:rPr>
          <w:rFonts w:ascii="Times New Roman" w:hAnsi="Times New Roman"/>
          <w:sz w:val="20"/>
          <w:szCs w:val="20"/>
        </w:rPr>
        <w:t>(1), 1-13.</w:t>
      </w:r>
    </w:p>
    <w:p w14:paraId="75CB171F" w14:textId="4955DB67" w:rsidR="00046E50" w:rsidRDefault="00046E50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046E50">
        <w:rPr>
          <w:rFonts w:ascii="Times New Roman" w:hAnsi="Times New Roman"/>
          <w:sz w:val="20"/>
          <w:szCs w:val="20"/>
        </w:rPr>
        <w:lastRenderedPageBreak/>
        <w:t>Mahumud, R. A., Alam, K., Renzaho, A. M., Sarker, A. R., Sultana, M., Sheikh, N., ... &amp; Gow, J. (2019). Changes in inequality of childhood morbidity in Bangladesh 1993-2014: a decomposition analysis. </w:t>
      </w:r>
      <w:r w:rsidRPr="00046E50">
        <w:rPr>
          <w:rFonts w:ascii="Times New Roman" w:hAnsi="Times New Roman"/>
          <w:i/>
          <w:iCs/>
          <w:sz w:val="20"/>
          <w:szCs w:val="20"/>
        </w:rPr>
        <w:t>PloS one</w:t>
      </w:r>
      <w:r w:rsidRPr="00046E50">
        <w:rPr>
          <w:rFonts w:ascii="Times New Roman" w:hAnsi="Times New Roman"/>
          <w:sz w:val="20"/>
          <w:szCs w:val="20"/>
        </w:rPr>
        <w:t>, </w:t>
      </w:r>
      <w:r w:rsidRPr="00046E50">
        <w:rPr>
          <w:rFonts w:ascii="Times New Roman" w:hAnsi="Times New Roman"/>
          <w:i/>
          <w:iCs/>
          <w:sz w:val="20"/>
          <w:szCs w:val="20"/>
        </w:rPr>
        <w:t>14</w:t>
      </w:r>
      <w:r w:rsidRPr="00046E50">
        <w:rPr>
          <w:rFonts w:ascii="Times New Roman" w:hAnsi="Times New Roman"/>
          <w:sz w:val="20"/>
          <w:szCs w:val="20"/>
        </w:rPr>
        <w:t>(6), e0218515.</w:t>
      </w:r>
    </w:p>
    <w:p w14:paraId="7DCEDB2D" w14:textId="4D49AA16" w:rsidR="00046E50" w:rsidRDefault="00046E50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046E50">
        <w:rPr>
          <w:rFonts w:ascii="Times New Roman" w:hAnsi="Times New Roman"/>
          <w:sz w:val="20"/>
          <w:szCs w:val="20"/>
        </w:rPr>
        <w:t>Memirie, S. T., Verguet, S., Norheim, O. F., Levin, C., &amp; Johansson, K. A. (2016). Inequalities in utilization of maternal and child health services in Ethiopia: the role of primary health care. </w:t>
      </w:r>
      <w:r w:rsidRPr="00046E50">
        <w:rPr>
          <w:rFonts w:ascii="Times New Roman" w:hAnsi="Times New Roman"/>
          <w:i/>
          <w:iCs/>
          <w:sz w:val="20"/>
          <w:szCs w:val="20"/>
        </w:rPr>
        <w:t>BMC health services research</w:t>
      </w:r>
      <w:r w:rsidRPr="00046E50">
        <w:rPr>
          <w:rFonts w:ascii="Times New Roman" w:hAnsi="Times New Roman"/>
          <w:sz w:val="20"/>
          <w:szCs w:val="20"/>
        </w:rPr>
        <w:t>, </w:t>
      </w:r>
      <w:r w:rsidRPr="00046E50">
        <w:rPr>
          <w:rFonts w:ascii="Times New Roman" w:hAnsi="Times New Roman"/>
          <w:i/>
          <w:iCs/>
          <w:sz w:val="20"/>
          <w:szCs w:val="20"/>
        </w:rPr>
        <w:t>16</w:t>
      </w:r>
      <w:r w:rsidRPr="00046E50">
        <w:rPr>
          <w:rFonts w:ascii="Times New Roman" w:hAnsi="Times New Roman"/>
          <w:sz w:val="20"/>
          <w:szCs w:val="20"/>
        </w:rPr>
        <w:t>, 1-8.</w:t>
      </w:r>
    </w:p>
    <w:p w14:paraId="1E0EF6E5" w14:textId="1A200443" w:rsidR="00341D22" w:rsidRDefault="00341D22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41D22">
        <w:rPr>
          <w:rFonts w:ascii="Times New Roman" w:hAnsi="Times New Roman"/>
          <w:sz w:val="20"/>
          <w:szCs w:val="20"/>
        </w:rPr>
        <w:t>Mehata, S., Paudel, Y. R., Dariang, M., Aryal, K. K., Lal, B. K., Khanal, M. N., &amp; Thomas, D. (2017). Trends and inequalities in use of maternal health care services in Nepal: strategy in the search for improvements. </w:t>
      </w:r>
      <w:r w:rsidRPr="00341D22">
        <w:rPr>
          <w:rFonts w:ascii="Times New Roman" w:hAnsi="Times New Roman"/>
          <w:i/>
          <w:iCs/>
          <w:sz w:val="20"/>
          <w:szCs w:val="20"/>
        </w:rPr>
        <w:t>BioMed research international</w:t>
      </w:r>
      <w:r w:rsidRPr="00341D22">
        <w:rPr>
          <w:rFonts w:ascii="Times New Roman" w:hAnsi="Times New Roman"/>
          <w:sz w:val="20"/>
          <w:szCs w:val="20"/>
        </w:rPr>
        <w:t>, </w:t>
      </w:r>
      <w:r w:rsidRPr="00341D22">
        <w:rPr>
          <w:rFonts w:ascii="Times New Roman" w:hAnsi="Times New Roman"/>
          <w:i/>
          <w:iCs/>
          <w:sz w:val="20"/>
          <w:szCs w:val="20"/>
        </w:rPr>
        <w:t>2017</w:t>
      </w:r>
      <w:r w:rsidRPr="00341D22">
        <w:rPr>
          <w:rFonts w:ascii="Times New Roman" w:hAnsi="Times New Roman"/>
          <w:sz w:val="20"/>
          <w:szCs w:val="20"/>
        </w:rPr>
        <w:t>.</w:t>
      </w:r>
    </w:p>
    <w:p w14:paraId="59502C0B" w14:textId="1991A906" w:rsidR="00BC0884" w:rsidRDefault="00BC0884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BC0884">
        <w:rPr>
          <w:rFonts w:ascii="Times New Roman" w:hAnsi="Times New Roman"/>
          <w:sz w:val="20"/>
          <w:szCs w:val="20"/>
        </w:rPr>
        <w:t>Bhatta, D. N., &amp; Aryal, U. R. (2015). Paternal factors and inequity associated with access to maternal health care service utilization in Nepal: a community based cross-sectional study. </w:t>
      </w:r>
      <w:r w:rsidRPr="00BC0884">
        <w:rPr>
          <w:rFonts w:ascii="Times New Roman" w:hAnsi="Times New Roman"/>
          <w:i/>
          <w:iCs/>
          <w:sz w:val="20"/>
          <w:szCs w:val="20"/>
        </w:rPr>
        <w:t>PLoS One</w:t>
      </w:r>
      <w:r w:rsidRPr="00BC0884">
        <w:rPr>
          <w:rFonts w:ascii="Times New Roman" w:hAnsi="Times New Roman"/>
          <w:sz w:val="20"/>
          <w:szCs w:val="20"/>
        </w:rPr>
        <w:t>, </w:t>
      </w:r>
      <w:r w:rsidRPr="00BC0884">
        <w:rPr>
          <w:rFonts w:ascii="Times New Roman" w:hAnsi="Times New Roman"/>
          <w:i/>
          <w:iCs/>
          <w:sz w:val="20"/>
          <w:szCs w:val="20"/>
        </w:rPr>
        <w:t>10</w:t>
      </w:r>
      <w:r w:rsidRPr="00BC0884">
        <w:rPr>
          <w:rFonts w:ascii="Times New Roman" w:hAnsi="Times New Roman"/>
          <w:sz w:val="20"/>
          <w:szCs w:val="20"/>
        </w:rPr>
        <w:t>(6), e0130380.</w:t>
      </w:r>
    </w:p>
    <w:p w14:paraId="040E0AF3" w14:textId="0854B7CF" w:rsidR="00BC0884" w:rsidRDefault="00BC0884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BC0884">
        <w:rPr>
          <w:rFonts w:ascii="Times New Roman" w:hAnsi="Times New Roman"/>
          <w:sz w:val="20"/>
          <w:szCs w:val="20"/>
        </w:rPr>
        <w:t>Mulenga, J. N., Bwalya, B. B., &amp; Chishimba, K. K. (2017). Determinants and inequalities in access to improved water sources and sanitation among the Zambian households.</w:t>
      </w:r>
    </w:p>
    <w:p w14:paraId="351C2E48" w14:textId="5E44D681" w:rsidR="00BC0884" w:rsidRDefault="00BC0884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BC0884">
        <w:rPr>
          <w:rFonts w:ascii="Times New Roman" w:hAnsi="Times New Roman"/>
          <w:sz w:val="20"/>
          <w:szCs w:val="20"/>
        </w:rPr>
        <w:t>Kavosi, Z., Rashidian, A., Pourreza, A., Majdzadeh, R., Pourmalek, F., Hosseinpour, A. R., ... &amp; Arab, M. (2012). Inequality in household catastrophic health care expenditure in a low-income society of Iran. </w:t>
      </w:r>
      <w:r w:rsidRPr="00BC0884">
        <w:rPr>
          <w:rFonts w:ascii="Times New Roman" w:hAnsi="Times New Roman"/>
          <w:i/>
          <w:iCs/>
          <w:sz w:val="20"/>
          <w:szCs w:val="20"/>
        </w:rPr>
        <w:t>Health policy and planning</w:t>
      </w:r>
      <w:r w:rsidRPr="00BC0884">
        <w:rPr>
          <w:rFonts w:ascii="Times New Roman" w:hAnsi="Times New Roman"/>
          <w:sz w:val="20"/>
          <w:szCs w:val="20"/>
        </w:rPr>
        <w:t>, </w:t>
      </w:r>
      <w:r w:rsidRPr="00BC0884">
        <w:rPr>
          <w:rFonts w:ascii="Times New Roman" w:hAnsi="Times New Roman"/>
          <w:i/>
          <w:iCs/>
          <w:sz w:val="20"/>
          <w:szCs w:val="20"/>
        </w:rPr>
        <w:t>27</w:t>
      </w:r>
      <w:r w:rsidRPr="00BC0884">
        <w:rPr>
          <w:rFonts w:ascii="Times New Roman" w:hAnsi="Times New Roman"/>
          <w:sz w:val="20"/>
          <w:szCs w:val="20"/>
        </w:rPr>
        <w:t>(7), 613-623.</w:t>
      </w:r>
    </w:p>
    <w:p w14:paraId="11E60E6C" w14:textId="3516B485" w:rsidR="00BC0884" w:rsidRDefault="00BC0884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BC0884">
        <w:rPr>
          <w:rFonts w:ascii="Times New Roman" w:hAnsi="Times New Roman"/>
          <w:sz w:val="20"/>
          <w:szCs w:val="20"/>
        </w:rPr>
        <w:t>Kien, V.D., Van Minh, H., Giang, K.B. </w:t>
      </w:r>
      <w:r w:rsidRPr="00BC0884">
        <w:rPr>
          <w:rFonts w:ascii="Times New Roman" w:hAnsi="Times New Roman"/>
          <w:i/>
          <w:iCs/>
          <w:sz w:val="20"/>
          <w:szCs w:val="20"/>
        </w:rPr>
        <w:t>et al.</w:t>
      </w:r>
      <w:r w:rsidRPr="00BC0884">
        <w:rPr>
          <w:rFonts w:ascii="Times New Roman" w:hAnsi="Times New Roman"/>
          <w:sz w:val="20"/>
          <w:szCs w:val="20"/>
        </w:rPr>
        <w:t> Socioeconomic inequalities in catastrophic health expenditure and impoverishment associated with non-communicable diseases in urban Hanoi, Vietnam. </w:t>
      </w:r>
      <w:r w:rsidRPr="00BC0884">
        <w:rPr>
          <w:rFonts w:ascii="Times New Roman" w:hAnsi="Times New Roman"/>
          <w:i/>
          <w:iCs/>
          <w:sz w:val="20"/>
          <w:szCs w:val="20"/>
        </w:rPr>
        <w:t>Int J Equity Health</w:t>
      </w:r>
      <w:r w:rsidRPr="00BC0884">
        <w:rPr>
          <w:rFonts w:ascii="Times New Roman" w:hAnsi="Times New Roman"/>
          <w:sz w:val="20"/>
          <w:szCs w:val="20"/>
        </w:rPr>
        <w:t> </w:t>
      </w:r>
      <w:r w:rsidRPr="00BC0884">
        <w:rPr>
          <w:rFonts w:ascii="Times New Roman" w:hAnsi="Times New Roman"/>
          <w:b/>
          <w:bCs/>
          <w:sz w:val="20"/>
          <w:szCs w:val="20"/>
        </w:rPr>
        <w:t>15</w:t>
      </w:r>
      <w:r w:rsidRPr="00BC0884">
        <w:rPr>
          <w:rFonts w:ascii="Times New Roman" w:hAnsi="Times New Roman"/>
          <w:sz w:val="20"/>
          <w:szCs w:val="20"/>
        </w:rPr>
        <w:t xml:space="preserve">, 169 (2016). </w:t>
      </w:r>
      <w:hyperlink r:id="rId10" w:history="1">
        <w:r w:rsidR="00D8081F" w:rsidRPr="000A3FF8">
          <w:rPr>
            <w:rStyle w:val="Hyperlink"/>
            <w:rFonts w:ascii="Times New Roman" w:hAnsi="Times New Roman"/>
            <w:sz w:val="20"/>
            <w:szCs w:val="20"/>
          </w:rPr>
          <w:t>https://doi.org/10.1186/s12939-016-0460-3</w:t>
        </w:r>
      </w:hyperlink>
    </w:p>
    <w:p w14:paraId="6D7BED8E" w14:textId="4C80C006" w:rsidR="00D8081F" w:rsidRDefault="00D8081F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D8081F">
        <w:rPr>
          <w:rFonts w:ascii="Times New Roman" w:hAnsi="Times New Roman"/>
          <w:sz w:val="20"/>
          <w:szCs w:val="20"/>
        </w:rPr>
        <w:t>Paredes, K. P. P. (2016). Inequality in the use of maternal and child health services in the Philippines: do pro-poor health policies result in more equitable use of services?. </w:t>
      </w:r>
      <w:r w:rsidRPr="00D8081F">
        <w:rPr>
          <w:rFonts w:ascii="Times New Roman" w:hAnsi="Times New Roman"/>
          <w:i/>
          <w:iCs/>
          <w:sz w:val="20"/>
          <w:szCs w:val="20"/>
        </w:rPr>
        <w:t>International Journal for Equity in Health</w:t>
      </w:r>
      <w:r w:rsidRPr="00D8081F">
        <w:rPr>
          <w:rFonts w:ascii="Times New Roman" w:hAnsi="Times New Roman"/>
          <w:sz w:val="20"/>
          <w:szCs w:val="20"/>
        </w:rPr>
        <w:t>, </w:t>
      </w:r>
      <w:r w:rsidRPr="00D8081F">
        <w:rPr>
          <w:rFonts w:ascii="Times New Roman" w:hAnsi="Times New Roman"/>
          <w:i/>
          <w:iCs/>
          <w:sz w:val="20"/>
          <w:szCs w:val="20"/>
        </w:rPr>
        <w:t>15</w:t>
      </w:r>
      <w:r w:rsidRPr="00D8081F">
        <w:rPr>
          <w:rFonts w:ascii="Times New Roman" w:hAnsi="Times New Roman"/>
          <w:sz w:val="20"/>
          <w:szCs w:val="20"/>
        </w:rPr>
        <w:t>(1), 1-11.</w:t>
      </w:r>
    </w:p>
    <w:p w14:paraId="02537562" w14:textId="2CB742B8" w:rsidR="00D8081F" w:rsidRDefault="00D8081F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D8081F">
        <w:rPr>
          <w:rFonts w:ascii="Times New Roman" w:hAnsi="Times New Roman"/>
          <w:sz w:val="20"/>
          <w:szCs w:val="20"/>
        </w:rPr>
        <w:t>Jalloh, M. B., Bah, A. J., James, P. B., Sevalie, S., Hann, K., &amp; Shmueli, A. (2019). Impact of the free healthcare initiative on wealth-related inequity in the utilization of maternal &amp; child health services in Sierra Leone. </w:t>
      </w:r>
      <w:r w:rsidRPr="00D8081F">
        <w:rPr>
          <w:rFonts w:ascii="Times New Roman" w:hAnsi="Times New Roman"/>
          <w:i/>
          <w:iCs/>
          <w:sz w:val="20"/>
          <w:szCs w:val="20"/>
        </w:rPr>
        <w:t>BMC health services research</w:t>
      </w:r>
      <w:r w:rsidRPr="00D8081F">
        <w:rPr>
          <w:rFonts w:ascii="Times New Roman" w:hAnsi="Times New Roman"/>
          <w:sz w:val="20"/>
          <w:szCs w:val="20"/>
        </w:rPr>
        <w:t>, </w:t>
      </w:r>
      <w:r w:rsidRPr="00D8081F">
        <w:rPr>
          <w:rFonts w:ascii="Times New Roman" w:hAnsi="Times New Roman"/>
          <w:i/>
          <w:iCs/>
          <w:sz w:val="20"/>
          <w:szCs w:val="20"/>
        </w:rPr>
        <w:t>19</w:t>
      </w:r>
      <w:r w:rsidRPr="00D8081F">
        <w:rPr>
          <w:rFonts w:ascii="Times New Roman" w:hAnsi="Times New Roman"/>
          <w:sz w:val="20"/>
          <w:szCs w:val="20"/>
        </w:rPr>
        <w:t>(1), 1-15.</w:t>
      </w:r>
    </w:p>
    <w:p w14:paraId="0D87621E" w14:textId="60936470" w:rsidR="007331C9" w:rsidRDefault="007331C9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7331C9">
        <w:rPr>
          <w:rFonts w:ascii="Times New Roman" w:hAnsi="Times New Roman"/>
          <w:sz w:val="20"/>
          <w:szCs w:val="20"/>
        </w:rPr>
        <w:t>Krishnamoorthy, Y., Majella, M. G., &amp; Rajaa, S. (2020). Equity in coverage of maternal and newborn care in India: evidence from a nationally representative survey. </w:t>
      </w:r>
      <w:r w:rsidRPr="007331C9">
        <w:rPr>
          <w:rFonts w:ascii="Times New Roman" w:hAnsi="Times New Roman"/>
          <w:i/>
          <w:iCs/>
          <w:sz w:val="20"/>
          <w:szCs w:val="20"/>
        </w:rPr>
        <w:t>Health Policy and Planning</w:t>
      </w:r>
      <w:r w:rsidRPr="007331C9">
        <w:rPr>
          <w:rFonts w:ascii="Times New Roman" w:hAnsi="Times New Roman"/>
          <w:sz w:val="20"/>
          <w:szCs w:val="20"/>
        </w:rPr>
        <w:t>, </w:t>
      </w:r>
      <w:r w:rsidRPr="007331C9">
        <w:rPr>
          <w:rFonts w:ascii="Times New Roman" w:hAnsi="Times New Roman"/>
          <w:i/>
          <w:iCs/>
          <w:sz w:val="20"/>
          <w:szCs w:val="20"/>
        </w:rPr>
        <w:t>35</w:t>
      </w:r>
      <w:r w:rsidRPr="007331C9">
        <w:rPr>
          <w:rFonts w:ascii="Times New Roman" w:hAnsi="Times New Roman"/>
          <w:sz w:val="20"/>
          <w:szCs w:val="20"/>
        </w:rPr>
        <w:t>(5), 616-623.</w:t>
      </w:r>
    </w:p>
    <w:p w14:paraId="11810A3C" w14:textId="0DF77EFF" w:rsidR="001933D3" w:rsidRDefault="001933D3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1933D3">
        <w:rPr>
          <w:rFonts w:ascii="Times New Roman" w:hAnsi="Times New Roman"/>
          <w:sz w:val="20"/>
          <w:szCs w:val="20"/>
        </w:rPr>
        <w:t>Nguhiu, P. K., Barasa, E. W., &amp; Chuma, J. (2017). Determining the effective coverage of maternal and child health services in Kenya, using demographic and health survey data sets: tracking progress towards universal health coverage. </w:t>
      </w:r>
      <w:r w:rsidRPr="001933D3">
        <w:rPr>
          <w:rFonts w:ascii="Times New Roman" w:hAnsi="Times New Roman"/>
          <w:i/>
          <w:iCs/>
          <w:sz w:val="20"/>
          <w:szCs w:val="20"/>
        </w:rPr>
        <w:t>Tropical Medicine &amp; International Health</w:t>
      </w:r>
      <w:r w:rsidRPr="001933D3">
        <w:rPr>
          <w:rFonts w:ascii="Times New Roman" w:hAnsi="Times New Roman"/>
          <w:sz w:val="20"/>
          <w:szCs w:val="20"/>
        </w:rPr>
        <w:t>, </w:t>
      </w:r>
      <w:r w:rsidRPr="001933D3">
        <w:rPr>
          <w:rFonts w:ascii="Times New Roman" w:hAnsi="Times New Roman"/>
          <w:i/>
          <w:iCs/>
          <w:sz w:val="20"/>
          <w:szCs w:val="20"/>
        </w:rPr>
        <w:t>22</w:t>
      </w:r>
      <w:r w:rsidRPr="001933D3">
        <w:rPr>
          <w:rFonts w:ascii="Times New Roman" w:hAnsi="Times New Roman"/>
          <w:sz w:val="20"/>
          <w:szCs w:val="20"/>
        </w:rPr>
        <w:t>(4), 442-453.</w:t>
      </w:r>
    </w:p>
    <w:p w14:paraId="6ACFB355" w14:textId="437A8422" w:rsidR="001933D3" w:rsidRDefault="001933D3">
      <w:pPr>
        <w:pStyle w:val="BodyTex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1933D3">
        <w:rPr>
          <w:rFonts w:ascii="Times New Roman" w:hAnsi="Times New Roman"/>
          <w:sz w:val="20"/>
          <w:szCs w:val="20"/>
        </w:rPr>
        <w:t>Oludamilola Adeyanju, Sandy Tubeuf, Tim Ensor, Socio-economic inequalities in access to maternal and child healthcare in Nigeria: changes over time and decomposition analysis, </w:t>
      </w:r>
      <w:r w:rsidRPr="001933D3">
        <w:rPr>
          <w:rFonts w:ascii="Times New Roman" w:hAnsi="Times New Roman"/>
          <w:i/>
          <w:iCs/>
          <w:sz w:val="20"/>
          <w:szCs w:val="20"/>
        </w:rPr>
        <w:t>Health Policy and Planning</w:t>
      </w:r>
      <w:r w:rsidRPr="001933D3">
        <w:rPr>
          <w:rFonts w:ascii="Times New Roman" w:hAnsi="Times New Roman"/>
          <w:sz w:val="20"/>
          <w:szCs w:val="20"/>
        </w:rPr>
        <w:t>, Volume 32, Issue 8, October 2017, Pages 1111–1118, </w:t>
      </w:r>
      <w:hyperlink r:id="rId11" w:history="1">
        <w:r w:rsidRPr="001933D3">
          <w:rPr>
            <w:rStyle w:val="Hyperlink"/>
            <w:rFonts w:ascii="Times New Roman" w:hAnsi="Times New Roman"/>
            <w:sz w:val="20"/>
            <w:szCs w:val="20"/>
          </w:rPr>
          <w:t>https://doi.org/10.1093/heapol/czx049</w:t>
        </w:r>
      </w:hyperlink>
    </w:p>
    <w:sectPr w:rsidR="001933D3">
      <w:pgSz w:w="12240" w:h="15840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B5C13"/>
    <w:multiLevelType w:val="multilevel"/>
    <w:tmpl w:val="405EA2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F186ECF"/>
    <w:multiLevelType w:val="multilevel"/>
    <w:tmpl w:val="85B26B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65773">
    <w:abstractNumId w:val="0"/>
  </w:num>
  <w:num w:numId="2" w16cid:durableId="63573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CD"/>
    <w:rsid w:val="00046E50"/>
    <w:rsid w:val="001243CD"/>
    <w:rsid w:val="001933D3"/>
    <w:rsid w:val="002C7ABC"/>
    <w:rsid w:val="00341D22"/>
    <w:rsid w:val="006005FE"/>
    <w:rsid w:val="007331C9"/>
    <w:rsid w:val="00B64758"/>
    <w:rsid w:val="00BC0884"/>
    <w:rsid w:val="00BF4AF3"/>
    <w:rsid w:val="00D8081F"/>
    <w:rsid w:val="00D8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7B4D"/>
  <w15:docId w15:val="{B494D145-5BCA-4E15-8C24-CEB7DEE0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2">
    <w:name w:val="heading 2"/>
    <w:basedOn w:val="Heading"/>
    <w:next w:val="BodyText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C17491"/>
    <w:rPr>
      <w:color w:val="808080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66724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766724"/>
    <w:pPr>
      <w:ind w:left="720"/>
      <w:contextualSpacing/>
    </w:pPr>
  </w:style>
  <w:style w:type="table" w:styleId="TableGrid">
    <w:name w:val="Table Grid"/>
    <w:basedOn w:val="TableNormal"/>
    <w:uiPriority w:val="39"/>
    <w:rsid w:val="004A3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ald.com/insight/search?q=Srinivas%20Gol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merald.com/insight/search?q=Dipty%20Nawa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12978-019-0768-8" TargetMode="External"/><Relationship Id="rId11" Type="http://schemas.openxmlformats.org/officeDocument/2006/relationships/hyperlink" Target="https://doi.org/10.1093/heapol/czx049" TargetMode="External"/><Relationship Id="rId5" Type="http://schemas.openxmlformats.org/officeDocument/2006/relationships/hyperlink" Target="https://doi.org/10.2307/2290467" TargetMode="External"/><Relationship Id="rId10" Type="http://schemas.openxmlformats.org/officeDocument/2006/relationships/hyperlink" Target="https://doi.org/10.1186/s12939-016-0460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erald.com/insight/publication/issn/1757-0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Shreezal G.C.</dc:creator>
  <dc:description/>
  <cp:lastModifiedBy>Shreezal G.C.</cp:lastModifiedBy>
  <cp:revision>31</cp:revision>
  <dcterms:created xsi:type="dcterms:W3CDTF">2023-02-14T03:45:00Z</dcterms:created>
  <dcterms:modified xsi:type="dcterms:W3CDTF">2023-03-03T05:48:00Z</dcterms:modified>
  <dc:language>en-US</dc:language>
</cp:coreProperties>
</file>