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B1D78" w14:textId="6B3025B9" w:rsidR="00436814" w:rsidRDefault="00374EB8" w:rsidP="00436814">
      <w:pPr>
        <w:widowControl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0"/>
          <w:szCs w:val="20"/>
          <w:lang w:val="en-US"/>
        </w:rPr>
        <w:drawing>
          <wp:inline distT="0" distB="0" distL="0" distR="0" wp14:anchorId="31240792" wp14:editId="43D73DB9">
            <wp:extent cx="5367131" cy="2652314"/>
            <wp:effectExtent l="0" t="0" r="508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1" t="2209" r="28128" b="66568"/>
                    <a:stretch/>
                  </pic:blipFill>
                  <pic:spPr bwMode="auto">
                    <a:xfrm>
                      <a:off x="0" y="0"/>
                      <a:ext cx="5377812" cy="265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A793F9" w14:textId="77777777" w:rsidR="00436814" w:rsidRDefault="00436814" w:rsidP="00436814">
      <w:pPr>
        <w:widowControl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15B3B1C" w14:textId="68CF9364" w:rsidR="00436814" w:rsidRDefault="00B8137D" w:rsidP="00436814">
      <w:pPr>
        <w:widowControl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368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</w:t>
      </w:r>
      <w:r w:rsidR="00436814" w:rsidRPr="004368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D78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</w:t>
      </w:r>
      <w:r w:rsidR="00436814" w:rsidRPr="004368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igure 1: </w:t>
      </w:r>
      <w:r w:rsidR="00436814" w:rsidRPr="004368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Directed acyclic graph (DAG) on </w:t>
      </w:r>
      <w:r w:rsidR="004368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sedentary behavior</w:t>
      </w:r>
      <w:r w:rsidR="00436814" w:rsidRPr="004368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sleep quality in adults during the covid-19 pandemic. </w:t>
      </w:r>
    </w:p>
    <w:p w14:paraId="3AB7F6EC" w14:textId="77777777" w:rsidR="00436814" w:rsidRDefault="00436814" w:rsidP="00436814">
      <w:pPr>
        <w:widowControl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69A13F9A" w14:textId="7CCAE9DC" w:rsidR="00436814" w:rsidRPr="003D7820" w:rsidRDefault="00436814" w:rsidP="004C5967">
      <w:pPr>
        <w:widowControl w:val="0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3D7820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Legend: </w:t>
      </w:r>
      <w:r w:rsidRPr="003D782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The variable in green and with the “►” symbol inside the rectangle was the exposure variable; those in blue and with the letter “I” inside the rectangle were the response variables; variables in blue are the antecedents of the outcome variable; and those in red are antecedents of the outcome and exposure variables. </w:t>
      </w:r>
    </w:p>
    <w:p w14:paraId="7AC3D09A" w14:textId="7969250D" w:rsidR="00D319D6" w:rsidRDefault="00D319D6">
      <w:pPr>
        <w:rPr>
          <w:lang w:val="en-US"/>
        </w:rPr>
      </w:pPr>
    </w:p>
    <w:p w14:paraId="51BF6AF8" w14:textId="77777777" w:rsidR="00374EB8" w:rsidRPr="00436814" w:rsidRDefault="00374EB8">
      <w:pPr>
        <w:rPr>
          <w:lang w:val="en-US"/>
        </w:rPr>
      </w:pPr>
    </w:p>
    <w:sectPr w:rsidR="00374EB8" w:rsidRPr="004368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67"/>
    <w:rsid w:val="000872D1"/>
    <w:rsid w:val="001579FE"/>
    <w:rsid w:val="00207078"/>
    <w:rsid w:val="00334AEF"/>
    <w:rsid w:val="00374EB8"/>
    <w:rsid w:val="003D7820"/>
    <w:rsid w:val="00436814"/>
    <w:rsid w:val="004C5967"/>
    <w:rsid w:val="00B8137D"/>
    <w:rsid w:val="00C052AF"/>
    <w:rsid w:val="00D125B4"/>
    <w:rsid w:val="00D3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5A7B7"/>
  <w15:chartTrackingRefBased/>
  <w15:docId w15:val="{55A45B38-FF11-458E-9237-4511C25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967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394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Antônio Alves de Menezes Júnior</dc:creator>
  <cp:keywords/>
  <dc:description/>
  <cp:lastModifiedBy>Reviewer</cp:lastModifiedBy>
  <cp:revision>11</cp:revision>
  <dcterms:created xsi:type="dcterms:W3CDTF">2022-08-05T17:50:00Z</dcterms:created>
  <dcterms:modified xsi:type="dcterms:W3CDTF">2023-05-16T12:58:00Z</dcterms:modified>
</cp:coreProperties>
</file>